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E2B" w:rsidRPr="00C33439" w:rsidRDefault="00202E2B" w:rsidP="00202E2B">
      <w:pPr>
        <w:spacing w:after="720"/>
        <w:jc w:val="center"/>
        <w:rPr>
          <w:rFonts w:ascii="Times New Roman" w:hAnsi="Times New Roman"/>
          <w:b/>
          <w:bCs/>
          <w:szCs w:val="24"/>
        </w:rPr>
      </w:pPr>
      <w:r>
        <w:rPr>
          <w:rFonts w:ascii="Times New Roman" w:hAnsi="Times New Roman"/>
          <w:b/>
        </w:rPr>
        <w:t xml:space="preserve">Suite donnée à la résolution non législative du Parlement européen sur la </w:t>
      </w:r>
      <w:r w:rsidRPr="00517FE1">
        <w:rPr>
          <w:rFonts w:ascii="Times New Roman" w:hAnsi="Times New Roman"/>
          <w:b/>
        </w:rPr>
        <w:t>14</w:t>
      </w:r>
      <w:r>
        <w:rPr>
          <w:rFonts w:ascii="Times New Roman" w:hAnsi="Times New Roman"/>
          <w:b/>
          <w:vertAlign w:val="superscript"/>
        </w:rPr>
        <w:t>e</w:t>
      </w:r>
      <w:r>
        <w:rPr>
          <w:rFonts w:ascii="Times New Roman" w:hAnsi="Times New Roman"/>
          <w:b/>
        </w:rPr>
        <w:t xml:space="preserve"> réunion de la convention sur la diversité biologique (COP</w:t>
      </w:r>
      <w:r w:rsidRPr="00517FE1">
        <w:rPr>
          <w:rFonts w:ascii="Times New Roman" w:hAnsi="Times New Roman"/>
          <w:b/>
        </w:rPr>
        <w:t>14</w:t>
      </w:r>
      <w:r>
        <w:rPr>
          <w:rFonts w:ascii="Times New Roman" w:hAnsi="Times New Roman"/>
          <w:b/>
        </w:rPr>
        <w:t>)</w:t>
      </w:r>
    </w:p>
    <w:p w:rsidR="00202E2B" w:rsidRPr="00223F7E" w:rsidRDefault="00202E2B" w:rsidP="00202E2B">
      <w:pPr>
        <w:numPr>
          <w:ilvl w:val="0"/>
          <w:numId w:val="1"/>
        </w:numPr>
        <w:spacing w:line="276" w:lineRule="auto"/>
        <w:rPr>
          <w:rFonts w:ascii="Times New Roman" w:hAnsi="Times New Roman"/>
          <w:b/>
          <w:szCs w:val="24"/>
        </w:rPr>
      </w:pPr>
      <w:r>
        <w:rPr>
          <w:rFonts w:ascii="Times New Roman" w:hAnsi="Times New Roman"/>
          <w:b/>
        </w:rPr>
        <w:t>Résolution présentée, conformément à l’article </w:t>
      </w:r>
      <w:r w:rsidRPr="00517FE1">
        <w:rPr>
          <w:rFonts w:ascii="Times New Roman" w:hAnsi="Times New Roman"/>
          <w:b/>
        </w:rPr>
        <w:t>128</w:t>
      </w:r>
      <w:r>
        <w:rPr>
          <w:rFonts w:ascii="Times New Roman" w:hAnsi="Times New Roman"/>
          <w:b/>
        </w:rPr>
        <w:t>, paragraphe </w:t>
      </w:r>
      <w:r w:rsidRPr="00517FE1">
        <w:rPr>
          <w:rFonts w:ascii="Times New Roman" w:hAnsi="Times New Roman"/>
          <w:b/>
        </w:rPr>
        <w:t>5</w:t>
      </w:r>
      <w:r>
        <w:rPr>
          <w:rFonts w:ascii="Times New Roman" w:hAnsi="Times New Roman"/>
          <w:b/>
        </w:rPr>
        <w:t>, du règlement du Parlement européen, par la commission de l’environnement, de la santé publique et de la sécurité alimentaire</w:t>
      </w:r>
    </w:p>
    <w:p w:rsidR="00202E2B" w:rsidRPr="00223F7E" w:rsidRDefault="00202E2B" w:rsidP="00202E2B">
      <w:pPr>
        <w:numPr>
          <w:ilvl w:val="0"/>
          <w:numId w:val="1"/>
        </w:numPr>
        <w:spacing w:line="276" w:lineRule="auto"/>
        <w:rPr>
          <w:rFonts w:ascii="Times New Roman" w:hAnsi="Times New Roman"/>
          <w:szCs w:val="24"/>
        </w:rPr>
      </w:pPr>
      <w:r>
        <w:rPr>
          <w:rFonts w:ascii="Times New Roman" w:hAnsi="Times New Roman"/>
          <w:b/>
        </w:rPr>
        <w:t xml:space="preserve">Numéros de référence: </w:t>
      </w:r>
      <w:r w:rsidRPr="00517FE1">
        <w:rPr>
          <w:rFonts w:ascii="Times New Roman" w:hAnsi="Times New Roman"/>
        </w:rPr>
        <w:t>2018</w:t>
      </w:r>
      <w:r>
        <w:rPr>
          <w:rFonts w:ascii="Times New Roman" w:hAnsi="Times New Roman"/>
        </w:rPr>
        <w:t>/</w:t>
      </w:r>
      <w:r w:rsidRPr="00517FE1">
        <w:rPr>
          <w:rFonts w:ascii="Times New Roman" w:hAnsi="Times New Roman"/>
        </w:rPr>
        <w:t>2791</w:t>
      </w:r>
      <w:r>
        <w:rPr>
          <w:rFonts w:ascii="Times New Roman" w:hAnsi="Times New Roman"/>
        </w:rPr>
        <w:t xml:space="preserve"> (RSP) / </w:t>
      </w:r>
      <w:bookmarkStart w:id="0" w:name="_GoBack"/>
      <w:r>
        <w:rPr>
          <w:rFonts w:ascii="Times New Roman" w:hAnsi="Times New Roman"/>
        </w:rPr>
        <w:t>B</w:t>
      </w:r>
      <w:hyperlink r:id="rId5">
        <w:r w:rsidRPr="00517FE1">
          <w:rPr>
            <w:rFonts w:ascii="Times New Roman" w:hAnsi="Times New Roman"/>
          </w:rPr>
          <w:t>8</w:t>
        </w:r>
      </w:hyperlink>
      <w:r>
        <w:rPr>
          <w:rFonts w:ascii="Times New Roman" w:hAnsi="Times New Roman"/>
        </w:rPr>
        <w:t>-</w:t>
      </w:r>
      <w:r w:rsidRPr="00517FE1">
        <w:rPr>
          <w:rFonts w:ascii="Times New Roman" w:hAnsi="Times New Roman"/>
        </w:rPr>
        <w:t>0478</w:t>
      </w:r>
      <w:r>
        <w:rPr>
          <w:rFonts w:ascii="Times New Roman" w:hAnsi="Times New Roman"/>
        </w:rPr>
        <w:t>/</w:t>
      </w:r>
      <w:r w:rsidRPr="00517FE1">
        <w:rPr>
          <w:rFonts w:ascii="Times New Roman" w:hAnsi="Times New Roman"/>
        </w:rPr>
        <w:t>2018</w:t>
      </w:r>
      <w:bookmarkEnd w:id="0"/>
      <w:r>
        <w:rPr>
          <w:rFonts w:ascii="Times New Roman" w:hAnsi="Times New Roman"/>
        </w:rPr>
        <w:t xml:space="preserve"> / P</w:t>
      </w:r>
      <w:r w:rsidRPr="00517FE1">
        <w:rPr>
          <w:rFonts w:ascii="Times New Roman" w:hAnsi="Times New Roman"/>
        </w:rPr>
        <w:t>8</w:t>
      </w:r>
      <w:r>
        <w:rPr>
          <w:rFonts w:ascii="Times New Roman" w:hAnsi="Times New Roman"/>
        </w:rPr>
        <w:t>_TA-PROV(</w:t>
      </w:r>
      <w:r w:rsidRPr="00517FE1">
        <w:rPr>
          <w:rFonts w:ascii="Times New Roman" w:hAnsi="Times New Roman"/>
        </w:rPr>
        <w:t>2018</w:t>
      </w:r>
      <w:r>
        <w:rPr>
          <w:rFonts w:ascii="Times New Roman" w:hAnsi="Times New Roman"/>
        </w:rPr>
        <w:t>)</w:t>
      </w:r>
      <w:r w:rsidRPr="00517FE1">
        <w:rPr>
          <w:rFonts w:ascii="Times New Roman" w:hAnsi="Times New Roman"/>
        </w:rPr>
        <w:t>0431</w:t>
      </w:r>
    </w:p>
    <w:p w:rsidR="00202E2B" w:rsidRPr="00223F7E" w:rsidRDefault="00202E2B" w:rsidP="00202E2B">
      <w:pPr>
        <w:numPr>
          <w:ilvl w:val="0"/>
          <w:numId w:val="1"/>
        </w:numPr>
        <w:spacing w:line="276" w:lineRule="auto"/>
        <w:rPr>
          <w:rFonts w:ascii="Times New Roman" w:hAnsi="Times New Roman"/>
          <w:szCs w:val="24"/>
        </w:rPr>
      </w:pPr>
      <w:r>
        <w:rPr>
          <w:rFonts w:ascii="Times New Roman" w:hAnsi="Times New Roman"/>
          <w:b/>
        </w:rPr>
        <w:t>Date d'adoption de la résolution:</w:t>
      </w:r>
      <w:r>
        <w:rPr>
          <w:rFonts w:ascii="Times New Roman" w:hAnsi="Times New Roman"/>
        </w:rPr>
        <w:t xml:space="preserve"> </w:t>
      </w:r>
      <w:r w:rsidRPr="00517FE1">
        <w:rPr>
          <w:rFonts w:ascii="Times New Roman" w:hAnsi="Times New Roman"/>
        </w:rPr>
        <w:t>25</w:t>
      </w:r>
      <w:r>
        <w:rPr>
          <w:rFonts w:ascii="Times New Roman" w:hAnsi="Times New Roman"/>
        </w:rPr>
        <w:t> octobre </w:t>
      </w:r>
      <w:r w:rsidRPr="00517FE1">
        <w:rPr>
          <w:rFonts w:ascii="Times New Roman" w:hAnsi="Times New Roman"/>
        </w:rPr>
        <w:t>2018</w:t>
      </w:r>
    </w:p>
    <w:p w:rsidR="00202E2B" w:rsidRPr="00223F7E" w:rsidRDefault="00202E2B" w:rsidP="00202E2B">
      <w:pPr>
        <w:numPr>
          <w:ilvl w:val="0"/>
          <w:numId w:val="1"/>
        </w:numPr>
        <w:spacing w:line="276" w:lineRule="auto"/>
        <w:rPr>
          <w:rFonts w:ascii="Times New Roman" w:hAnsi="Times New Roman"/>
          <w:bCs/>
          <w:szCs w:val="24"/>
        </w:rPr>
      </w:pPr>
      <w:r>
        <w:rPr>
          <w:rFonts w:ascii="Times New Roman" w:hAnsi="Times New Roman"/>
          <w:b/>
        </w:rPr>
        <w:t>Objet:</w:t>
      </w:r>
      <w:r>
        <w:rPr>
          <w:rFonts w:ascii="Times New Roman" w:hAnsi="Times New Roman"/>
        </w:rPr>
        <w:t xml:space="preserve"> </w:t>
      </w:r>
      <w:r w:rsidRPr="00517FE1">
        <w:rPr>
          <w:rFonts w:ascii="Times New Roman" w:hAnsi="Times New Roman"/>
        </w:rPr>
        <w:t>14</w:t>
      </w:r>
      <w:r>
        <w:rPr>
          <w:rFonts w:ascii="Times New Roman" w:hAnsi="Times New Roman"/>
          <w:vertAlign w:val="superscript"/>
        </w:rPr>
        <w:t>e</w:t>
      </w:r>
      <w:r>
        <w:rPr>
          <w:rFonts w:ascii="Times New Roman" w:hAnsi="Times New Roman"/>
        </w:rPr>
        <w:t xml:space="preserve"> réunion de la convention sur la diversité biologique</w:t>
      </w:r>
    </w:p>
    <w:p w:rsidR="00202E2B" w:rsidRPr="00223F7E" w:rsidRDefault="00202E2B" w:rsidP="00202E2B">
      <w:pPr>
        <w:numPr>
          <w:ilvl w:val="0"/>
          <w:numId w:val="1"/>
        </w:numPr>
        <w:spacing w:line="276" w:lineRule="auto"/>
        <w:rPr>
          <w:rFonts w:ascii="Times New Roman" w:hAnsi="Times New Roman"/>
          <w:szCs w:val="24"/>
        </w:rPr>
      </w:pPr>
      <w:r>
        <w:rPr>
          <w:rFonts w:ascii="Times New Roman" w:hAnsi="Times New Roman"/>
          <w:b/>
        </w:rPr>
        <w:t xml:space="preserve">Commission parlementaire compétente: </w:t>
      </w:r>
      <w:r>
        <w:rPr>
          <w:rFonts w:ascii="Times New Roman" w:hAnsi="Times New Roman"/>
        </w:rPr>
        <w:t>Commission de l’environnement, de la santé publique et de la sécurité alimentaire (ENVI)</w:t>
      </w:r>
    </w:p>
    <w:p w:rsidR="00202E2B" w:rsidRDefault="00202E2B" w:rsidP="00202E2B">
      <w:pPr>
        <w:numPr>
          <w:ilvl w:val="0"/>
          <w:numId w:val="1"/>
        </w:numPr>
        <w:spacing w:line="276" w:lineRule="auto"/>
        <w:rPr>
          <w:rFonts w:ascii="Times New Roman" w:hAnsi="Times New Roman"/>
          <w:b/>
          <w:szCs w:val="24"/>
        </w:rPr>
      </w:pPr>
      <w:r>
        <w:rPr>
          <w:rFonts w:ascii="Times New Roman" w:hAnsi="Times New Roman"/>
          <w:b/>
        </w:rPr>
        <w:t>Analyse/évaluation succincte de la résolution et des demandes qu’elle contient:</w:t>
      </w:r>
    </w:p>
    <w:p w:rsidR="00202E2B" w:rsidRPr="00B44BAD" w:rsidRDefault="00202E2B" w:rsidP="00202E2B">
      <w:pPr>
        <w:widowControl w:val="0"/>
        <w:rPr>
          <w:rFonts w:ascii="Times New Roman" w:hAnsi="Times New Roman"/>
          <w:szCs w:val="24"/>
        </w:rPr>
      </w:pPr>
      <w:r>
        <w:rPr>
          <w:rFonts w:ascii="Times New Roman" w:hAnsi="Times New Roman"/>
        </w:rPr>
        <w:t>La résolution souligne l’importance de la protection de la biodiversité à l’échelle mondiale et demande instamment à la Commission et aux États membres de s’engager à faire des efforts supplémentaires, substantiels et immédiats pour la préservation de la biodiversité afin d’atteindre les objectifs de l’Union européenne. Elle invite l’Union et les États membres à rester fermement engagés en faveur d’un renforcement de la convention sur la diversité biologique (CDB) et à jouer un rôle moteur dans la préparation du cadre pour l’après-</w:t>
      </w:r>
      <w:r w:rsidRPr="00517FE1">
        <w:rPr>
          <w:rFonts w:ascii="Times New Roman" w:hAnsi="Times New Roman"/>
        </w:rPr>
        <w:t>2020</w:t>
      </w:r>
      <w:r>
        <w:rPr>
          <w:rFonts w:ascii="Times New Roman" w:hAnsi="Times New Roman"/>
        </w:rPr>
        <w:t xml:space="preserve"> et à exposer leurs idées et priorités de manière transparente pour le cadre mondial en matière de biodiversité pour l’après-</w:t>
      </w:r>
      <w:r w:rsidRPr="00517FE1">
        <w:rPr>
          <w:rFonts w:ascii="Times New Roman" w:hAnsi="Times New Roman"/>
        </w:rPr>
        <w:t>2020</w:t>
      </w:r>
      <w:r>
        <w:rPr>
          <w:rFonts w:ascii="Times New Roman" w:hAnsi="Times New Roman"/>
        </w:rPr>
        <w:t>.</w:t>
      </w:r>
    </w:p>
    <w:p w:rsidR="00202E2B" w:rsidRDefault="00202E2B" w:rsidP="00202E2B">
      <w:pPr>
        <w:numPr>
          <w:ilvl w:val="0"/>
          <w:numId w:val="1"/>
        </w:numPr>
        <w:spacing w:line="276" w:lineRule="auto"/>
        <w:rPr>
          <w:rFonts w:ascii="Times New Roman" w:hAnsi="Times New Roman"/>
          <w:b/>
          <w:szCs w:val="24"/>
        </w:rPr>
      </w:pPr>
      <w:r>
        <w:rPr>
          <w:rFonts w:ascii="Times New Roman" w:hAnsi="Times New Roman"/>
          <w:b/>
        </w:rPr>
        <w:t>Réponse à ces demandes et aperçu des mesures que la Commission a prises ou envisage de prendre:</w:t>
      </w:r>
    </w:p>
    <w:p w:rsidR="00202E2B" w:rsidRDefault="00202E2B" w:rsidP="00202E2B">
      <w:pPr>
        <w:widowControl w:val="0"/>
        <w:spacing w:before="240" w:after="120"/>
        <w:ind w:right="-30"/>
        <w:rPr>
          <w:rFonts w:ascii="Times New Roman" w:hAnsi="Times New Roman"/>
          <w:szCs w:val="24"/>
        </w:rPr>
      </w:pPr>
      <w:r>
        <w:rPr>
          <w:rFonts w:ascii="Times New Roman" w:hAnsi="Times New Roman"/>
        </w:rPr>
        <w:t>Le commissaire Vella a répondu oralement aux questions sur la Conférence des Parties à la convention sur la diversité biologique (COP</w:t>
      </w:r>
      <w:r w:rsidRPr="00517FE1">
        <w:rPr>
          <w:rFonts w:ascii="Times New Roman" w:hAnsi="Times New Roman"/>
        </w:rPr>
        <w:t>14</w:t>
      </w:r>
      <w:r>
        <w:rPr>
          <w:rFonts w:ascii="Times New Roman" w:hAnsi="Times New Roman"/>
        </w:rPr>
        <w:t xml:space="preserve"> de la CDB) lors de la session plénière du </w:t>
      </w:r>
      <w:r w:rsidRPr="00517FE1">
        <w:rPr>
          <w:rFonts w:ascii="Times New Roman" w:hAnsi="Times New Roman"/>
        </w:rPr>
        <w:t>22</w:t>
      </w:r>
      <w:r>
        <w:rPr>
          <w:rFonts w:ascii="Times New Roman" w:hAnsi="Times New Roman"/>
        </w:rPr>
        <w:t> octobre </w:t>
      </w:r>
      <w:r w:rsidRPr="00517FE1">
        <w:rPr>
          <w:rFonts w:ascii="Times New Roman" w:hAnsi="Times New Roman"/>
        </w:rPr>
        <w:t>2018</w:t>
      </w:r>
      <w:r>
        <w:rPr>
          <w:rFonts w:ascii="Times New Roman" w:hAnsi="Times New Roman"/>
        </w:rPr>
        <w:t xml:space="preserve"> qui s’est tenue à Strasbourg et a présenté la position de la Commission sur la plupart des questions abordées dans la résolution.</w:t>
      </w:r>
    </w:p>
    <w:p w:rsidR="00202E2B" w:rsidRPr="00DD0F6F" w:rsidRDefault="00202E2B" w:rsidP="00202E2B">
      <w:pPr>
        <w:widowControl w:val="0"/>
        <w:spacing w:before="240" w:after="120"/>
        <w:ind w:right="-30"/>
        <w:rPr>
          <w:rFonts w:ascii="Times New Roman" w:hAnsi="Times New Roman"/>
          <w:b/>
          <w:szCs w:val="24"/>
        </w:rPr>
      </w:pPr>
      <w:r>
        <w:rPr>
          <w:rFonts w:ascii="Times New Roman" w:hAnsi="Times New Roman"/>
          <w:b/>
        </w:rPr>
        <w:t xml:space="preserve">Réponse à des </w:t>
      </w:r>
      <w:r>
        <w:rPr>
          <w:rFonts w:ascii="Times New Roman" w:hAnsi="Times New Roman"/>
          <w:b/>
          <w:u w:val="single"/>
        </w:rPr>
        <w:t>paragraphes spécifiques</w:t>
      </w:r>
      <w:r>
        <w:rPr>
          <w:rFonts w:ascii="Times New Roman" w:hAnsi="Times New Roman"/>
          <w:b/>
        </w:rPr>
        <w:t xml:space="preserve"> de la résolution: </w:t>
      </w:r>
    </w:p>
    <w:p w:rsidR="00202E2B" w:rsidRPr="007B6451" w:rsidRDefault="00202E2B" w:rsidP="00202E2B">
      <w:pPr>
        <w:widowControl w:val="0"/>
        <w:spacing w:before="240" w:after="120"/>
        <w:ind w:right="-30"/>
        <w:rPr>
          <w:rFonts w:ascii="Times New Roman" w:hAnsi="Times New Roman"/>
          <w:szCs w:val="24"/>
        </w:rPr>
      </w:pPr>
      <w:r>
        <w:rPr>
          <w:rFonts w:ascii="Times New Roman" w:hAnsi="Times New Roman"/>
        </w:rPr>
        <w:t>En ce qui concerne le paragraphe </w:t>
      </w:r>
      <w:r w:rsidRPr="00517FE1">
        <w:rPr>
          <w:rFonts w:ascii="Times New Roman" w:hAnsi="Times New Roman"/>
        </w:rPr>
        <w:t>10</w:t>
      </w:r>
      <w:r>
        <w:rPr>
          <w:rFonts w:ascii="Times New Roman" w:hAnsi="Times New Roman"/>
        </w:rPr>
        <w:t xml:space="preserve"> et le cadre en matière de biodiversité pour l’après-</w:t>
      </w:r>
      <w:r w:rsidRPr="00517FE1">
        <w:rPr>
          <w:rFonts w:ascii="Times New Roman" w:hAnsi="Times New Roman"/>
        </w:rPr>
        <w:t>2020</w:t>
      </w:r>
      <w:r>
        <w:rPr>
          <w:rFonts w:ascii="Times New Roman" w:hAnsi="Times New Roman"/>
        </w:rPr>
        <w:t xml:space="preserve">, la Commission souligne, conformément aux conclusions du Conseil adoptées le </w:t>
      </w:r>
      <w:r w:rsidRPr="00517FE1">
        <w:rPr>
          <w:rFonts w:ascii="Times New Roman" w:hAnsi="Times New Roman"/>
        </w:rPr>
        <w:t>9</w:t>
      </w:r>
      <w:r>
        <w:rPr>
          <w:rFonts w:ascii="Times New Roman" w:hAnsi="Times New Roman"/>
        </w:rPr>
        <w:t> octobre qui définissent la position générale de l’Union européenne concernant les négociations de la COP</w:t>
      </w:r>
      <w:r w:rsidRPr="00517FE1">
        <w:rPr>
          <w:rFonts w:ascii="Times New Roman" w:hAnsi="Times New Roman"/>
        </w:rPr>
        <w:t>14</w:t>
      </w:r>
      <w:r>
        <w:rPr>
          <w:rFonts w:ascii="Times New Roman" w:hAnsi="Times New Roman"/>
        </w:rPr>
        <w:t xml:space="preserve"> de la CDB, la nécessité d’un cadre mondial ambitieux pour la biodiversité pour l’après-</w:t>
      </w:r>
      <w:r w:rsidRPr="00517FE1">
        <w:rPr>
          <w:rFonts w:ascii="Times New Roman" w:hAnsi="Times New Roman"/>
        </w:rPr>
        <w:t>2020</w:t>
      </w:r>
      <w:r>
        <w:rPr>
          <w:rFonts w:ascii="Times New Roman" w:hAnsi="Times New Roman"/>
        </w:rPr>
        <w:t>. Cela impliquera des objectifs qui seront, dans la mesure du possible, mesurables et assortis d’un calendrier, un cadre de mise en œuvre et de suivi adéquat avec des engagements volontaires de la part des parties ainsi qu’un processus de révision ouvert et transparent. La décision relative au processus de préparation du cadre mondial pour la biodiversité pour l’après-</w:t>
      </w:r>
      <w:r w:rsidRPr="00517FE1">
        <w:rPr>
          <w:rFonts w:ascii="Times New Roman" w:hAnsi="Times New Roman"/>
        </w:rPr>
        <w:t>2020</w:t>
      </w:r>
      <w:r>
        <w:rPr>
          <w:rFonts w:ascii="Times New Roman" w:hAnsi="Times New Roman"/>
        </w:rPr>
        <w:t xml:space="preserve"> adoptée par la COP</w:t>
      </w:r>
      <w:r w:rsidRPr="00517FE1">
        <w:rPr>
          <w:rFonts w:ascii="Times New Roman" w:hAnsi="Times New Roman"/>
        </w:rPr>
        <w:t>14</w:t>
      </w:r>
      <w:r>
        <w:rPr>
          <w:rFonts w:ascii="Times New Roman" w:hAnsi="Times New Roman"/>
        </w:rPr>
        <w:t xml:space="preserve"> de la CDB fournit une base ad hoc et invite les parties à développer de tels engagements volontaires.</w:t>
      </w:r>
    </w:p>
    <w:p w:rsidR="00202E2B" w:rsidRPr="007B6451" w:rsidRDefault="00202E2B" w:rsidP="00202E2B">
      <w:pPr>
        <w:widowControl w:val="0"/>
        <w:spacing w:before="240" w:after="120"/>
        <w:ind w:right="-30"/>
        <w:rPr>
          <w:rFonts w:ascii="Times New Roman" w:hAnsi="Times New Roman"/>
          <w:szCs w:val="24"/>
        </w:rPr>
      </w:pPr>
      <w:r>
        <w:rPr>
          <w:rFonts w:ascii="Times New Roman" w:hAnsi="Times New Roman"/>
        </w:rPr>
        <w:lastRenderedPageBreak/>
        <w:t>La Commission a également entamé ses travaux sur l’évaluation finale de la stratégie de l’Union européenne en matière de biodiversité à l’horizon </w:t>
      </w:r>
      <w:r w:rsidRPr="00517FE1">
        <w:rPr>
          <w:rFonts w:ascii="Times New Roman" w:hAnsi="Times New Roman"/>
        </w:rPr>
        <w:t>2020</w:t>
      </w:r>
      <w:r>
        <w:rPr>
          <w:rFonts w:ascii="Times New Roman" w:hAnsi="Times New Roman"/>
        </w:rPr>
        <w:t>, notamment les plans relatifs à la consultation des parties intéressées. Ces travaux contribueront aux discussions sur le cadre mondial pour l’après-</w:t>
      </w:r>
      <w:r w:rsidRPr="00517FE1">
        <w:rPr>
          <w:rFonts w:ascii="Times New Roman" w:hAnsi="Times New Roman"/>
        </w:rPr>
        <w:t>2020</w:t>
      </w:r>
      <w:r>
        <w:rPr>
          <w:rFonts w:ascii="Times New Roman" w:hAnsi="Times New Roman"/>
        </w:rPr>
        <w:t>.</w:t>
      </w:r>
    </w:p>
    <w:p w:rsidR="00202E2B" w:rsidRPr="007B6451" w:rsidRDefault="00202E2B" w:rsidP="00202E2B">
      <w:pPr>
        <w:widowControl w:val="0"/>
        <w:spacing w:before="240" w:after="120"/>
        <w:ind w:right="-30"/>
        <w:rPr>
          <w:rFonts w:ascii="Times New Roman" w:hAnsi="Times New Roman"/>
          <w:szCs w:val="24"/>
        </w:rPr>
      </w:pPr>
      <w:r>
        <w:rPr>
          <w:rFonts w:ascii="Times New Roman" w:hAnsi="Times New Roman"/>
        </w:rPr>
        <w:t>En ce qui concerne le paragraphe </w:t>
      </w:r>
      <w:r w:rsidRPr="00517FE1">
        <w:rPr>
          <w:rFonts w:ascii="Times New Roman" w:hAnsi="Times New Roman"/>
        </w:rPr>
        <w:t>15</w:t>
      </w:r>
      <w:r>
        <w:rPr>
          <w:rFonts w:ascii="Times New Roman" w:hAnsi="Times New Roman"/>
        </w:rPr>
        <w:t>, qui appelle à la mise en place de nouveaux mécanismes financiers internationaux, la Commission reconnaît qu’il est essentiel de mobiliser des ressources financières et d’autres ressources adéquates. Toutefois, la Commission estime qu’il est trop tôt pour décider s’il y a lieu de créer de nouveaux mécanismes financiers internationaux pour la biodiversité. Il convient d’évaluer avec soin les avantages et les inconvénients de ces options.</w:t>
      </w:r>
    </w:p>
    <w:p w:rsidR="00202E2B" w:rsidRPr="00677413" w:rsidRDefault="00202E2B" w:rsidP="00202E2B">
      <w:pPr>
        <w:widowControl w:val="0"/>
        <w:spacing w:before="240" w:after="120"/>
        <w:ind w:right="-30"/>
        <w:rPr>
          <w:rFonts w:ascii="Times New Roman" w:hAnsi="Times New Roman"/>
          <w:szCs w:val="24"/>
        </w:rPr>
      </w:pPr>
      <w:r>
        <w:rPr>
          <w:rFonts w:ascii="Times New Roman" w:hAnsi="Times New Roman"/>
        </w:rPr>
        <w:t>La stratégie de l’Union européenne en matière de biodiversité à l’horizon </w:t>
      </w:r>
      <w:r w:rsidRPr="00517FE1">
        <w:rPr>
          <w:rFonts w:ascii="Times New Roman" w:hAnsi="Times New Roman"/>
        </w:rPr>
        <w:t>2020</w:t>
      </w:r>
      <w:r>
        <w:rPr>
          <w:rFonts w:ascii="Times New Roman" w:hAnsi="Times New Roman"/>
        </w:rPr>
        <w:t xml:space="preserve"> comporte des objectifs et des actions concernant l’intégration de la biodiversité dans la politique agricole et sylvicole et la politique de la pêche et du développement. Les conclusions du Conseil susmentionnées soulignent également l’importance d’une telle intégration de la biodiversité dans tous les secteurs et du lien avec le développement durable. En ce qui concerne le paragraphe </w:t>
      </w:r>
      <w:r w:rsidRPr="00517FE1">
        <w:rPr>
          <w:rFonts w:ascii="Times New Roman" w:hAnsi="Times New Roman"/>
        </w:rPr>
        <w:t>5</w:t>
      </w:r>
      <w:r>
        <w:rPr>
          <w:rFonts w:ascii="Times New Roman" w:hAnsi="Times New Roman"/>
        </w:rPr>
        <w:t>, la Commission a l’intention d’adopter début </w:t>
      </w:r>
      <w:r w:rsidRPr="00517FE1">
        <w:rPr>
          <w:rFonts w:ascii="Times New Roman" w:hAnsi="Times New Roman"/>
        </w:rPr>
        <w:t>2019</w:t>
      </w:r>
      <w:r>
        <w:rPr>
          <w:rFonts w:ascii="Times New Roman" w:hAnsi="Times New Roman"/>
        </w:rPr>
        <w:t xml:space="preserve"> un document de réflexion sur une Europe durable à l’horizon </w:t>
      </w:r>
      <w:r w:rsidRPr="00517FE1">
        <w:rPr>
          <w:rFonts w:ascii="Times New Roman" w:hAnsi="Times New Roman"/>
        </w:rPr>
        <w:t>2030</w:t>
      </w:r>
      <w:r>
        <w:rPr>
          <w:rFonts w:ascii="Times New Roman" w:hAnsi="Times New Roman"/>
        </w:rPr>
        <w:t>, sur le suivi des objectifs de développement durable des Nations unies, notamment l’accord de Paris sur le changement climatique.</w:t>
      </w:r>
    </w:p>
    <w:p w:rsidR="00202E2B" w:rsidRDefault="00202E2B" w:rsidP="00202E2B">
      <w:pPr>
        <w:widowControl w:val="0"/>
        <w:spacing w:before="240" w:after="120"/>
        <w:ind w:right="-30"/>
        <w:rPr>
          <w:rFonts w:ascii="Times New Roman" w:hAnsi="Times New Roman"/>
        </w:rPr>
      </w:pPr>
      <w:r>
        <w:rPr>
          <w:rFonts w:ascii="Times New Roman" w:hAnsi="Times New Roman"/>
        </w:rPr>
        <w:t>La participation active des citoyens et de la société civile est cruciale pour atteindre les objectifs en matière de biodiversité. La Commission salue la contribution et le soutien du Parlement européen à ce processus.</w:t>
      </w:r>
    </w:p>
    <w:p w:rsidR="00680EFD" w:rsidRDefault="00680EFD"/>
    <w:sectPr w:rsidR="00680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015B4"/>
    <w:multiLevelType w:val="hybridMultilevel"/>
    <w:tmpl w:val="F176BF66"/>
    <w:lvl w:ilvl="0" w:tplc="0809000F">
      <w:start w:val="1"/>
      <w:numFmt w:val="decimal"/>
      <w:lvlText w:val="%1."/>
      <w:lvlJc w:val="left"/>
      <w:pPr>
        <w:ind w:left="360" w:hanging="360"/>
      </w:pPr>
      <w:rPr>
        <w:b/>
      </w:rPr>
    </w:lvl>
    <w:lvl w:ilvl="1" w:tplc="08090011">
      <w:start w:val="1"/>
      <w:numFmt w:val="decimal"/>
      <w:lvlText w:val="%2)"/>
      <w:lvlJc w:val="left"/>
      <w:pPr>
        <w:ind w:left="1440" w:hanging="360"/>
      </w:pPr>
    </w:lvl>
    <w:lvl w:ilvl="2" w:tplc="26702276">
      <w:start w:val="1"/>
      <w:numFmt w:val="bullet"/>
      <w:lvlText w:val="-"/>
      <w:lvlJc w:val="left"/>
      <w:pPr>
        <w:ind w:left="2760" w:hanging="780"/>
      </w:pPr>
      <w:rPr>
        <w:rFonts w:ascii="Times New Roman" w:eastAsia="Calibri" w:hAnsi="Times New Roman" w:cs="Times New Roman"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2B"/>
    <w:rsid w:val="00131AC6"/>
    <w:rsid w:val="001C3806"/>
    <w:rsid w:val="00202E2B"/>
    <w:rsid w:val="002871F7"/>
    <w:rsid w:val="00680EFD"/>
    <w:rsid w:val="006843AE"/>
    <w:rsid w:val="00B34A98"/>
    <w:rsid w:val="00B65AA4"/>
    <w:rsid w:val="00ED7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72FF8-FC0B-46D7-8B2C-614D72F3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E2B"/>
    <w:pPr>
      <w:spacing w:after="240" w:line="240" w:lineRule="auto"/>
      <w:jc w:val="both"/>
    </w:pPr>
    <w:rPr>
      <w:rFonts w:ascii="Courier New" w:eastAsia="Times New Roman" w:hAnsi="Courier New" w:cs="Times New Roman"/>
      <w:sz w:val="24"/>
      <w:szCs w:val="20"/>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nakZnak">
    <w:name w:val="Znak Znak"/>
    <w:basedOn w:val="Normal"/>
    <w:uiPriority w:val="99"/>
    <w:rsid w:val="00202E2B"/>
    <w:pPr>
      <w:spacing w:after="0" w:line="36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uroparl.europa.eu/sides/getDoc.do?type=REPORT&amp;mode=XML&amp;reference=A8-2016-0345&amp;language=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3898</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Veronique (SG)</dc:creator>
  <cp:keywords/>
  <dc:description/>
  <cp:lastModifiedBy>VINCENT Veronique (SG)</cp:lastModifiedBy>
  <cp:revision>1</cp:revision>
  <dcterms:created xsi:type="dcterms:W3CDTF">2019-03-14T09:29:00Z</dcterms:created>
  <dcterms:modified xsi:type="dcterms:W3CDTF">2019-03-14T09:30:00Z</dcterms:modified>
</cp:coreProperties>
</file>