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952" w:rsidRPr="006D0952" w:rsidRDefault="006D0952" w:rsidP="006D0952">
      <w:pPr>
        <w:spacing w:after="240"/>
        <w:jc w:val="center"/>
        <w:rPr>
          <w:lang w:val="fr-FR"/>
        </w:rPr>
      </w:pPr>
      <w:r w:rsidRPr="006D0952">
        <w:rPr>
          <w:b/>
          <w:caps/>
          <w:lang w:val="fr-FR"/>
        </w:rPr>
        <w:t>Procédure</w:t>
      </w:r>
      <w:r w:rsidRPr="006D0952">
        <w:rPr>
          <w:b/>
          <w:lang w:val="fr-FR"/>
        </w:rPr>
        <w:t xml:space="preserve"> LÉGISLATIVE ORDINAIRE – Première lecture</w:t>
      </w:r>
    </w:p>
    <w:p w:rsidR="006D0952" w:rsidRPr="006D0952" w:rsidRDefault="006D0952" w:rsidP="006D0952">
      <w:pPr>
        <w:spacing w:after="600"/>
        <w:jc w:val="center"/>
        <w:rPr>
          <w:lang w:val="fr-FR"/>
        </w:rPr>
      </w:pPr>
      <w:bookmarkStart w:id="0" w:name="buzek44"/>
      <w:r w:rsidRPr="006D0952">
        <w:rPr>
          <w:b/>
          <w:lang w:val="fr-FR"/>
        </w:rPr>
        <w:t>Suite donnée à la résolution législative du Parlement européen sur la proposition de directive du Parlement européen et du Conseil concernant des règles communes pour le marché intérieur de l’électricité (refonte)</w:t>
      </w:r>
    </w:p>
    <w:bookmarkEnd w:id="0"/>
    <w:p w:rsidR="006D0952" w:rsidRPr="006D0952" w:rsidRDefault="006D0952" w:rsidP="006D0952">
      <w:pPr>
        <w:spacing w:before="100" w:beforeAutospacing="1" w:after="100" w:afterAutospacing="1"/>
        <w:rPr>
          <w:lang w:val="fr-FR"/>
        </w:rPr>
      </w:pPr>
      <w:r w:rsidRPr="006D0952">
        <w:rPr>
          <w:b/>
          <w:lang w:val="fr-FR"/>
        </w:rPr>
        <w:t>1.</w:t>
      </w:r>
      <w:r w:rsidRPr="006D0952">
        <w:rPr>
          <w:b/>
          <w:lang w:val="fr-FR"/>
        </w:rPr>
        <w:tab/>
        <w:t xml:space="preserve">Rapporteur: </w:t>
      </w:r>
      <w:r w:rsidRPr="006D0952">
        <w:rPr>
          <w:lang w:val="fr-FR"/>
        </w:rPr>
        <w:t>Jerzy BUZEK (PPE/PL)</w:t>
      </w:r>
    </w:p>
    <w:p w:rsidR="006D0952" w:rsidRPr="006D0952" w:rsidRDefault="006D0952" w:rsidP="006D0952">
      <w:pPr>
        <w:spacing w:before="100" w:beforeAutospacing="1" w:after="100" w:afterAutospacing="1"/>
        <w:ind w:left="720" w:hanging="720"/>
        <w:rPr>
          <w:lang w:val="fr-FR"/>
        </w:rPr>
      </w:pPr>
      <w:r w:rsidRPr="006D0952">
        <w:rPr>
          <w:b/>
          <w:lang w:val="fr-FR"/>
        </w:rPr>
        <w:t>2.</w:t>
      </w:r>
      <w:r w:rsidRPr="006D0952">
        <w:rPr>
          <w:b/>
          <w:lang w:val="fr-FR"/>
        </w:rPr>
        <w:tab/>
        <w:t>Numéros de référence:</w:t>
      </w:r>
      <w:r w:rsidRPr="006D0952">
        <w:rPr>
          <w:lang w:val="fr-FR"/>
        </w:rPr>
        <w:t xml:space="preserve"> 2016/0380 (COD)/A8-0044/2018/P8_TA-PROV(2019)0226</w:t>
      </w:r>
    </w:p>
    <w:p w:rsidR="006D0952" w:rsidRPr="006D0952" w:rsidRDefault="006D0952" w:rsidP="006D0952">
      <w:pPr>
        <w:ind w:left="720" w:hanging="720"/>
        <w:rPr>
          <w:lang w:val="fr-FR"/>
        </w:rPr>
      </w:pPr>
      <w:r w:rsidRPr="006D0952">
        <w:rPr>
          <w:b/>
          <w:lang w:val="fr-FR"/>
        </w:rPr>
        <w:t>3.</w:t>
      </w:r>
      <w:r w:rsidRPr="006D0952">
        <w:rPr>
          <w:b/>
          <w:lang w:val="fr-FR"/>
        </w:rPr>
        <w:tab/>
        <w:t xml:space="preserve">Date d’adoption de la résolution: </w:t>
      </w:r>
      <w:r w:rsidRPr="006D0952">
        <w:rPr>
          <w:lang w:val="fr-FR"/>
        </w:rPr>
        <w:t>26 mars 2019</w:t>
      </w:r>
    </w:p>
    <w:p w:rsidR="006D0952" w:rsidRPr="006D0952" w:rsidRDefault="006D0952" w:rsidP="006D0952">
      <w:pPr>
        <w:spacing w:before="100" w:beforeAutospacing="1" w:after="100" w:afterAutospacing="1"/>
        <w:ind w:left="720" w:hanging="720"/>
        <w:rPr>
          <w:lang w:val="fr-FR"/>
        </w:rPr>
      </w:pPr>
      <w:r w:rsidRPr="006D0952">
        <w:rPr>
          <w:b/>
          <w:lang w:val="fr-FR"/>
        </w:rPr>
        <w:t>4.</w:t>
      </w:r>
      <w:r w:rsidRPr="006D0952">
        <w:rPr>
          <w:b/>
          <w:lang w:val="fr-FR"/>
        </w:rPr>
        <w:tab/>
        <w:t xml:space="preserve">Base juridique: </w:t>
      </w:r>
      <w:r w:rsidRPr="006D0952">
        <w:rPr>
          <w:lang w:val="fr-FR"/>
        </w:rPr>
        <w:t>article 194, paragraphe 2, du traité sur le fonctionnement de l’Union européenne.</w:t>
      </w:r>
    </w:p>
    <w:p w:rsidR="006D0952" w:rsidRPr="006D0952" w:rsidRDefault="006D0952" w:rsidP="006D0952">
      <w:pPr>
        <w:spacing w:before="100" w:beforeAutospacing="1" w:after="100" w:afterAutospacing="1"/>
        <w:ind w:left="720" w:hanging="720"/>
        <w:rPr>
          <w:i/>
          <w:lang w:val="fr-FR"/>
        </w:rPr>
      </w:pPr>
      <w:r w:rsidRPr="006D0952">
        <w:rPr>
          <w:b/>
          <w:lang w:val="fr-FR"/>
        </w:rPr>
        <w:t>5.</w:t>
      </w:r>
      <w:r w:rsidRPr="006D0952">
        <w:rPr>
          <w:b/>
          <w:lang w:val="fr-FR"/>
        </w:rPr>
        <w:tab/>
        <w:t xml:space="preserve">Commission parlementaire compétente: </w:t>
      </w:r>
      <w:r w:rsidRPr="006D0952">
        <w:rPr>
          <w:lang w:val="fr-FR"/>
        </w:rPr>
        <w:t>commission de l’industrie, de la recherche et de l’énergie </w:t>
      </w:r>
      <w:r w:rsidRPr="006D0952">
        <w:rPr>
          <w:rStyle w:val="playerscommitteetext"/>
          <w:lang w:val="fr-FR"/>
        </w:rPr>
        <w:t>(ITRE)</w:t>
      </w:r>
    </w:p>
    <w:p w:rsidR="006D0952" w:rsidRPr="006D0952" w:rsidRDefault="006D0952" w:rsidP="006D0952">
      <w:pPr>
        <w:spacing w:before="100" w:beforeAutospacing="1" w:after="100" w:afterAutospacing="1"/>
        <w:ind w:left="720" w:hanging="720"/>
        <w:rPr>
          <w:color w:val="000000"/>
          <w:lang w:val="fr-FR"/>
        </w:rPr>
      </w:pPr>
      <w:r w:rsidRPr="006D0952">
        <w:rPr>
          <w:b/>
          <w:lang w:val="fr-FR"/>
        </w:rPr>
        <w:t>6.</w:t>
      </w:r>
      <w:r w:rsidRPr="006D0952">
        <w:rPr>
          <w:b/>
          <w:lang w:val="fr-FR"/>
        </w:rPr>
        <w:tab/>
        <w:t>Position de la Commission:</w:t>
      </w:r>
      <w:r w:rsidRPr="006D0952">
        <w:rPr>
          <w:sz w:val="22"/>
          <w:szCs w:val="22"/>
          <w:lang w:val="fr-FR"/>
        </w:rPr>
        <w:t xml:space="preserve"> </w:t>
      </w:r>
      <w:r w:rsidRPr="006D0952">
        <w:rPr>
          <w:lang w:val="fr-FR"/>
        </w:rPr>
        <w:t>la Commission accepte tous les amendements. La Commission a fait les déclarations suivantes:</w:t>
      </w:r>
    </w:p>
    <w:p w:rsidR="006D0952" w:rsidRPr="006D0952" w:rsidRDefault="006D0952" w:rsidP="006D0952">
      <w:pPr>
        <w:spacing w:after="120"/>
        <w:rPr>
          <w:bCs/>
          <w:iCs/>
          <w:lang w:val="fr-FR"/>
        </w:rPr>
      </w:pPr>
      <w:r w:rsidRPr="006D0952">
        <w:rPr>
          <w:b/>
          <w:bCs/>
          <w:iCs/>
          <w:lang w:val="fr-FR"/>
        </w:rPr>
        <w:t>«DÉCLARATION DE LA COMMISSION SUR LE RÈGLEMENT EXTRAJUDICIAIRE DES LITIGES</w:t>
      </w:r>
    </w:p>
    <w:p w:rsidR="006D0952" w:rsidRDefault="006D0952" w:rsidP="006D0952">
      <w:pPr>
        <w:spacing w:after="120"/>
        <w:rPr>
          <w:bCs/>
          <w:iCs/>
        </w:rPr>
      </w:pPr>
      <w:r w:rsidRPr="006D0952">
        <w:rPr>
          <w:lang w:val="fr-FR"/>
        </w:rPr>
        <w:t xml:space="preserve">La Commission prend note de l’accord des colégislateurs relatif à l’article 26 afin de disposer à l’échelon de l’UE que la participation des fournisseurs de services énergétiques à la résolution extrajudiciaire des litiges est obligatoire. </w:t>
      </w:r>
      <w:r>
        <w:t>La Commission regrette cette décision car sa proposition laissait les États membres libres de choisir à ce sujet, selon l’approche adoptée dans la directive 2013/11/UE relative au règlement extrajudiciaire des litiges de consommation (directive REL) et se fondait sur les principes de subsidiarité et de proportionnalité.</w:t>
      </w:r>
    </w:p>
    <w:p w:rsidR="006D0952" w:rsidRDefault="006D0952" w:rsidP="006D0952">
      <w:pPr>
        <w:spacing w:after="120"/>
        <w:rPr>
          <w:bCs/>
          <w:iCs/>
        </w:rPr>
      </w:pPr>
      <w:r>
        <w:t>Il n’appartient pas à la Commission d’effectuer des évaluations comparatives des différents modèles de résolution extrajudiciaire des litiges mis en place par les États membres. La Commission considérera donc l’efficacité globale des cadres nationaux en matière de règlement extrajudiciaire des litiges, au titre de son obligation générale de contrôle de la transposition et de l’application effective du droit de l’Union.»</w:t>
      </w:r>
    </w:p>
    <w:p w:rsidR="006D0952" w:rsidRDefault="006D0952" w:rsidP="006D0952">
      <w:pPr>
        <w:spacing w:after="120"/>
        <w:rPr>
          <w:bCs/>
          <w:iCs/>
        </w:rPr>
      </w:pPr>
      <w:r>
        <w:t>«</w:t>
      </w:r>
      <w:r>
        <w:rPr>
          <w:b/>
          <w:bCs/>
          <w:iCs/>
        </w:rPr>
        <w:t>DÉCLARATION DE LA COMMISSION CONCERNANT LA DÉFINITION DU TERME “INTERCONNEXION”</w:t>
      </w:r>
    </w:p>
    <w:p w:rsidR="006D0952" w:rsidRDefault="006D0952" w:rsidP="006D0952">
      <w:pPr>
        <w:spacing w:after="120"/>
        <w:rPr>
          <w:bCs/>
          <w:iCs/>
        </w:rPr>
      </w:pPr>
      <w:r>
        <w:t>La Commission prend acte de l’accord des colégislateurs relatif à la refonte de la directive sur l’électricité et à la refonte du règlement sur l’électricité, qui revient à la définition utilisée dans la directive 2009/72/CE et dans le règlement (CE) nº 714/2009 pour le terme “interconnexion”. La Commission convient que les marchés de l’électricité diffèrent d’autres marchés, tels que celui du gaz naturel, en ce que, par exemple, ils portent sur des échanges de produits qui ne peuvent actuellement pas être facilement stockés et font appel à une grande variété d’installations de production et d’installations de distribution. Il en résulte que les connexions vers les pays tiers jouent un rôle très différent selon qu’elles appartiennent au secteur de l’électricité ou au secteur du gaz et qu’il est donc possible d’opter pour des approches réglementaires différentes.</w:t>
      </w:r>
    </w:p>
    <w:p w:rsidR="006D0952" w:rsidRDefault="006D0952" w:rsidP="006D0952">
      <w:pPr>
        <w:spacing w:after="120"/>
        <w:rPr>
          <w:bCs/>
          <w:iCs/>
        </w:rPr>
      </w:pPr>
      <w:r>
        <w:lastRenderedPageBreak/>
        <w:t>La Commission examinera plus en détail l’incidence de cet accord et fournira, au besoin, des orientations sur l’application de la législation.</w:t>
      </w:r>
    </w:p>
    <w:p w:rsidR="006D0952" w:rsidRDefault="006D0952" w:rsidP="006D0952">
      <w:pPr>
        <w:spacing w:after="120"/>
        <w:rPr>
          <w:bCs/>
          <w:iCs/>
        </w:rPr>
      </w:pPr>
      <w:r>
        <w:t>Dans un souci de clarté juridique, la Commission souhaite souligner ce qui suit:</w:t>
      </w:r>
    </w:p>
    <w:p w:rsidR="006D0952" w:rsidRDefault="006D0952" w:rsidP="006D0952">
      <w:pPr>
        <w:spacing w:after="120"/>
        <w:rPr>
          <w:bCs/>
          <w:iCs/>
        </w:rPr>
      </w:pPr>
      <w:r>
        <w:t>La définition de l’interconnexion figurant dans la directive sur l’électricité renvoie aux équipements utilisés pour interconnecter les réseaux électriques. Cette formulation n’établit pas de distinction entre différents cadres réglementaires ou situations techniques et inclut donc a priori dans le champ d’application tous les raccordements électriques aux réseaux de pays tiers. S’agissant de la définition de l’interconnexion figurant dans le règlement sur l’électricité, la Commission souligne que l’intégration des marchés de l’électricité requiert un degré élevé de coopération entre les gestionnaires de réseau, les acteurs du marché et les régulateurs. Si le champ d’application des règles applicables peut varier en fonction du degré d’intégration au marché intérieur de l’électricité, une intégration étroite des pays tiers dans le marché intérieur de l’électricité, par exemple la participation à des projets de couplage de marché, devrait être fondée sur des accords imposant l’application du droit de l’Union en la matière.»</w:t>
      </w:r>
    </w:p>
    <w:p w:rsidR="008765BE" w:rsidRDefault="008765BE">
      <w:bookmarkStart w:id="1" w:name="_GoBack"/>
      <w:bookmarkEnd w:id="1"/>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52"/>
    <w:rsid w:val="005762E3"/>
    <w:rsid w:val="006D0952"/>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B9F91-0C60-4446-9E1A-B94C69B6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customStyle="1" w:styleId="playerscommitteetext">
    <w:name w:val="players_committee_text"/>
    <w:basedOn w:val="DefaultParagraphFont"/>
    <w:rsid w:val="006D0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3435</Characters>
  <Application>Microsoft Office Word</Application>
  <DocSecurity>0</DocSecurity>
  <Lines>28</Lines>
  <Paragraphs>8</Paragraphs>
  <ScaleCrop>false</ScaleCrop>
  <Company>European Parliament</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GIACOMETTI Vanessa</dc:creator>
  <cp:keywords/>
  <dc:description/>
  <cp:lastModifiedBy>GIACOMETTI Vanessa</cp:lastModifiedBy>
  <cp:revision>1</cp:revision>
  <dcterms:created xsi:type="dcterms:W3CDTF">2019-09-03T16:50:00Z</dcterms:created>
  <dcterms:modified xsi:type="dcterms:W3CDTF">2019-09-03T16:51:00Z</dcterms:modified>
</cp:coreProperties>
</file>