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A4" w:rsidRPr="00AF49A4" w:rsidRDefault="00AF49A4" w:rsidP="00AF49A4">
      <w:pPr>
        <w:spacing w:after="240"/>
        <w:jc w:val="center"/>
        <w:rPr>
          <w:rFonts w:eastAsia="Times New Roman"/>
          <w:szCs w:val="20"/>
          <w:lang w:eastAsia="en-GB"/>
        </w:rPr>
      </w:pPr>
      <w:bookmarkStart w:id="0" w:name="FOX"/>
      <w:r w:rsidRPr="00AF49A4">
        <w:rPr>
          <w:rFonts w:eastAsia="Times New Roman"/>
          <w:b/>
          <w:szCs w:val="20"/>
          <w:lang w:eastAsia="en-GB"/>
        </w:rPr>
        <w:t xml:space="preserve">ORDINARY LEGISLATIVE </w:t>
      </w:r>
      <w:r w:rsidRPr="00AF49A4">
        <w:rPr>
          <w:rFonts w:eastAsia="Times New Roman"/>
          <w:b/>
          <w:caps/>
          <w:szCs w:val="20"/>
          <w:lang w:eastAsia="en-GB"/>
        </w:rPr>
        <w:t>procedure</w:t>
      </w:r>
      <w:r w:rsidRPr="00AF49A4">
        <w:rPr>
          <w:rFonts w:eastAsia="Times New Roman"/>
          <w:b/>
          <w:szCs w:val="20"/>
          <w:lang w:eastAsia="en-GB"/>
        </w:rPr>
        <w:t xml:space="preserve"> – First reading</w:t>
      </w:r>
      <w:bookmarkEnd w:id="0"/>
    </w:p>
    <w:p w:rsidR="00AF49A4" w:rsidRPr="00AF49A4" w:rsidRDefault="00AF49A4" w:rsidP="00AF49A4">
      <w:pPr>
        <w:spacing w:after="720"/>
        <w:jc w:val="center"/>
        <w:rPr>
          <w:rFonts w:eastAsia="Times New Roman"/>
          <w:b/>
          <w:bCs/>
          <w:lang w:eastAsia="en-GB"/>
        </w:rPr>
      </w:pPr>
      <w:r w:rsidRPr="00AF49A4">
        <w:rPr>
          <w:rFonts w:eastAsia="Times New Roman"/>
          <w:b/>
          <w:bCs/>
          <w:lang w:eastAsia="en-GB"/>
        </w:rPr>
        <w:t xml:space="preserve">Follow up to the </w:t>
      </w:r>
      <w:r w:rsidRPr="00AF49A4">
        <w:rPr>
          <w:rFonts w:eastAsia="Times New Roman"/>
          <w:b/>
          <w:lang w:eastAsia="en-GB"/>
        </w:rPr>
        <w:t xml:space="preserve">European Parliament legislative resolution </w:t>
      </w:r>
      <w:r w:rsidRPr="00AF49A4">
        <w:rPr>
          <w:rFonts w:eastAsia="Times New Roman"/>
          <w:b/>
          <w:bCs/>
          <w:lang w:eastAsia="en-GB"/>
        </w:rPr>
        <w:t>on the proposal for a regulation of the European Parliament and of the Council on European Crowdfunding Service Providers (ECSP) for Business</w:t>
      </w:r>
    </w:p>
    <w:p w:rsidR="00AF49A4" w:rsidRPr="00AF49A4" w:rsidRDefault="00AF49A4" w:rsidP="00AF49A4">
      <w:pPr>
        <w:shd w:val="clear" w:color="auto" w:fill="FFFFFF"/>
        <w:spacing w:line="288" w:lineRule="atLeast"/>
        <w:jc w:val="left"/>
        <w:textAlignment w:val="center"/>
        <w:rPr>
          <w:rFonts w:eastAsia="Times New Roman"/>
          <w:szCs w:val="20"/>
          <w:lang w:val="fr-BE" w:eastAsia="en-GB"/>
        </w:rPr>
      </w:pPr>
      <w:r w:rsidRPr="00AF49A4">
        <w:rPr>
          <w:rFonts w:eastAsia="Times New Roman"/>
          <w:b/>
          <w:szCs w:val="20"/>
          <w:lang w:val="fr-BE" w:eastAsia="en-GB"/>
        </w:rPr>
        <w:t>1.</w:t>
      </w:r>
      <w:r w:rsidRPr="00AF49A4">
        <w:rPr>
          <w:rFonts w:eastAsia="Times New Roman"/>
          <w:b/>
          <w:szCs w:val="20"/>
          <w:lang w:val="fr-BE" w:eastAsia="en-GB"/>
        </w:rPr>
        <w:tab/>
        <w:t xml:space="preserve">Rapporteur: </w:t>
      </w:r>
      <w:r w:rsidRPr="00AF49A4">
        <w:rPr>
          <w:rFonts w:eastAsia="Times New Roman"/>
          <w:szCs w:val="20"/>
          <w:lang w:val="fr-BE" w:eastAsia="en-GB"/>
        </w:rPr>
        <w:t xml:space="preserve">Ashley </w:t>
      </w:r>
      <w:r w:rsidRPr="00AF49A4">
        <w:rPr>
          <w:rFonts w:eastAsia="Times New Roman"/>
          <w:bdr w:val="none" w:sz="0" w:space="0" w:color="auto" w:frame="1"/>
          <w:lang w:val="fr-BE" w:eastAsia="en-GB"/>
        </w:rPr>
        <w:t xml:space="preserve">FOX </w:t>
      </w:r>
      <w:r w:rsidRPr="00AF49A4">
        <w:rPr>
          <w:rFonts w:eastAsia="Times New Roman"/>
          <w:szCs w:val="20"/>
          <w:lang w:val="fr-BE" w:eastAsia="en-GB"/>
        </w:rPr>
        <w:t>(ECR / UK)</w:t>
      </w:r>
    </w:p>
    <w:p w:rsidR="00AF49A4" w:rsidRPr="00AF49A4" w:rsidRDefault="00AF49A4" w:rsidP="00AF49A4">
      <w:pPr>
        <w:spacing w:before="100" w:beforeAutospacing="1" w:after="100" w:afterAutospacing="1" w:line="240" w:lineRule="atLeast"/>
        <w:ind w:left="720" w:hanging="720"/>
        <w:rPr>
          <w:rFonts w:eastAsia="Times New Roman"/>
          <w:szCs w:val="20"/>
          <w:lang w:eastAsia="en-GB"/>
        </w:rPr>
      </w:pPr>
      <w:r w:rsidRPr="00AF49A4">
        <w:rPr>
          <w:rFonts w:eastAsia="Times New Roman"/>
          <w:b/>
          <w:szCs w:val="20"/>
          <w:lang w:eastAsia="en-GB"/>
        </w:rPr>
        <w:t>2.</w:t>
      </w:r>
      <w:r w:rsidRPr="00AF49A4">
        <w:rPr>
          <w:rFonts w:eastAsia="Times New Roman"/>
          <w:b/>
          <w:szCs w:val="20"/>
          <w:lang w:eastAsia="en-GB"/>
        </w:rPr>
        <w:tab/>
        <w:t>Reference numbers:</w:t>
      </w:r>
      <w:r w:rsidRPr="00AF49A4">
        <w:rPr>
          <w:rFonts w:eastAsia="Times New Roman"/>
          <w:szCs w:val="20"/>
          <w:lang w:eastAsia="en-GB"/>
        </w:rPr>
        <w:t xml:space="preserve"> 2018/0048 (COD) / A8-0364/2018 / P8_TA-</w:t>
      </w:r>
      <w:proofErr w:type="gramStart"/>
      <w:r w:rsidRPr="00AF49A4">
        <w:rPr>
          <w:rFonts w:eastAsia="Times New Roman"/>
          <w:szCs w:val="20"/>
          <w:lang w:eastAsia="en-GB"/>
        </w:rPr>
        <w:t>PROV(</w:t>
      </w:r>
      <w:proofErr w:type="gramEnd"/>
      <w:r w:rsidRPr="00AF49A4">
        <w:rPr>
          <w:rFonts w:eastAsia="Times New Roman"/>
          <w:szCs w:val="20"/>
          <w:lang w:eastAsia="en-GB"/>
        </w:rPr>
        <w:t>2019)0301</w:t>
      </w:r>
    </w:p>
    <w:p w:rsidR="00AF49A4" w:rsidRPr="00AF49A4" w:rsidRDefault="00AF49A4" w:rsidP="00AF49A4">
      <w:pPr>
        <w:spacing w:line="240" w:lineRule="atLeast"/>
        <w:ind w:left="720" w:hanging="720"/>
        <w:jc w:val="left"/>
        <w:rPr>
          <w:rFonts w:eastAsia="Times New Roman"/>
          <w:szCs w:val="20"/>
          <w:lang w:eastAsia="en-GB"/>
        </w:rPr>
      </w:pPr>
      <w:r w:rsidRPr="00AF49A4">
        <w:rPr>
          <w:rFonts w:eastAsia="Times New Roman"/>
          <w:b/>
          <w:szCs w:val="20"/>
          <w:lang w:eastAsia="en-GB"/>
        </w:rPr>
        <w:t>3.</w:t>
      </w:r>
      <w:r w:rsidRPr="00AF49A4">
        <w:rPr>
          <w:rFonts w:eastAsia="Times New Roman"/>
          <w:b/>
          <w:szCs w:val="20"/>
          <w:lang w:eastAsia="en-GB"/>
        </w:rPr>
        <w:tab/>
        <w:t xml:space="preserve">Date of adoption of the resolution: </w:t>
      </w:r>
      <w:r w:rsidRPr="00AF49A4">
        <w:rPr>
          <w:rFonts w:eastAsia="Times New Roman"/>
          <w:szCs w:val="20"/>
          <w:lang w:eastAsia="en-GB"/>
        </w:rPr>
        <w:t>27 March 2019</w:t>
      </w:r>
    </w:p>
    <w:p w:rsidR="00AF49A4" w:rsidRPr="00AF49A4" w:rsidRDefault="00AF49A4" w:rsidP="00AF49A4">
      <w:pPr>
        <w:spacing w:before="100" w:beforeAutospacing="1" w:after="100" w:afterAutospacing="1" w:line="240" w:lineRule="atLeast"/>
        <w:ind w:left="720" w:hanging="720"/>
        <w:rPr>
          <w:rFonts w:eastAsia="Times New Roman"/>
          <w:szCs w:val="20"/>
          <w:lang w:eastAsia="en-GB"/>
        </w:rPr>
      </w:pPr>
      <w:r w:rsidRPr="00AF49A4">
        <w:rPr>
          <w:rFonts w:eastAsia="Times New Roman"/>
          <w:b/>
          <w:szCs w:val="20"/>
          <w:lang w:eastAsia="en-GB"/>
        </w:rPr>
        <w:t>4.</w:t>
      </w:r>
      <w:r w:rsidRPr="00AF49A4">
        <w:rPr>
          <w:rFonts w:eastAsia="Times New Roman"/>
          <w:b/>
          <w:szCs w:val="20"/>
          <w:lang w:eastAsia="en-GB"/>
        </w:rPr>
        <w:tab/>
        <w:t xml:space="preserve">Legal basis: </w:t>
      </w:r>
      <w:r w:rsidRPr="00AF49A4">
        <w:rPr>
          <w:rFonts w:eastAsia="Times New Roman"/>
          <w:lang w:eastAsia="en-GB"/>
        </w:rPr>
        <w:t>Article 114 of the Treaty on the Functioning of the European Union</w:t>
      </w:r>
    </w:p>
    <w:p w:rsidR="00AF49A4" w:rsidRPr="00AF49A4" w:rsidRDefault="00AF49A4" w:rsidP="00AF49A4">
      <w:pPr>
        <w:spacing w:before="100" w:beforeAutospacing="1" w:after="100" w:afterAutospacing="1" w:line="240" w:lineRule="atLeast"/>
        <w:ind w:left="720" w:hanging="720"/>
        <w:rPr>
          <w:rFonts w:eastAsia="Times New Roman"/>
          <w:i/>
          <w:szCs w:val="20"/>
          <w:lang w:eastAsia="en-GB"/>
        </w:rPr>
      </w:pPr>
      <w:r w:rsidRPr="00AF49A4">
        <w:rPr>
          <w:rFonts w:eastAsia="Times New Roman"/>
          <w:b/>
          <w:szCs w:val="20"/>
          <w:lang w:eastAsia="en-GB"/>
        </w:rPr>
        <w:t>5.</w:t>
      </w:r>
      <w:r w:rsidRPr="00AF49A4">
        <w:rPr>
          <w:rFonts w:eastAsia="Times New Roman"/>
          <w:b/>
          <w:szCs w:val="20"/>
          <w:lang w:eastAsia="en-GB"/>
        </w:rPr>
        <w:tab/>
        <w:t xml:space="preserve">Competent Parliamentary Committee: </w:t>
      </w:r>
      <w:r w:rsidRPr="00AF49A4">
        <w:rPr>
          <w:rFonts w:eastAsia="Times New Roman"/>
          <w:szCs w:val="20"/>
          <w:lang w:eastAsia="en-GB"/>
        </w:rPr>
        <w:t>Committee on Economic and Monetary Affairs (ECON)</w:t>
      </w:r>
    </w:p>
    <w:p w:rsidR="00AF49A4" w:rsidRPr="00AF49A4" w:rsidRDefault="00AF49A4" w:rsidP="00AF49A4">
      <w:pPr>
        <w:spacing w:before="100" w:beforeAutospacing="1" w:after="100" w:afterAutospacing="1" w:line="240" w:lineRule="atLeast"/>
        <w:ind w:left="720" w:hanging="720"/>
        <w:rPr>
          <w:rFonts w:eastAsia="Times New Roman"/>
          <w:color w:val="000000"/>
          <w:sz w:val="22"/>
          <w:szCs w:val="22"/>
          <w:lang w:eastAsia="en-GB"/>
        </w:rPr>
      </w:pPr>
      <w:r w:rsidRPr="00AF49A4">
        <w:rPr>
          <w:rFonts w:eastAsia="Times New Roman"/>
          <w:b/>
          <w:szCs w:val="20"/>
          <w:lang w:eastAsia="en-GB"/>
        </w:rPr>
        <w:t>6.</w:t>
      </w:r>
      <w:r w:rsidRPr="00AF49A4">
        <w:rPr>
          <w:rFonts w:eastAsia="Times New Roman"/>
          <w:b/>
          <w:szCs w:val="20"/>
          <w:lang w:eastAsia="en-GB"/>
        </w:rPr>
        <w:tab/>
      </w:r>
      <w:r w:rsidRPr="00AF49A4">
        <w:rPr>
          <w:rFonts w:eastAsia="Times New Roman"/>
          <w:b/>
          <w:lang w:eastAsia="en-GB"/>
        </w:rPr>
        <w:t>Commission's position:</w:t>
      </w:r>
      <w:r w:rsidRPr="00AF49A4">
        <w:rPr>
          <w:rFonts w:eastAsia="Times New Roman"/>
          <w:color w:val="000000"/>
          <w:lang w:eastAsia="en-GB"/>
        </w:rPr>
        <w:t xml:space="preserve"> The Commission reserves its position on all the amendments of the European Parliament. However, it expresses concerns regarding the following amendments to the Commission’s proposal:</w:t>
      </w:r>
    </w:p>
    <w:p w:rsidR="00AF49A4" w:rsidRPr="00AF49A4" w:rsidRDefault="00AF49A4" w:rsidP="00AF49A4">
      <w:pPr>
        <w:numPr>
          <w:ilvl w:val="0"/>
          <w:numId w:val="1"/>
        </w:numPr>
        <w:spacing w:after="120" w:line="240" w:lineRule="atLeast"/>
        <w:contextualSpacing/>
        <w:jc w:val="left"/>
        <w:rPr>
          <w:rFonts w:eastAsia="Times New Roman"/>
          <w:b/>
          <w:color w:val="000000"/>
          <w:lang w:eastAsia="en-GB"/>
        </w:rPr>
      </w:pPr>
      <w:r w:rsidRPr="00AF49A4">
        <w:rPr>
          <w:rFonts w:eastAsia="Times New Roman"/>
          <w:b/>
          <w:color w:val="000000"/>
          <w:lang w:eastAsia="en-GB"/>
        </w:rPr>
        <w:t xml:space="preserve">ECSP authorisation and supervision: </w:t>
      </w:r>
      <w:r w:rsidRPr="00AF49A4">
        <w:rPr>
          <w:rFonts w:eastAsia="Times New Roman"/>
          <w:color w:val="000000"/>
          <w:lang w:eastAsia="en-GB"/>
        </w:rPr>
        <w:t xml:space="preserve">The Parliament significantly reduces the role of European Securities and Markets Authority (ESMA) in the authorisation and supervision of ECSPs, which </w:t>
      </w:r>
      <w:proofErr w:type="gramStart"/>
      <w:r w:rsidRPr="00AF49A4">
        <w:rPr>
          <w:rFonts w:eastAsia="Times New Roman"/>
          <w:color w:val="000000"/>
          <w:lang w:eastAsia="en-GB"/>
        </w:rPr>
        <w:t>is now given</w:t>
      </w:r>
      <w:proofErr w:type="gramEnd"/>
      <w:r w:rsidRPr="00AF49A4">
        <w:rPr>
          <w:rFonts w:eastAsia="Times New Roman"/>
          <w:color w:val="000000"/>
          <w:lang w:eastAsia="en-GB"/>
        </w:rPr>
        <w:t xml:space="preserve"> to National Competent Authorities (NCAs).</w:t>
      </w:r>
    </w:p>
    <w:p w:rsidR="00AF49A4" w:rsidRPr="00AF49A4" w:rsidRDefault="00AF49A4" w:rsidP="00AF49A4">
      <w:pPr>
        <w:numPr>
          <w:ilvl w:val="0"/>
          <w:numId w:val="1"/>
        </w:numPr>
        <w:spacing w:after="120" w:line="240" w:lineRule="atLeast"/>
        <w:contextualSpacing/>
        <w:jc w:val="left"/>
        <w:rPr>
          <w:rFonts w:eastAsia="Times New Roman"/>
          <w:b/>
          <w:color w:val="000000"/>
          <w:lang w:eastAsia="en-GB"/>
        </w:rPr>
      </w:pPr>
      <w:r w:rsidRPr="00AF49A4">
        <w:rPr>
          <w:rFonts w:eastAsia="Times New Roman"/>
          <w:b/>
          <w:color w:val="000000"/>
          <w:lang w:eastAsia="en-GB"/>
        </w:rPr>
        <w:t xml:space="preserve">Threshold for crowdfunding offer issuance: </w:t>
      </w:r>
      <w:r w:rsidRPr="00AF49A4">
        <w:rPr>
          <w:rFonts w:eastAsia="Times New Roman"/>
          <w:color w:val="000000"/>
          <w:lang w:eastAsia="en-GB"/>
        </w:rPr>
        <w:t>The Parliament proposes an increase of the threshold for issuance of crowdfunding offers from the proposed EUR 1 000 000 to EUR 8 000 000, in line with the maximum amount for national derogation from the need to publish a prospectus under the Prospectus Regulation.</w:t>
      </w:r>
    </w:p>
    <w:p w:rsidR="00AF49A4" w:rsidRPr="00AF49A4" w:rsidRDefault="00AF49A4" w:rsidP="00AF49A4">
      <w:pPr>
        <w:numPr>
          <w:ilvl w:val="0"/>
          <w:numId w:val="1"/>
        </w:numPr>
        <w:spacing w:after="120" w:line="240" w:lineRule="atLeast"/>
        <w:contextualSpacing/>
        <w:jc w:val="left"/>
        <w:rPr>
          <w:rFonts w:eastAsia="Times New Roman"/>
          <w:b/>
          <w:color w:val="000000"/>
          <w:lang w:eastAsia="en-GB"/>
        </w:rPr>
      </w:pPr>
      <w:r w:rsidRPr="00AF49A4">
        <w:rPr>
          <w:rFonts w:eastAsia="Times New Roman"/>
          <w:b/>
          <w:color w:val="000000"/>
          <w:lang w:eastAsia="en-GB"/>
        </w:rPr>
        <w:t xml:space="preserve">Scope of services: </w:t>
      </w:r>
      <w:r w:rsidRPr="00AF49A4">
        <w:rPr>
          <w:rFonts w:eastAsia="Times New Roman"/>
          <w:color w:val="000000"/>
          <w:lang w:eastAsia="en-GB"/>
        </w:rPr>
        <w:t xml:space="preserve">The Parliament’s position expands the scope of services </w:t>
      </w:r>
      <w:proofErr w:type="gramStart"/>
      <w:r w:rsidRPr="00AF49A4">
        <w:rPr>
          <w:rFonts w:eastAsia="Times New Roman"/>
          <w:color w:val="000000"/>
          <w:lang w:eastAsia="en-GB"/>
        </w:rPr>
        <w:t>permitted to be carried</w:t>
      </w:r>
      <w:proofErr w:type="gramEnd"/>
      <w:r w:rsidRPr="00AF49A4">
        <w:rPr>
          <w:rFonts w:eastAsia="Times New Roman"/>
          <w:color w:val="000000"/>
          <w:lang w:eastAsia="en-GB"/>
        </w:rPr>
        <w:t xml:space="preserve"> out by an ECSP to investment advice and to intermediated services that may result in individual and collective portfolio management. These business models would respectively fall under the Markets in Financial Instruments Directive and Regulation (MiFID/R) and the Alternative Investment Fund Managers Directive (AIFMD). This includes complex lending-based models, which involve packaging and pricing of loans together with the possibility for ECSPs even to act on their own account.</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17471"/>
    <w:multiLevelType w:val="hybridMultilevel"/>
    <w:tmpl w:val="B8A084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A4"/>
    <w:rsid w:val="000F3C25"/>
    <w:rsid w:val="005762E3"/>
    <w:rsid w:val="008765BE"/>
    <w:rsid w:val="00AF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68BA5-ECF0-4834-876D-CB83393E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1642</Characters>
  <Application>Microsoft Office Word</Application>
  <DocSecurity>0</DocSecurity>
  <Lines>13</Lines>
  <Paragraphs>3</Paragraphs>
  <ScaleCrop>false</ScaleCrop>
  <Company>European Parliament</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 Ales</dc:creator>
  <cp:keywords/>
  <dc:description/>
  <cp:lastModifiedBy>RUS Ales</cp:lastModifiedBy>
  <cp:revision>1</cp:revision>
  <dcterms:created xsi:type="dcterms:W3CDTF">2019-09-03T09:39:00Z</dcterms:created>
  <dcterms:modified xsi:type="dcterms:W3CDTF">2019-09-03T09:40:00Z</dcterms:modified>
</cp:coreProperties>
</file>