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269" w:rsidRPr="00827269" w:rsidRDefault="00827269" w:rsidP="00827269">
      <w:pPr>
        <w:spacing w:after="240"/>
        <w:jc w:val="center"/>
        <w:rPr>
          <w:rFonts w:eastAsia="Times New Roman"/>
          <w:szCs w:val="20"/>
          <w:lang w:eastAsia="en-GB"/>
        </w:rPr>
      </w:pPr>
      <w:r w:rsidRPr="00827269">
        <w:rPr>
          <w:rFonts w:eastAsia="Times New Roman"/>
          <w:b/>
          <w:szCs w:val="20"/>
          <w:lang w:eastAsia="en-GB"/>
        </w:rPr>
        <w:t xml:space="preserve">ORDINARY LEGISLATIVE </w:t>
      </w:r>
      <w:r w:rsidRPr="00827269">
        <w:rPr>
          <w:rFonts w:eastAsia="Times New Roman"/>
          <w:b/>
          <w:caps/>
          <w:szCs w:val="20"/>
          <w:lang w:eastAsia="en-GB"/>
        </w:rPr>
        <w:t>procedure</w:t>
      </w:r>
      <w:r w:rsidRPr="00827269">
        <w:rPr>
          <w:rFonts w:eastAsia="Times New Roman"/>
          <w:b/>
          <w:szCs w:val="20"/>
          <w:lang w:eastAsia="en-GB"/>
        </w:rPr>
        <w:t xml:space="preserve"> – First reading</w:t>
      </w:r>
    </w:p>
    <w:p w:rsidR="00827269" w:rsidRPr="00827269" w:rsidRDefault="00827269" w:rsidP="00827269">
      <w:pPr>
        <w:spacing w:after="720" w:line="240" w:lineRule="atLeast"/>
        <w:jc w:val="center"/>
        <w:rPr>
          <w:rFonts w:eastAsia="Times New Roman"/>
          <w:lang w:eastAsia="en-GB"/>
        </w:rPr>
      </w:pPr>
      <w:bookmarkStart w:id="0" w:name="FERNANDEZ"/>
      <w:r w:rsidRPr="00827269">
        <w:rPr>
          <w:rFonts w:eastAsia="Times New Roman"/>
          <w:b/>
          <w:bCs/>
          <w:lang w:eastAsia="en-GB"/>
        </w:rPr>
        <w:t xml:space="preserve">Follow up to the </w:t>
      </w:r>
      <w:r w:rsidRPr="00827269">
        <w:rPr>
          <w:rFonts w:eastAsia="Times New Roman"/>
          <w:b/>
          <w:szCs w:val="20"/>
          <w:lang w:eastAsia="en-GB"/>
        </w:rPr>
        <w:t xml:space="preserve">European Parliament legislative resolution </w:t>
      </w:r>
      <w:r w:rsidRPr="00827269">
        <w:rPr>
          <w:rFonts w:eastAsia="Times New Roman"/>
          <w:b/>
          <w:bCs/>
          <w:lang w:eastAsia="en-GB"/>
        </w:rPr>
        <w:t>on the proposal for a regulation of the European Parliament and of the Council on sovereign bond-backed securities</w:t>
      </w:r>
    </w:p>
    <w:bookmarkEnd w:id="0"/>
    <w:p w:rsidR="00827269" w:rsidRPr="00827269" w:rsidRDefault="00827269" w:rsidP="00827269">
      <w:pPr>
        <w:shd w:val="clear" w:color="auto" w:fill="FFFFFF"/>
        <w:spacing w:line="288" w:lineRule="atLeast"/>
        <w:jc w:val="left"/>
        <w:textAlignment w:val="center"/>
        <w:rPr>
          <w:rFonts w:eastAsia="Times New Roman"/>
          <w:szCs w:val="20"/>
          <w:lang w:val="fr-BE" w:eastAsia="en-GB"/>
        </w:rPr>
      </w:pPr>
      <w:r w:rsidRPr="00827269">
        <w:rPr>
          <w:rFonts w:eastAsia="Times New Roman"/>
          <w:b/>
          <w:szCs w:val="20"/>
          <w:lang w:val="fr-BE" w:eastAsia="en-GB"/>
        </w:rPr>
        <w:t>1.</w:t>
      </w:r>
      <w:r w:rsidRPr="00827269">
        <w:rPr>
          <w:rFonts w:eastAsia="Times New Roman"/>
          <w:b/>
          <w:szCs w:val="20"/>
          <w:lang w:val="fr-BE" w:eastAsia="en-GB"/>
        </w:rPr>
        <w:tab/>
        <w:t xml:space="preserve">Rapporteur: </w:t>
      </w:r>
      <w:proofErr w:type="spellStart"/>
      <w:r w:rsidRPr="00827269">
        <w:rPr>
          <w:rFonts w:eastAsia="Times New Roman"/>
          <w:bdr w:val="none" w:sz="0" w:space="0" w:color="auto" w:frame="1"/>
          <w:lang w:val="fr-BE" w:eastAsia="en-GB"/>
        </w:rPr>
        <w:t>Jonás</w:t>
      </w:r>
      <w:proofErr w:type="spellEnd"/>
      <w:r w:rsidRPr="00827269">
        <w:rPr>
          <w:rFonts w:eastAsia="Times New Roman"/>
          <w:bdr w:val="none" w:sz="0" w:space="0" w:color="auto" w:frame="1"/>
          <w:lang w:val="fr-BE" w:eastAsia="en-GB"/>
        </w:rPr>
        <w:t xml:space="preserve"> FERNÁNDEZ</w:t>
      </w:r>
      <w:r w:rsidRPr="00827269">
        <w:rPr>
          <w:rFonts w:eastAsia="Times New Roman"/>
          <w:szCs w:val="20"/>
          <w:lang w:val="fr-BE" w:eastAsia="en-GB"/>
        </w:rPr>
        <w:t xml:space="preserve"> (S&amp;D / ES)</w:t>
      </w:r>
    </w:p>
    <w:p w:rsidR="00827269" w:rsidRPr="00827269" w:rsidRDefault="00827269" w:rsidP="00827269">
      <w:pPr>
        <w:spacing w:before="100" w:beforeAutospacing="1" w:after="100" w:afterAutospacing="1" w:line="240" w:lineRule="atLeast"/>
        <w:ind w:left="720" w:hanging="720"/>
        <w:rPr>
          <w:rFonts w:eastAsia="Times New Roman"/>
          <w:szCs w:val="20"/>
          <w:lang w:eastAsia="en-GB"/>
        </w:rPr>
      </w:pPr>
      <w:r w:rsidRPr="00827269">
        <w:rPr>
          <w:rFonts w:eastAsia="Times New Roman"/>
          <w:b/>
          <w:szCs w:val="20"/>
          <w:lang w:eastAsia="en-GB"/>
        </w:rPr>
        <w:t>2.</w:t>
      </w:r>
      <w:r w:rsidRPr="00827269">
        <w:rPr>
          <w:rFonts w:eastAsia="Times New Roman"/>
          <w:b/>
          <w:szCs w:val="20"/>
          <w:lang w:eastAsia="en-GB"/>
        </w:rPr>
        <w:tab/>
        <w:t>Reference numbers:</w:t>
      </w:r>
      <w:r w:rsidRPr="00827269">
        <w:rPr>
          <w:rFonts w:eastAsia="Times New Roman"/>
          <w:szCs w:val="20"/>
          <w:lang w:eastAsia="en-GB"/>
        </w:rPr>
        <w:t xml:space="preserve"> 2018/0171 (COD) / A8-0180/2019 / P8_TA-</w:t>
      </w:r>
      <w:proofErr w:type="gramStart"/>
      <w:r w:rsidRPr="00827269">
        <w:rPr>
          <w:rFonts w:eastAsia="Times New Roman"/>
          <w:szCs w:val="20"/>
          <w:lang w:eastAsia="en-GB"/>
        </w:rPr>
        <w:t>PROV(</w:t>
      </w:r>
      <w:proofErr w:type="gramEnd"/>
      <w:r w:rsidRPr="00827269">
        <w:rPr>
          <w:rFonts w:eastAsia="Times New Roman"/>
          <w:szCs w:val="20"/>
          <w:lang w:eastAsia="en-GB"/>
        </w:rPr>
        <w:t>2019)0373</w:t>
      </w:r>
    </w:p>
    <w:p w:rsidR="00827269" w:rsidRPr="00827269" w:rsidRDefault="00827269" w:rsidP="00827269">
      <w:pPr>
        <w:spacing w:line="240" w:lineRule="atLeast"/>
        <w:ind w:left="720" w:hanging="720"/>
        <w:jc w:val="left"/>
        <w:rPr>
          <w:rFonts w:eastAsia="Times New Roman"/>
          <w:szCs w:val="20"/>
          <w:lang w:eastAsia="en-GB"/>
        </w:rPr>
      </w:pPr>
      <w:r w:rsidRPr="00827269">
        <w:rPr>
          <w:rFonts w:eastAsia="Times New Roman"/>
          <w:b/>
          <w:szCs w:val="20"/>
          <w:lang w:eastAsia="en-GB"/>
        </w:rPr>
        <w:t>3.</w:t>
      </w:r>
      <w:r w:rsidRPr="00827269">
        <w:rPr>
          <w:rFonts w:eastAsia="Times New Roman"/>
          <w:b/>
          <w:szCs w:val="20"/>
          <w:lang w:eastAsia="en-GB"/>
        </w:rPr>
        <w:tab/>
        <w:t xml:space="preserve">Date of adoption of the resolution: </w:t>
      </w:r>
      <w:r w:rsidRPr="00827269">
        <w:rPr>
          <w:rFonts w:eastAsia="Times New Roman"/>
          <w:szCs w:val="20"/>
          <w:lang w:eastAsia="en-GB"/>
        </w:rPr>
        <w:t>16 April 2019</w:t>
      </w:r>
    </w:p>
    <w:p w:rsidR="00827269" w:rsidRPr="00827269" w:rsidRDefault="00827269" w:rsidP="00827269">
      <w:pPr>
        <w:spacing w:before="100" w:beforeAutospacing="1" w:after="100" w:afterAutospacing="1" w:line="240" w:lineRule="atLeast"/>
        <w:ind w:left="720" w:hanging="720"/>
        <w:rPr>
          <w:rFonts w:eastAsia="Times New Roman"/>
          <w:szCs w:val="20"/>
          <w:lang w:eastAsia="en-GB"/>
        </w:rPr>
      </w:pPr>
      <w:r w:rsidRPr="00827269">
        <w:rPr>
          <w:rFonts w:eastAsia="Times New Roman"/>
          <w:b/>
          <w:szCs w:val="20"/>
          <w:lang w:eastAsia="en-GB"/>
        </w:rPr>
        <w:t>4.</w:t>
      </w:r>
      <w:r w:rsidRPr="00827269">
        <w:rPr>
          <w:rFonts w:eastAsia="Times New Roman"/>
          <w:b/>
          <w:szCs w:val="20"/>
          <w:lang w:eastAsia="en-GB"/>
        </w:rPr>
        <w:tab/>
        <w:t xml:space="preserve">Legal basis: </w:t>
      </w:r>
      <w:r w:rsidRPr="00827269">
        <w:rPr>
          <w:rFonts w:eastAsia="Times New Roman"/>
          <w:lang w:eastAsia="en-GB"/>
        </w:rPr>
        <w:t>Article 114 of the Treaty on the Functioning of the European Union</w:t>
      </w:r>
    </w:p>
    <w:p w:rsidR="00827269" w:rsidRPr="00827269" w:rsidRDefault="00827269" w:rsidP="00827269">
      <w:pPr>
        <w:spacing w:before="100" w:beforeAutospacing="1" w:after="100" w:afterAutospacing="1" w:line="240" w:lineRule="atLeast"/>
        <w:ind w:left="720" w:hanging="720"/>
        <w:rPr>
          <w:rFonts w:eastAsia="Times New Roman"/>
          <w:i/>
          <w:szCs w:val="20"/>
          <w:lang w:eastAsia="en-GB"/>
        </w:rPr>
      </w:pPr>
      <w:r w:rsidRPr="00827269">
        <w:rPr>
          <w:rFonts w:eastAsia="Times New Roman"/>
          <w:b/>
          <w:szCs w:val="20"/>
          <w:lang w:eastAsia="en-GB"/>
        </w:rPr>
        <w:t>5.</w:t>
      </w:r>
      <w:r w:rsidRPr="00827269">
        <w:rPr>
          <w:rFonts w:eastAsia="Times New Roman"/>
          <w:b/>
          <w:szCs w:val="20"/>
          <w:lang w:eastAsia="en-GB"/>
        </w:rPr>
        <w:tab/>
        <w:t xml:space="preserve">Competent Parliamentary Committee: </w:t>
      </w:r>
      <w:r w:rsidRPr="00827269">
        <w:rPr>
          <w:rFonts w:eastAsia="Times New Roman"/>
          <w:szCs w:val="20"/>
          <w:lang w:eastAsia="en-GB"/>
        </w:rPr>
        <w:t>Committee on Economic and Monetary Affairs (ECON)</w:t>
      </w:r>
    </w:p>
    <w:p w:rsidR="00827269" w:rsidRPr="00827269" w:rsidRDefault="00827269" w:rsidP="00827269">
      <w:pPr>
        <w:spacing w:after="240" w:line="240" w:lineRule="atLeast"/>
        <w:ind w:left="720" w:hanging="720"/>
        <w:rPr>
          <w:rFonts w:eastAsia="Times New Roman"/>
          <w:color w:val="000000"/>
          <w:lang w:eastAsia="en-GB"/>
        </w:rPr>
      </w:pPr>
      <w:r w:rsidRPr="00827269">
        <w:rPr>
          <w:rFonts w:eastAsia="Times New Roman"/>
          <w:b/>
          <w:szCs w:val="20"/>
          <w:lang w:eastAsia="en-GB"/>
        </w:rPr>
        <w:t>6.</w:t>
      </w:r>
      <w:r w:rsidRPr="00827269">
        <w:rPr>
          <w:rFonts w:eastAsia="Times New Roman"/>
          <w:b/>
          <w:szCs w:val="20"/>
          <w:lang w:eastAsia="en-GB"/>
        </w:rPr>
        <w:tab/>
      </w:r>
      <w:r w:rsidRPr="00827269">
        <w:rPr>
          <w:rFonts w:eastAsia="Times New Roman"/>
          <w:b/>
          <w:lang w:eastAsia="en-GB"/>
        </w:rPr>
        <w:t>Commission's position:</w:t>
      </w:r>
      <w:r w:rsidRPr="00827269">
        <w:rPr>
          <w:rFonts w:eastAsia="Times New Roman"/>
          <w:color w:val="000000"/>
          <w:lang w:eastAsia="en-GB"/>
        </w:rPr>
        <w:t xml:space="preserve"> The Commission reserves its position on all amendments of the European Parliament, in view of future negotiations between the Parliament and the Council. The Commission notes that the following amendments, in particular, significantly change the substance of the proposal:</w:t>
      </w:r>
    </w:p>
    <w:p w:rsidR="00827269" w:rsidRPr="00827269" w:rsidRDefault="00827269" w:rsidP="00827269">
      <w:pPr>
        <w:numPr>
          <w:ilvl w:val="0"/>
          <w:numId w:val="1"/>
        </w:numPr>
        <w:spacing w:after="120" w:line="240" w:lineRule="atLeast"/>
        <w:ind w:left="737"/>
        <w:contextualSpacing/>
        <w:jc w:val="left"/>
        <w:rPr>
          <w:rFonts w:eastAsia="Times New Roman"/>
          <w:color w:val="000000"/>
          <w:lang w:eastAsia="en-GB"/>
        </w:rPr>
      </w:pPr>
      <w:r w:rsidRPr="00827269">
        <w:rPr>
          <w:rFonts w:eastAsia="Times New Roman"/>
          <w:i/>
          <w:color w:val="000000"/>
          <w:lang w:eastAsia="en-GB"/>
        </w:rPr>
        <w:t xml:space="preserve">Regulatory treatment of Sovereign bond-backed securities (SBBS) tranches </w:t>
      </w:r>
      <w:r w:rsidRPr="00827269">
        <w:rPr>
          <w:rFonts w:eastAsia="Times New Roman"/>
          <w:color w:val="000000"/>
          <w:lang w:eastAsia="en-GB"/>
        </w:rPr>
        <w:t>(Article 23).</w:t>
      </w:r>
    </w:p>
    <w:p w:rsidR="00827269" w:rsidRPr="00827269" w:rsidRDefault="00827269" w:rsidP="00827269">
      <w:pPr>
        <w:spacing w:after="120" w:line="240" w:lineRule="atLeast"/>
        <w:ind w:left="737"/>
        <w:contextualSpacing/>
        <w:rPr>
          <w:rFonts w:eastAsia="Times New Roman"/>
          <w:color w:val="000000"/>
          <w:lang w:eastAsia="en-GB"/>
        </w:rPr>
      </w:pPr>
      <w:r w:rsidRPr="00827269">
        <w:rPr>
          <w:rFonts w:eastAsia="Times New Roman"/>
          <w:color w:val="000000"/>
          <w:lang w:eastAsia="en-GB"/>
        </w:rPr>
        <w:t>The European Parliament proposes to extend the regulatory treatment of euro area sovereign bonds only to senior SBBS tranches as far as bank regulation is concerned.</w:t>
      </w:r>
    </w:p>
    <w:p w:rsidR="00827269" w:rsidRPr="00827269" w:rsidRDefault="00827269" w:rsidP="00827269">
      <w:pPr>
        <w:numPr>
          <w:ilvl w:val="0"/>
          <w:numId w:val="1"/>
        </w:numPr>
        <w:spacing w:after="120" w:line="240" w:lineRule="atLeast"/>
        <w:ind w:left="737"/>
        <w:contextualSpacing/>
        <w:jc w:val="left"/>
        <w:rPr>
          <w:rFonts w:eastAsia="Times New Roman"/>
          <w:color w:val="000000"/>
          <w:lang w:eastAsia="en-GB"/>
        </w:rPr>
      </w:pPr>
      <w:r w:rsidRPr="00827269">
        <w:rPr>
          <w:rFonts w:eastAsia="Times New Roman"/>
          <w:i/>
          <w:color w:val="000000"/>
          <w:lang w:eastAsia="en-GB"/>
        </w:rPr>
        <w:t xml:space="preserve">SBBS underlying portfolio </w:t>
      </w:r>
      <w:r w:rsidRPr="00827269">
        <w:rPr>
          <w:rFonts w:eastAsia="Times New Roman"/>
          <w:color w:val="000000"/>
          <w:lang w:eastAsia="en-GB"/>
        </w:rPr>
        <w:t>(Article 4).</w:t>
      </w:r>
    </w:p>
    <w:p w:rsidR="00827269" w:rsidRPr="00827269" w:rsidRDefault="00827269" w:rsidP="00827269">
      <w:pPr>
        <w:spacing w:after="120" w:line="240" w:lineRule="atLeast"/>
        <w:ind w:left="737"/>
        <w:contextualSpacing/>
        <w:rPr>
          <w:rFonts w:eastAsia="Times New Roman"/>
          <w:color w:val="000000"/>
          <w:lang w:eastAsia="en-GB"/>
        </w:rPr>
      </w:pPr>
      <w:r w:rsidRPr="00827269">
        <w:rPr>
          <w:rFonts w:eastAsia="Times New Roman"/>
          <w:color w:val="000000"/>
          <w:lang w:eastAsia="en-GB"/>
        </w:rPr>
        <w:t>The European Parliament expands the set of circumstances warranting a change in the composition of the SBBS underlying portfolio, and envisages a more active role for the Commission.</w:t>
      </w:r>
    </w:p>
    <w:p w:rsidR="00827269" w:rsidRPr="00827269" w:rsidRDefault="00827269" w:rsidP="00827269">
      <w:pPr>
        <w:numPr>
          <w:ilvl w:val="0"/>
          <w:numId w:val="1"/>
        </w:numPr>
        <w:spacing w:after="120" w:line="240" w:lineRule="atLeast"/>
        <w:ind w:left="737"/>
        <w:contextualSpacing/>
        <w:jc w:val="left"/>
        <w:rPr>
          <w:rFonts w:eastAsia="Times New Roman"/>
          <w:i/>
          <w:color w:val="000000"/>
          <w:lang w:eastAsia="en-GB"/>
        </w:rPr>
      </w:pPr>
      <w:r w:rsidRPr="00827269">
        <w:rPr>
          <w:rFonts w:eastAsia="Times New Roman"/>
          <w:i/>
          <w:color w:val="000000"/>
          <w:lang w:eastAsia="en-GB"/>
        </w:rPr>
        <w:t>Monitoring compliance with the SBBS regulation</w:t>
      </w:r>
      <w:r w:rsidRPr="00827269">
        <w:rPr>
          <w:rFonts w:eastAsia="Times New Roman"/>
          <w:color w:val="000000"/>
          <w:lang w:eastAsia="en-GB"/>
        </w:rPr>
        <w:t xml:space="preserve"> (Articles 9 to 18).</w:t>
      </w:r>
    </w:p>
    <w:p w:rsidR="00827269" w:rsidRPr="00827269" w:rsidRDefault="00827269" w:rsidP="00827269">
      <w:pPr>
        <w:spacing w:after="120" w:line="240" w:lineRule="atLeast"/>
        <w:ind w:left="737"/>
        <w:contextualSpacing/>
        <w:rPr>
          <w:rFonts w:eastAsia="Times New Roman"/>
          <w:i/>
          <w:color w:val="000000"/>
          <w:lang w:eastAsia="en-GB"/>
        </w:rPr>
      </w:pPr>
      <w:r w:rsidRPr="00827269">
        <w:rPr>
          <w:rFonts w:eastAsia="Times New Roman"/>
          <w:color w:val="000000"/>
          <w:lang w:eastAsia="en-GB"/>
        </w:rPr>
        <w:t>The European Parliament envisages a greater role for the European Securities and Markets Authority (ESMA), including through ex-ante certification of individual SBBS issuances.</w:t>
      </w:r>
    </w:p>
    <w:p w:rsidR="008765BE" w:rsidRDefault="008765BE">
      <w:bookmarkStart w:id="1" w:name="_GoBack"/>
      <w:bookmarkEnd w:id="1"/>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269"/>
    <w:rsid w:val="000F3C25"/>
    <w:rsid w:val="005762E3"/>
    <w:rsid w:val="00827269"/>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7A45A-0CBB-48E7-8113-4221FF6B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Company>European Parliament</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 Ales</dc:creator>
  <cp:keywords/>
  <dc:description/>
  <cp:lastModifiedBy>RUS Ales</cp:lastModifiedBy>
  <cp:revision>1</cp:revision>
  <dcterms:created xsi:type="dcterms:W3CDTF">2019-09-03T13:51:00Z</dcterms:created>
  <dcterms:modified xsi:type="dcterms:W3CDTF">2019-09-03T13:51:00Z</dcterms:modified>
</cp:coreProperties>
</file>