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30C" w:rsidRPr="005A090D" w:rsidRDefault="00F3230C" w:rsidP="00F3230C">
      <w:pPr>
        <w:pStyle w:val="CoverNormal"/>
        <w:spacing w:after="720"/>
        <w:ind w:left="0"/>
        <w:jc w:val="center"/>
        <w:rPr>
          <w:b/>
          <w:szCs w:val="24"/>
          <w:lang w:val="la-Latn"/>
        </w:rPr>
      </w:pPr>
      <w:r w:rsidRPr="00A472AB">
        <w:rPr>
          <w:b/>
          <w:lang w:val="fr-BE"/>
        </w:rPr>
        <w:t>Suite donnée à la résolution non législative du Parlement européen sur le projet de règlement de la Commission modifiant les annexes II, III et IV du règlement (CE) nº </w:t>
      </w:r>
      <w:r w:rsidRPr="00B70F74">
        <w:rPr>
          <w:b/>
          <w:lang w:val="fr-BE"/>
        </w:rPr>
        <w:t>396</w:t>
      </w:r>
      <w:r w:rsidRPr="00A472AB">
        <w:rPr>
          <w:b/>
          <w:lang w:val="fr-BE"/>
        </w:rPr>
        <w:t>/</w:t>
      </w:r>
      <w:r w:rsidRPr="00B70F74">
        <w:rPr>
          <w:b/>
          <w:lang w:val="fr-BE"/>
        </w:rPr>
        <w:t>2005</w:t>
      </w:r>
      <w:r w:rsidRPr="00A472AB">
        <w:rPr>
          <w:b/>
          <w:lang w:val="fr-BE"/>
        </w:rPr>
        <w:t xml:space="preserve"> du Parlement européen et du Conseil en ce qui concerne les limites maximales applicables aux résidus de </w:t>
      </w:r>
      <w:proofErr w:type="spellStart"/>
      <w:r w:rsidRPr="00A472AB">
        <w:rPr>
          <w:b/>
          <w:lang w:val="fr-BE"/>
        </w:rPr>
        <w:t>clothianidine</w:t>
      </w:r>
      <w:proofErr w:type="spellEnd"/>
      <w:r w:rsidRPr="00A472AB">
        <w:rPr>
          <w:b/>
          <w:lang w:val="fr-BE"/>
        </w:rPr>
        <w:t xml:space="preserve">, </w:t>
      </w:r>
      <w:r w:rsidRPr="005A090D">
        <w:rPr>
          <w:b/>
          <w:lang w:val="la-Latn"/>
        </w:rPr>
        <w:t xml:space="preserve">de cycloxydim, d’époxiconazole, de flonicamide, d’haloxyfop, de mandestrobine, de mépiquat, de </w:t>
      </w:r>
      <w:r w:rsidRPr="005A090D">
        <w:rPr>
          <w:b/>
          <w:i/>
          <w:lang w:val="la-Latn"/>
        </w:rPr>
        <w:t>Metschnikowia fructicola</w:t>
      </w:r>
      <w:r w:rsidRPr="005A090D">
        <w:rPr>
          <w:b/>
          <w:lang w:val="la-Latn"/>
        </w:rPr>
        <w:t>, souche NRRL Y-</w:t>
      </w:r>
      <w:r w:rsidRPr="00B70F74">
        <w:rPr>
          <w:b/>
          <w:lang w:val="la-Latn"/>
        </w:rPr>
        <w:t>27328</w:t>
      </w:r>
      <w:r w:rsidRPr="005A090D">
        <w:rPr>
          <w:b/>
          <w:lang w:val="la-Latn"/>
        </w:rPr>
        <w:t>, et de prohexadione présents dans ou sur certains produits</w:t>
      </w:r>
      <w:r w:rsidRPr="005A090D">
        <w:rPr>
          <w:rFonts w:ascii="Arial" w:hAnsi="Arial"/>
          <w:b/>
          <w:color w:val="6679B4"/>
          <w:sz w:val="19"/>
          <w:lang w:val="la-Latn"/>
        </w:rPr>
        <w:t> </w:t>
      </w:r>
    </w:p>
    <w:p w:rsidR="00F3230C" w:rsidRPr="00A472AB" w:rsidRDefault="00F3230C" w:rsidP="00F3230C">
      <w:pPr>
        <w:widowControl w:val="0"/>
        <w:numPr>
          <w:ilvl w:val="0"/>
          <w:numId w:val="1"/>
        </w:numPr>
        <w:ind w:left="567" w:hanging="567"/>
        <w:outlineLvl w:val="0"/>
        <w:rPr>
          <w:rFonts w:ascii="Times New Roman" w:hAnsi="Times New Roman"/>
          <w:szCs w:val="24"/>
          <w:lang w:val="fr-BE"/>
        </w:rPr>
      </w:pPr>
      <w:r w:rsidRPr="00A472AB">
        <w:rPr>
          <w:rFonts w:ascii="Times New Roman" w:hAnsi="Times New Roman"/>
          <w:b/>
          <w:lang w:val="fr-BE"/>
        </w:rPr>
        <w:t>Résolution présentée conformément à l’article </w:t>
      </w:r>
      <w:r w:rsidRPr="00B70F74">
        <w:rPr>
          <w:rFonts w:ascii="Times New Roman" w:hAnsi="Times New Roman"/>
          <w:b/>
          <w:lang w:val="fr-BE"/>
        </w:rPr>
        <w:t>106</w:t>
      </w:r>
      <w:r w:rsidRPr="00A472AB">
        <w:rPr>
          <w:rFonts w:ascii="Times New Roman" w:hAnsi="Times New Roman"/>
          <w:b/>
          <w:lang w:val="fr-BE"/>
        </w:rPr>
        <w:t>, paragraphe </w:t>
      </w:r>
      <w:r w:rsidRPr="00B70F74">
        <w:rPr>
          <w:rFonts w:ascii="Times New Roman" w:hAnsi="Times New Roman"/>
          <w:b/>
          <w:lang w:val="fr-BE"/>
        </w:rPr>
        <w:t>2</w:t>
      </w:r>
      <w:r w:rsidRPr="00A472AB">
        <w:rPr>
          <w:rFonts w:ascii="Times New Roman" w:hAnsi="Times New Roman"/>
          <w:b/>
          <w:lang w:val="fr-BE"/>
        </w:rPr>
        <w:t>, paragraphe </w:t>
      </w:r>
      <w:r w:rsidRPr="00B70F74">
        <w:rPr>
          <w:rFonts w:ascii="Times New Roman" w:hAnsi="Times New Roman"/>
          <w:b/>
          <w:lang w:val="fr-BE"/>
        </w:rPr>
        <w:t>3</w:t>
      </w:r>
      <w:r w:rsidRPr="00A472AB">
        <w:rPr>
          <w:rFonts w:ascii="Times New Roman" w:hAnsi="Times New Roman"/>
          <w:b/>
          <w:lang w:val="fr-BE"/>
        </w:rPr>
        <w:t>, et paragraphe </w:t>
      </w:r>
      <w:r w:rsidRPr="00B70F74">
        <w:rPr>
          <w:rFonts w:ascii="Times New Roman" w:hAnsi="Times New Roman"/>
          <w:b/>
          <w:lang w:val="fr-BE"/>
        </w:rPr>
        <w:t>4</w:t>
      </w:r>
      <w:r w:rsidRPr="00A472AB">
        <w:rPr>
          <w:rFonts w:ascii="Times New Roman" w:hAnsi="Times New Roman"/>
          <w:b/>
          <w:lang w:val="fr-BE"/>
        </w:rPr>
        <w:t>, point c), du règlement intérieur du Parlement européen</w:t>
      </w:r>
    </w:p>
    <w:p w:rsidR="00F3230C" w:rsidRPr="00A472AB" w:rsidRDefault="00F3230C" w:rsidP="00F3230C">
      <w:pPr>
        <w:widowControl w:val="0"/>
        <w:ind w:left="567" w:hanging="567"/>
        <w:outlineLvl w:val="0"/>
        <w:rPr>
          <w:rFonts w:ascii="Times New Roman" w:hAnsi="Times New Roman"/>
          <w:smallCaps/>
          <w:szCs w:val="24"/>
          <w:lang w:val="fr-BE"/>
        </w:rPr>
      </w:pPr>
      <w:r w:rsidRPr="00B70F74">
        <w:rPr>
          <w:rFonts w:ascii="Times New Roman" w:hAnsi="Times New Roman"/>
          <w:b/>
          <w:lang w:val="fr-BE"/>
        </w:rPr>
        <w:t>2</w:t>
      </w:r>
      <w:r w:rsidRPr="00A472AB">
        <w:rPr>
          <w:rFonts w:ascii="Times New Roman" w:hAnsi="Times New Roman"/>
          <w:b/>
          <w:lang w:val="fr-BE"/>
        </w:rPr>
        <w:t>.</w:t>
      </w:r>
      <w:r w:rsidRPr="00A472AB">
        <w:rPr>
          <w:lang w:val="fr-BE"/>
        </w:rPr>
        <w:tab/>
      </w:r>
      <w:r w:rsidRPr="00A472AB">
        <w:rPr>
          <w:rFonts w:ascii="Times New Roman" w:hAnsi="Times New Roman"/>
          <w:b/>
          <w:lang w:val="fr-BE"/>
        </w:rPr>
        <w:t xml:space="preserve">Numéros de référence: </w:t>
      </w:r>
      <w:r w:rsidRPr="00B70F74">
        <w:rPr>
          <w:rFonts w:ascii="Times New Roman" w:hAnsi="Times New Roman"/>
          <w:lang w:val="fr-BE"/>
        </w:rPr>
        <w:t>2019</w:t>
      </w:r>
      <w:r w:rsidRPr="00A472AB">
        <w:rPr>
          <w:rFonts w:ascii="Times New Roman" w:hAnsi="Times New Roman"/>
          <w:lang w:val="fr-BE"/>
        </w:rPr>
        <w:t>/</w:t>
      </w:r>
      <w:r w:rsidRPr="00B70F74">
        <w:rPr>
          <w:rFonts w:ascii="Times New Roman" w:hAnsi="Times New Roman"/>
          <w:lang w:val="fr-BE"/>
        </w:rPr>
        <w:t>2520</w:t>
      </w:r>
      <w:r w:rsidRPr="00A472AB">
        <w:rPr>
          <w:rFonts w:ascii="Times New Roman" w:hAnsi="Times New Roman"/>
          <w:lang w:val="fr-BE"/>
        </w:rPr>
        <w:t xml:space="preserve"> (RSP) /</w:t>
      </w:r>
      <w:r w:rsidRPr="00A472AB">
        <w:rPr>
          <w:lang w:val="fr-BE"/>
        </w:rPr>
        <w:t xml:space="preserve"> </w:t>
      </w:r>
      <w:r w:rsidRPr="00A472AB">
        <w:rPr>
          <w:rFonts w:ascii="Times New Roman" w:hAnsi="Times New Roman"/>
          <w:smallCaps/>
          <w:lang w:val="fr-BE"/>
        </w:rPr>
        <w:t>B</w:t>
      </w:r>
      <w:r w:rsidRPr="00B70F74">
        <w:rPr>
          <w:rFonts w:ascii="Times New Roman" w:hAnsi="Times New Roman"/>
          <w:smallCaps/>
          <w:lang w:val="fr-BE"/>
        </w:rPr>
        <w:t>8</w:t>
      </w:r>
      <w:r w:rsidRPr="00A472AB">
        <w:rPr>
          <w:rFonts w:ascii="Times New Roman" w:hAnsi="Times New Roman"/>
          <w:smallCaps/>
          <w:lang w:val="fr-BE"/>
        </w:rPr>
        <w:t>-</w:t>
      </w:r>
      <w:r w:rsidRPr="00B70F74">
        <w:rPr>
          <w:rFonts w:ascii="Times New Roman" w:hAnsi="Times New Roman"/>
          <w:smallCaps/>
          <w:lang w:val="fr-BE"/>
        </w:rPr>
        <w:t>0138</w:t>
      </w:r>
      <w:r w:rsidRPr="00A472AB">
        <w:rPr>
          <w:rFonts w:ascii="Times New Roman" w:hAnsi="Times New Roman"/>
          <w:smallCaps/>
          <w:lang w:val="fr-BE"/>
        </w:rPr>
        <w:t>/</w:t>
      </w:r>
      <w:r w:rsidRPr="00B70F74">
        <w:rPr>
          <w:rFonts w:ascii="Times New Roman" w:hAnsi="Times New Roman"/>
          <w:smallCaps/>
          <w:lang w:val="fr-BE"/>
        </w:rPr>
        <w:t>2019</w:t>
      </w:r>
      <w:r w:rsidRPr="00A472AB">
        <w:rPr>
          <w:rFonts w:ascii="Times New Roman" w:hAnsi="Times New Roman"/>
          <w:smallCaps/>
          <w:lang w:val="fr-BE"/>
        </w:rPr>
        <w:t xml:space="preserve"> / P</w:t>
      </w:r>
      <w:r w:rsidRPr="00B70F74">
        <w:rPr>
          <w:rFonts w:ascii="Times New Roman" w:hAnsi="Times New Roman"/>
          <w:smallCaps/>
          <w:lang w:val="fr-BE"/>
        </w:rPr>
        <w:t>8</w:t>
      </w:r>
      <w:r w:rsidRPr="00A472AB">
        <w:rPr>
          <w:rFonts w:ascii="Times New Roman" w:hAnsi="Times New Roman"/>
          <w:smallCaps/>
          <w:lang w:val="fr-BE"/>
        </w:rPr>
        <w:t>_TA-</w:t>
      </w:r>
      <w:proofErr w:type="gramStart"/>
      <w:r w:rsidRPr="00A472AB">
        <w:rPr>
          <w:rFonts w:ascii="Times New Roman" w:hAnsi="Times New Roman"/>
          <w:smallCaps/>
          <w:lang w:val="fr-BE"/>
        </w:rPr>
        <w:t>PROV(</w:t>
      </w:r>
      <w:proofErr w:type="gramEnd"/>
      <w:r w:rsidRPr="00B70F74">
        <w:rPr>
          <w:rFonts w:ascii="Times New Roman" w:hAnsi="Times New Roman"/>
          <w:smallCaps/>
          <w:lang w:val="fr-BE"/>
        </w:rPr>
        <w:t>2019</w:t>
      </w:r>
      <w:r w:rsidRPr="00A472AB">
        <w:rPr>
          <w:rFonts w:ascii="Times New Roman" w:hAnsi="Times New Roman"/>
          <w:smallCaps/>
          <w:lang w:val="fr-BE"/>
        </w:rPr>
        <w:t>)</w:t>
      </w:r>
      <w:r w:rsidRPr="00B70F74">
        <w:rPr>
          <w:rFonts w:ascii="Times New Roman" w:hAnsi="Times New Roman"/>
          <w:smallCaps/>
          <w:lang w:val="fr-BE"/>
        </w:rPr>
        <w:t>0195</w:t>
      </w:r>
    </w:p>
    <w:p w:rsidR="00F3230C" w:rsidRPr="00A472AB" w:rsidRDefault="00F3230C" w:rsidP="00F3230C">
      <w:pPr>
        <w:widowControl w:val="0"/>
        <w:ind w:left="567" w:hanging="567"/>
        <w:outlineLvl w:val="0"/>
        <w:rPr>
          <w:rFonts w:ascii="Times New Roman" w:hAnsi="Times New Roman"/>
          <w:lang w:val="fr-BE"/>
        </w:rPr>
      </w:pPr>
      <w:r w:rsidRPr="00B70F74">
        <w:rPr>
          <w:rFonts w:ascii="Times New Roman" w:hAnsi="Times New Roman"/>
          <w:b/>
          <w:lang w:val="fr-BE"/>
        </w:rPr>
        <w:t>3</w:t>
      </w:r>
      <w:r w:rsidRPr="00A472AB">
        <w:rPr>
          <w:rFonts w:ascii="Times New Roman" w:hAnsi="Times New Roman"/>
          <w:b/>
          <w:lang w:val="fr-BE"/>
        </w:rPr>
        <w:t>.</w:t>
      </w:r>
      <w:r w:rsidRPr="00A472AB">
        <w:rPr>
          <w:lang w:val="fr-BE"/>
        </w:rPr>
        <w:tab/>
      </w:r>
      <w:r w:rsidRPr="00A472AB">
        <w:rPr>
          <w:rFonts w:ascii="Times New Roman" w:hAnsi="Times New Roman"/>
          <w:b/>
          <w:lang w:val="fr-BE"/>
        </w:rPr>
        <w:t xml:space="preserve">Date d’adoption de la résolution: </w:t>
      </w:r>
      <w:r w:rsidRPr="00B70F74">
        <w:rPr>
          <w:rFonts w:ascii="Times New Roman" w:hAnsi="Times New Roman"/>
          <w:smallCaps/>
          <w:lang w:val="fr-BE"/>
        </w:rPr>
        <w:t>13</w:t>
      </w:r>
      <w:r w:rsidR="00C43377">
        <w:rPr>
          <w:rFonts w:ascii="Times New Roman" w:hAnsi="Times New Roman"/>
          <w:smallCaps/>
          <w:lang w:val="fr-BE"/>
        </w:rPr>
        <w:t> </w:t>
      </w:r>
      <w:r w:rsidR="00C43377">
        <w:rPr>
          <w:rFonts w:ascii="Times New Roman" w:hAnsi="Times New Roman"/>
          <w:szCs w:val="24"/>
        </w:rPr>
        <w:t>m</w:t>
      </w:r>
      <w:bookmarkStart w:id="0" w:name="_GoBack"/>
      <w:bookmarkEnd w:id="0"/>
      <w:r w:rsidR="00C43377">
        <w:rPr>
          <w:rFonts w:ascii="Times New Roman" w:hAnsi="Times New Roman"/>
          <w:szCs w:val="24"/>
        </w:rPr>
        <w:t>ars</w:t>
      </w:r>
      <w:r w:rsidRPr="00A472AB">
        <w:rPr>
          <w:rFonts w:ascii="Times New Roman" w:hAnsi="Times New Roman"/>
          <w:smallCaps/>
          <w:lang w:val="fr-BE"/>
        </w:rPr>
        <w:t> </w:t>
      </w:r>
      <w:r w:rsidRPr="00B70F74">
        <w:rPr>
          <w:rFonts w:ascii="Times New Roman" w:hAnsi="Times New Roman"/>
          <w:smallCaps/>
          <w:lang w:val="fr-BE"/>
        </w:rPr>
        <w:t>2019</w:t>
      </w:r>
    </w:p>
    <w:p w:rsidR="00F3230C" w:rsidRPr="00A472AB" w:rsidRDefault="00F3230C" w:rsidP="00F3230C">
      <w:pPr>
        <w:pStyle w:val="NormalWeb"/>
        <w:widowControl w:val="0"/>
        <w:spacing w:before="0" w:beforeAutospacing="0" w:after="240" w:afterAutospacing="0"/>
        <w:ind w:left="567" w:hanging="567"/>
        <w:rPr>
          <w:b/>
          <w:bCs/>
          <w:color w:val="000000"/>
          <w:lang w:val="fr-BE"/>
        </w:rPr>
      </w:pPr>
      <w:r w:rsidRPr="00B70F74">
        <w:rPr>
          <w:b/>
          <w:color w:val="000000"/>
          <w:lang w:val="fr-BE"/>
        </w:rPr>
        <w:t>4</w:t>
      </w:r>
      <w:r w:rsidRPr="00A472AB">
        <w:rPr>
          <w:b/>
          <w:color w:val="000000"/>
          <w:lang w:val="fr-BE"/>
        </w:rPr>
        <w:t>.</w:t>
      </w:r>
      <w:r w:rsidRPr="00A472AB">
        <w:rPr>
          <w:lang w:val="fr-BE"/>
        </w:rPr>
        <w:tab/>
      </w:r>
      <w:r w:rsidRPr="00A472AB">
        <w:rPr>
          <w:b/>
          <w:lang w:val="fr-BE"/>
        </w:rPr>
        <w:t>Commission parlementaire compétente:</w:t>
      </w:r>
      <w:r w:rsidRPr="00A472AB">
        <w:rPr>
          <w:lang w:val="fr-BE"/>
        </w:rPr>
        <w:t xml:space="preserve"> commission de l’environnement, de la santé publique et de la sécurité alimentaire (ENVI</w:t>
      </w:r>
      <w:r w:rsidRPr="00A472AB">
        <w:rPr>
          <w:color w:val="000000"/>
          <w:lang w:val="fr-BE"/>
        </w:rPr>
        <w:t>)</w:t>
      </w:r>
    </w:p>
    <w:p w:rsidR="00F3230C" w:rsidRPr="00A472AB" w:rsidRDefault="00F3230C" w:rsidP="00F3230C">
      <w:pPr>
        <w:ind w:left="567" w:hanging="567"/>
        <w:rPr>
          <w:rFonts w:ascii="Times New Roman" w:hAnsi="Times New Roman"/>
          <w:b/>
          <w:color w:val="000000"/>
          <w:szCs w:val="24"/>
          <w:lang w:val="fr-BE"/>
        </w:rPr>
      </w:pPr>
      <w:r w:rsidRPr="00B70F74">
        <w:rPr>
          <w:rFonts w:ascii="Times New Roman" w:hAnsi="Times New Roman"/>
          <w:b/>
          <w:color w:val="000000"/>
          <w:lang w:val="fr-BE"/>
        </w:rPr>
        <w:t>5</w:t>
      </w:r>
      <w:r w:rsidRPr="00A472AB">
        <w:rPr>
          <w:rFonts w:ascii="Times New Roman" w:hAnsi="Times New Roman"/>
          <w:b/>
          <w:color w:val="000000"/>
          <w:lang w:val="fr-BE"/>
        </w:rPr>
        <w:t>.</w:t>
      </w:r>
      <w:r w:rsidRPr="00A472AB">
        <w:rPr>
          <w:lang w:val="fr-BE"/>
        </w:rPr>
        <w:tab/>
      </w:r>
      <w:r w:rsidRPr="00A472AB">
        <w:rPr>
          <w:rFonts w:ascii="Times New Roman" w:hAnsi="Times New Roman"/>
          <w:b/>
          <w:color w:val="000000"/>
          <w:lang w:val="fr-BE"/>
        </w:rPr>
        <w:t>Analyse/évaluation succincte de la résolution et des demandes qu’elle contient:</w:t>
      </w:r>
    </w:p>
    <w:p w:rsidR="00F3230C" w:rsidRPr="00A472AB" w:rsidRDefault="00F3230C" w:rsidP="00F3230C">
      <w:pPr>
        <w:spacing w:after="120"/>
        <w:rPr>
          <w:rFonts w:ascii="Times New Roman" w:hAnsi="Times New Roman"/>
          <w:szCs w:val="24"/>
          <w:lang w:val="fr-BE"/>
        </w:rPr>
      </w:pPr>
      <w:r w:rsidRPr="00A472AB">
        <w:rPr>
          <w:rFonts w:ascii="Times New Roman" w:hAnsi="Times New Roman"/>
          <w:lang w:val="fr-BE"/>
        </w:rPr>
        <w:t>La résolution fait référence à divers risques et incidences de la substance</w:t>
      </w:r>
      <w:proofErr w:type="gramStart"/>
      <w:r w:rsidRPr="00A472AB">
        <w:rPr>
          <w:rFonts w:ascii="Times New Roman" w:hAnsi="Times New Roman"/>
          <w:lang w:val="fr-BE"/>
        </w:rPr>
        <w:t xml:space="preserve"> «</w:t>
      </w:r>
      <w:proofErr w:type="spellStart"/>
      <w:r w:rsidRPr="00A472AB">
        <w:rPr>
          <w:rFonts w:ascii="Times New Roman" w:hAnsi="Times New Roman"/>
          <w:lang w:val="fr-BE"/>
        </w:rPr>
        <w:t>clothianidine</w:t>
      </w:r>
      <w:proofErr w:type="spellEnd"/>
      <w:proofErr w:type="gramEnd"/>
      <w:r w:rsidRPr="00A472AB">
        <w:rPr>
          <w:rFonts w:ascii="Times New Roman" w:hAnsi="Times New Roman"/>
          <w:lang w:val="fr-BE"/>
        </w:rPr>
        <w:t>» sur les abeilles sauvages et les abeilles mellifères (</w:t>
      </w:r>
      <w:r w:rsidRPr="00A472AB">
        <w:rPr>
          <w:rFonts w:ascii="Times New Roman" w:hAnsi="Times New Roman"/>
          <w:b/>
          <w:lang w:val="fr-BE"/>
        </w:rPr>
        <w:t>considérant C</w:t>
      </w:r>
      <w:r w:rsidRPr="00A472AB">
        <w:rPr>
          <w:rFonts w:ascii="Times New Roman" w:hAnsi="Times New Roman"/>
          <w:lang w:val="fr-BE"/>
        </w:rPr>
        <w:t>) ainsi que sur les mammifères (</w:t>
      </w:r>
      <w:r w:rsidRPr="00A472AB">
        <w:rPr>
          <w:rFonts w:ascii="Times New Roman" w:hAnsi="Times New Roman"/>
          <w:b/>
          <w:lang w:val="fr-BE"/>
        </w:rPr>
        <w:t>considérant E</w:t>
      </w:r>
      <w:r w:rsidRPr="00A472AB">
        <w:rPr>
          <w:rFonts w:ascii="Times New Roman" w:hAnsi="Times New Roman"/>
          <w:lang w:val="fr-BE"/>
        </w:rPr>
        <w:t>), à l’application du principe de précaution (</w:t>
      </w:r>
      <w:r w:rsidRPr="00A472AB">
        <w:rPr>
          <w:rFonts w:ascii="Times New Roman" w:hAnsi="Times New Roman"/>
          <w:b/>
          <w:lang w:val="fr-BE"/>
        </w:rPr>
        <w:t>considérant J</w:t>
      </w:r>
      <w:r w:rsidRPr="00A472AB">
        <w:rPr>
          <w:rFonts w:ascii="Times New Roman" w:hAnsi="Times New Roman"/>
          <w:lang w:val="fr-BE"/>
        </w:rPr>
        <w:t xml:space="preserve">) et à l’absence d’analyse de l’impact environnemental cumulé des </w:t>
      </w:r>
      <w:proofErr w:type="spellStart"/>
      <w:r w:rsidRPr="00A472AB">
        <w:rPr>
          <w:rFonts w:ascii="Times New Roman" w:hAnsi="Times New Roman"/>
          <w:lang w:val="fr-BE"/>
        </w:rPr>
        <w:t>néonicotinoïdes</w:t>
      </w:r>
      <w:proofErr w:type="spellEnd"/>
      <w:r w:rsidRPr="00A472AB">
        <w:rPr>
          <w:rFonts w:ascii="Times New Roman" w:hAnsi="Times New Roman"/>
          <w:lang w:val="fr-BE"/>
        </w:rPr>
        <w:t xml:space="preserve"> au Canada (</w:t>
      </w:r>
      <w:r w:rsidRPr="00A472AB">
        <w:rPr>
          <w:rFonts w:ascii="Times New Roman" w:hAnsi="Times New Roman"/>
          <w:b/>
          <w:lang w:val="fr-BE"/>
        </w:rPr>
        <w:t>considérant M</w:t>
      </w:r>
      <w:r w:rsidRPr="00A472AB">
        <w:rPr>
          <w:rFonts w:ascii="Times New Roman" w:hAnsi="Times New Roman"/>
          <w:lang w:val="fr-BE"/>
        </w:rPr>
        <w:t>).</w:t>
      </w:r>
    </w:p>
    <w:p w:rsidR="00F3230C" w:rsidRPr="00A472AB" w:rsidRDefault="00F3230C" w:rsidP="00F3230C">
      <w:pPr>
        <w:spacing w:after="120"/>
        <w:rPr>
          <w:rFonts w:ascii="Times New Roman" w:hAnsi="Times New Roman"/>
          <w:szCs w:val="24"/>
          <w:lang w:val="fr-BE"/>
        </w:rPr>
      </w:pPr>
      <w:r w:rsidRPr="00A472AB">
        <w:rPr>
          <w:rFonts w:ascii="Times New Roman" w:hAnsi="Times New Roman"/>
          <w:lang w:val="fr-BE"/>
        </w:rPr>
        <w:t>Aux termes de la résolution, le projet de règlement de la Commission excède les compétences d’exécution prévues dans le règlement (CE) nº </w:t>
      </w:r>
      <w:r w:rsidRPr="00B70F74">
        <w:rPr>
          <w:rFonts w:ascii="Times New Roman" w:hAnsi="Times New Roman"/>
          <w:lang w:val="fr-BE"/>
        </w:rPr>
        <w:t>396</w:t>
      </w:r>
      <w:r w:rsidRPr="00A472AB">
        <w:rPr>
          <w:rFonts w:ascii="Times New Roman" w:hAnsi="Times New Roman"/>
          <w:lang w:val="fr-BE"/>
        </w:rPr>
        <w:t>/</w:t>
      </w:r>
      <w:r w:rsidRPr="00B70F74">
        <w:rPr>
          <w:rFonts w:ascii="Times New Roman" w:hAnsi="Times New Roman"/>
          <w:lang w:val="fr-BE"/>
        </w:rPr>
        <w:t>2005</w:t>
      </w:r>
      <w:r w:rsidRPr="00A472AB">
        <w:rPr>
          <w:rFonts w:ascii="Times New Roman" w:hAnsi="Times New Roman"/>
          <w:lang w:val="fr-BE"/>
        </w:rPr>
        <w:t xml:space="preserve"> concernant les limites maximales applicables aux résidus de pesticides présents dans ou sur les denrées alimentaires et les aliments pour animaux d’origine végétale et animale (</w:t>
      </w:r>
      <w:r w:rsidRPr="00A472AB">
        <w:rPr>
          <w:rFonts w:ascii="Times New Roman" w:hAnsi="Times New Roman"/>
          <w:b/>
          <w:lang w:val="fr-BE"/>
        </w:rPr>
        <w:t>paragraphe </w:t>
      </w:r>
      <w:r w:rsidRPr="00B70F74">
        <w:rPr>
          <w:rFonts w:ascii="Times New Roman" w:hAnsi="Times New Roman"/>
          <w:b/>
          <w:lang w:val="fr-BE"/>
        </w:rPr>
        <w:t>2</w:t>
      </w:r>
      <w:r w:rsidRPr="00A472AB">
        <w:rPr>
          <w:rFonts w:ascii="Times New Roman" w:hAnsi="Times New Roman"/>
          <w:lang w:val="fr-BE"/>
        </w:rPr>
        <w:t>). En outre, il est considéré dans la résolution que le projet n’est pas compatible avec le but et le contenu du règlement (CE) nº </w:t>
      </w:r>
      <w:r w:rsidRPr="00B70F74">
        <w:rPr>
          <w:rFonts w:ascii="Times New Roman" w:hAnsi="Times New Roman"/>
          <w:lang w:val="fr-BE"/>
        </w:rPr>
        <w:t>396</w:t>
      </w:r>
      <w:r w:rsidRPr="00A472AB">
        <w:rPr>
          <w:rFonts w:ascii="Times New Roman" w:hAnsi="Times New Roman"/>
          <w:lang w:val="fr-BE"/>
        </w:rPr>
        <w:t>/</w:t>
      </w:r>
      <w:r w:rsidRPr="00B70F74">
        <w:rPr>
          <w:rFonts w:ascii="Times New Roman" w:hAnsi="Times New Roman"/>
          <w:lang w:val="fr-BE"/>
        </w:rPr>
        <w:t>2005</w:t>
      </w:r>
      <w:r w:rsidRPr="00A472AB">
        <w:rPr>
          <w:rFonts w:ascii="Times New Roman" w:hAnsi="Times New Roman"/>
          <w:lang w:val="fr-BE"/>
        </w:rPr>
        <w:t xml:space="preserve"> (</w:t>
      </w:r>
      <w:r w:rsidRPr="00A472AB">
        <w:rPr>
          <w:rFonts w:ascii="Times New Roman" w:hAnsi="Times New Roman"/>
          <w:b/>
          <w:lang w:val="fr-BE"/>
        </w:rPr>
        <w:t>paragraphe </w:t>
      </w:r>
      <w:r w:rsidRPr="00B70F74">
        <w:rPr>
          <w:rFonts w:ascii="Times New Roman" w:hAnsi="Times New Roman"/>
          <w:b/>
          <w:lang w:val="fr-BE"/>
        </w:rPr>
        <w:t>3</w:t>
      </w:r>
      <w:r w:rsidRPr="00A472AB">
        <w:rPr>
          <w:rFonts w:ascii="Times New Roman" w:hAnsi="Times New Roman"/>
          <w:lang w:val="fr-BE"/>
        </w:rPr>
        <w:t>) et qu’il ne tient pas compte des inquiétudes soulevées par plusieurs parties prenantes au sujet de la procédure d’autorisation par l’UE en ce qui concerne le processus d’évaluation des pesticides. La résolution souligne en particulier le fait qu’une entreprise allemande a choisi l’Allemagne comme État membre d’évaluation (</w:t>
      </w:r>
      <w:r w:rsidRPr="00A472AB">
        <w:rPr>
          <w:rFonts w:ascii="Times New Roman" w:hAnsi="Times New Roman"/>
          <w:b/>
          <w:lang w:val="fr-BE"/>
        </w:rPr>
        <w:t>paragraphe </w:t>
      </w:r>
      <w:r w:rsidRPr="00B70F74">
        <w:rPr>
          <w:rFonts w:ascii="Times New Roman" w:hAnsi="Times New Roman"/>
          <w:b/>
          <w:lang w:val="fr-BE"/>
        </w:rPr>
        <w:t>7</w:t>
      </w:r>
      <w:r w:rsidRPr="00A472AB">
        <w:rPr>
          <w:rFonts w:ascii="Times New Roman" w:hAnsi="Times New Roman"/>
          <w:lang w:val="fr-BE"/>
        </w:rPr>
        <w:t>). Elle exprime également des inquiétudes quant aux effets sur les abeilles et les autres pollinisateurs (</w:t>
      </w:r>
      <w:r w:rsidRPr="00A472AB">
        <w:rPr>
          <w:rFonts w:ascii="Times New Roman" w:hAnsi="Times New Roman"/>
          <w:b/>
          <w:lang w:val="fr-BE"/>
        </w:rPr>
        <w:t>paragraphe</w:t>
      </w:r>
      <w:r w:rsidRPr="00A472AB">
        <w:rPr>
          <w:rFonts w:ascii="Times New Roman" w:hAnsi="Times New Roman"/>
          <w:lang w:val="fr-BE"/>
        </w:rPr>
        <w:t> </w:t>
      </w:r>
      <w:r w:rsidRPr="00B70F74">
        <w:rPr>
          <w:rFonts w:ascii="Times New Roman" w:hAnsi="Times New Roman"/>
          <w:b/>
          <w:lang w:val="fr-BE"/>
        </w:rPr>
        <w:t>9</w:t>
      </w:r>
      <w:r w:rsidRPr="00A472AB">
        <w:rPr>
          <w:rFonts w:ascii="Times New Roman" w:hAnsi="Times New Roman"/>
          <w:lang w:val="fr-BE"/>
        </w:rPr>
        <w:t>).</w:t>
      </w:r>
    </w:p>
    <w:p w:rsidR="00F3230C" w:rsidRPr="00A472AB" w:rsidRDefault="00F3230C" w:rsidP="00F3230C">
      <w:pPr>
        <w:spacing w:after="120"/>
        <w:rPr>
          <w:rFonts w:ascii="Times New Roman" w:hAnsi="Times New Roman"/>
          <w:szCs w:val="24"/>
          <w:lang w:val="fr-BE"/>
        </w:rPr>
      </w:pPr>
      <w:r w:rsidRPr="00A472AB">
        <w:rPr>
          <w:rFonts w:ascii="Times New Roman" w:hAnsi="Times New Roman"/>
          <w:lang w:val="fr-BE"/>
        </w:rPr>
        <w:t>La résolution appelle la Commission à retirer son projet de règlement et à présenter une nouvelle proposition législative qui respecte le principe de précaution, sur la base du traité sur le fonctionnement de l’Union européenne (</w:t>
      </w:r>
      <w:r w:rsidRPr="00A472AB">
        <w:rPr>
          <w:rFonts w:ascii="Times New Roman" w:hAnsi="Times New Roman"/>
          <w:b/>
          <w:lang w:val="fr-BE"/>
        </w:rPr>
        <w:t>paragraphes </w:t>
      </w:r>
      <w:r w:rsidRPr="00B70F74">
        <w:rPr>
          <w:rFonts w:ascii="Times New Roman" w:hAnsi="Times New Roman"/>
          <w:b/>
          <w:lang w:val="fr-BE"/>
        </w:rPr>
        <w:t>10</w:t>
      </w:r>
      <w:r w:rsidRPr="00A472AB">
        <w:rPr>
          <w:rFonts w:ascii="Times New Roman" w:hAnsi="Times New Roman"/>
          <w:b/>
          <w:lang w:val="fr-BE"/>
        </w:rPr>
        <w:t xml:space="preserve"> et </w:t>
      </w:r>
      <w:r w:rsidRPr="00B70F74">
        <w:rPr>
          <w:rFonts w:ascii="Times New Roman" w:hAnsi="Times New Roman"/>
          <w:b/>
          <w:lang w:val="fr-BE"/>
        </w:rPr>
        <w:t>11</w:t>
      </w:r>
      <w:r w:rsidRPr="00A472AB">
        <w:rPr>
          <w:rFonts w:ascii="Times New Roman" w:hAnsi="Times New Roman"/>
          <w:lang w:val="fr-BE"/>
        </w:rPr>
        <w:t>).</w:t>
      </w:r>
    </w:p>
    <w:p w:rsidR="00F3230C" w:rsidRPr="00A472AB" w:rsidRDefault="00F3230C" w:rsidP="00F3230C">
      <w:pPr>
        <w:ind w:left="567" w:hanging="567"/>
        <w:rPr>
          <w:rFonts w:ascii="Times New Roman" w:hAnsi="Times New Roman"/>
          <w:b/>
          <w:color w:val="000000"/>
          <w:szCs w:val="24"/>
          <w:lang w:val="fr-BE"/>
        </w:rPr>
      </w:pPr>
      <w:r w:rsidRPr="00B70F74">
        <w:rPr>
          <w:rFonts w:ascii="Times New Roman" w:hAnsi="Times New Roman"/>
          <w:b/>
          <w:color w:val="000000"/>
          <w:lang w:val="fr-BE"/>
        </w:rPr>
        <w:t>6</w:t>
      </w:r>
      <w:r w:rsidRPr="00A472AB">
        <w:rPr>
          <w:rFonts w:ascii="Times New Roman" w:hAnsi="Times New Roman"/>
          <w:b/>
          <w:color w:val="000000"/>
          <w:lang w:val="fr-BE"/>
        </w:rPr>
        <w:t>.</w:t>
      </w:r>
      <w:r w:rsidRPr="00A472AB">
        <w:rPr>
          <w:lang w:val="fr-BE"/>
        </w:rPr>
        <w:tab/>
      </w:r>
      <w:r w:rsidRPr="00A472AB">
        <w:rPr>
          <w:rFonts w:ascii="Times New Roman" w:hAnsi="Times New Roman"/>
          <w:b/>
          <w:color w:val="000000"/>
          <w:lang w:val="fr-BE"/>
        </w:rPr>
        <w:t>Réponses à ces demandes et aperçu des mesures que la Commission a prises ou envisage de prendre:</w:t>
      </w:r>
    </w:p>
    <w:p w:rsidR="00F3230C" w:rsidRPr="00A472AB" w:rsidRDefault="00F3230C" w:rsidP="00F3230C">
      <w:pPr>
        <w:pStyle w:val="Normal12a"/>
        <w:spacing w:after="120"/>
        <w:jc w:val="both"/>
        <w:rPr>
          <w:lang w:val="fr-BE"/>
        </w:rPr>
      </w:pPr>
      <w:r w:rsidRPr="00A472AB">
        <w:rPr>
          <w:lang w:val="fr-BE"/>
        </w:rPr>
        <w:t xml:space="preserve">En ce qui concerne le </w:t>
      </w:r>
      <w:r w:rsidRPr="00A472AB">
        <w:rPr>
          <w:b/>
          <w:lang w:val="fr-BE"/>
        </w:rPr>
        <w:t>paragraphe </w:t>
      </w:r>
      <w:r w:rsidRPr="00B70F74">
        <w:rPr>
          <w:b/>
          <w:lang w:val="fr-BE"/>
        </w:rPr>
        <w:t>2</w:t>
      </w:r>
      <w:r w:rsidRPr="00A472AB">
        <w:rPr>
          <w:lang w:val="fr-BE"/>
        </w:rPr>
        <w:t>, la Commission considère que le projet de règlement est pleinement conforme aux dispositions du règlement (CE) nº </w:t>
      </w:r>
      <w:r w:rsidRPr="00B70F74">
        <w:rPr>
          <w:lang w:val="fr-BE"/>
        </w:rPr>
        <w:t>396</w:t>
      </w:r>
      <w:r w:rsidRPr="00A472AB">
        <w:rPr>
          <w:lang w:val="fr-BE"/>
        </w:rPr>
        <w:t>/</w:t>
      </w:r>
      <w:r w:rsidRPr="00B70F74">
        <w:rPr>
          <w:lang w:val="fr-BE"/>
        </w:rPr>
        <w:t>2005</w:t>
      </w:r>
      <w:r w:rsidRPr="00A472AB">
        <w:rPr>
          <w:lang w:val="fr-BE"/>
        </w:rPr>
        <w:t>. Le projet en question se fonde sur une demande de fixation de limites maximales applicables aux résidus (LMR) et sur un avis scientifique de l’État membre d’évaluation et de l’Autorité européenne de sécurité des aliments (EFSA) conforme à la procédure décrite aux articles </w:t>
      </w:r>
      <w:r w:rsidRPr="00B70F74">
        <w:rPr>
          <w:lang w:val="fr-BE"/>
        </w:rPr>
        <w:t>6</w:t>
      </w:r>
      <w:r w:rsidRPr="00A472AB">
        <w:rPr>
          <w:lang w:val="fr-BE"/>
        </w:rPr>
        <w:t xml:space="preserve"> à </w:t>
      </w:r>
      <w:r w:rsidRPr="00B70F74">
        <w:rPr>
          <w:lang w:val="fr-BE"/>
        </w:rPr>
        <w:t>11</w:t>
      </w:r>
      <w:r w:rsidRPr="00A472AB">
        <w:rPr>
          <w:lang w:val="fr-BE"/>
        </w:rPr>
        <w:t xml:space="preserve"> du règlement (CE) nº </w:t>
      </w:r>
      <w:r w:rsidRPr="00B70F74">
        <w:rPr>
          <w:lang w:val="fr-BE"/>
        </w:rPr>
        <w:t>396</w:t>
      </w:r>
      <w:r w:rsidRPr="00A472AB">
        <w:rPr>
          <w:lang w:val="fr-BE"/>
        </w:rPr>
        <w:t>/</w:t>
      </w:r>
      <w:r w:rsidRPr="00B70F74">
        <w:rPr>
          <w:lang w:val="fr-BE"/>
        </w:rPr>
        <w:t>2005</w:t>
      </w:r>
      <w:r w:rsidRPr="00A472AB">
        <w:rPr>
          <w:lang w:val="fr-BE"/>
        </w:rPr>
        <w:t xml:space="preserve"> et confirmant la sécurité des LMR pour les consommateurs.</w:t>
      </w:r>
    </w:p>
    <w:p w:rsidR="00F3230C" w:rsidRPr="00A472AB" w:rsidRDefault="00F3230C" w:rsidP="00F3230C">
      <w:pPr>
        <w:pStyle w:val="Normal12a"/>
        <w:spacing w:after="120"/>
        <w:jc w:val="both"/>
        <w:rPr>
          <w:lang w:val="fr-BE"/>
        </w:rPr>
      </w:pPr>
      <w:r w:rsidRPr="00A472AB">
        <w:rPr>
          <w:lang w:val="fr-BE"/>
        </w:rPr>
        <w:t xml:space="preserve">En outre, la Commission affirme que le projet de règlement de la Commission respecte les </w:t>
      </w:r>
      <w:r w:rsidRPr="00A472AB">
        <w:rPr>
          <w:lang w:val="fr-BE"/>
        </w:rPr>
        <w:lastRenderedPageBreak/>
        <w:t>étapes procédurales définies dans la décision nº </w:t>
      </w:r>
      <w:r w:rsidRPr="00B70F74">
        <w:rPr>
          <w:lang w:val="fr-BE"/>
        </w:rPr>
        <w:t>1999</w:t>
      </w:r>
      <w:r w:rsidRPr="00A472AB">
        <w:rPr>
          <w:lang w:val="fr-BE"/>
        </w:rPr>
        <w:t>/</w:t>
      </w:r>
      <w:r w:rsidRPr="00B70F74">
        <w:rPr>
          <w:lang w:val="fr-BE"/>
        </w:rPr>
        <w:t>468</w:t>
      </w:r>
      <w:r w:rsidRPr="00A472AB">
        <w:rPr>
          <w:lang w:val="fr-BE"/>
        </w:rPr>
        <w:t>/CE du Conseil relative à la comitologie et dans le règlement (CE) nº </w:t>
      </w:r>
      <w:r w:rsidRPr="00B70F74">
        <w:rPr>
          <w:lang w:val="fr-BE"/>
        </w:rPr>
        <w:t>396</w:t>
      </w:r>
      <w:r w:rsidRPr="00A472AB">
        <w:rPr>
          <w:lang w:val="fr-BE"/>
        </w:rPr>
        <w:t>/</w:t>
      </w:r>
      <w:r w:rsidRPr="00B70F74">
        <w:rPr>
          <w:lang w:val="fr-BE"/>
        </w:rPr>
        <w:t>2005</w:t>
      </w:r>
      <w:r w:rsidRPr="00A472AB">
        <w:rPr>
          <w:lang w:val="fr-BE"/>
        </w:rPr>
        <w:t xml:space="preserve"> et qu’il s’inscrit donc dans le cadre des compétences d’exécution conférées à la Commission dans ce règlement. De plus, le comité permanent des végétaux, des animaux, des denrées alimentaires et des aliments pour animaux avait émis, à l’unanimité, un avis favorable sur le projet de règlement et le Conseil a décidé de ne pas s’y opposer.</w:t>
      </w:r>
    </w:p>
    <w:p w:rsidR="00F3230C" w:rsidRPr="00A472AB" w:rsidRDefault="00F3230C" w:rsidP="00F3230C">
      <w:pPr>
        <w:pStyle w:val="Normal12a"/>
        <w:spacing w:after="120"/>
        <w:jc w:val="both"/>
        <w:rPr>
          <w:lang w:val="fr-BE"/>
        </w:rPr>
      </w:pPr>
      <w:r w:rsidRPr="00A472AB">
        <w:rPr>
          <w:lang w:val="fr-BE"/>
        </w:rPr>
        <w:t xml:space="preserve">En ce qui concerne le </w:t>
      </w:r>
      <w:r w:rsidRPr="00A472AB">
        <w:rPr>
          <w:b/>
          <w:lang w:val="fr-BE"/>
        </w:rPr>
        <w:t>paragraphe </w:t>
      </w:r>
      <w:r w:rsidRPr="00B70F74">
        <w:rPr>
          <w:b/>
          <w:lang w:val="fr-BE"/>
        </w:rPr>
        <w:t>3</w:t>
      </w:r>
      <w:r w:rsidRPr="00A472AB">
        <w:rPr>
          <w:lang w:val="fr-BE"/>
        </w:rPr>
        <w:t>, la Commission considère que le projet de règlement est pleinement conforme aux buts et objectifs du règlement (CE) nº </w:t>
      </w:r>
      <w:r w:rsidRPr="00B70F74">
        <w:rPr>
          <w:lang w:val="fr-BE"/>
        </w:rPr>
        <w:t>396</w:t>
      </w:r>
      <w:r w:rsidRPr="00A472AB">
        <w:rPr>
          <w:lang w:val="fr-BE"/>
        </w:rPr>
        <w:t>/</w:t>
      </w:r>
      <w:r w:rsidRPr="00B70F74">
        <w:rPr>
          <w:lang w:val="fr-BE"/>
        </w:rPr>
        <w:t>2005</w:t>
      </w:r>
      <w:r w:rsidRPr="00A472AB">
        <w:rPr>
          <w:lang w:val="fr-BE"/>
        </w:rPr>
        <w:t xml:space="preserve">, dont la finalité principale est d’assurer un niveau élevé de protection des consommateurs. Dans l’avis scientifique qui sous-tend la proposition de modification de la LMR pour la </w:t>
      </w:r>
      <w:proofErr w:type="spellStart"/>
      <w:r w:rsidRPr="00A472AB">
        <w:rPr>
          <w:lang w:val="fr-BE"/>
        </w:rPr>
        <w:t>clothianidine</w:t>
      </w:r>
      <w:proofErr w:type="spellEnd"/>
      <w:r w:rsidRPr="00A472AB">
        <w:rPr>
          <w:lang w:val="fr-BE"/>
        </w:rPr>
        <w:t xml:space="preserve"> dans les pommes de terre (adoptée en août </w:t>
      </w:r>
      <w:r w:rsidRPr="00B70F74">
        <w:rPr>
          <w:lang w:val="fr-BE"/>
        </w:rPr>
        <w:t>2018</w:t>
      </w:r>
      <w:r w:rsidRPr="00A472AB">
        <w:rPr>
          <w:lang w:val="fr-BE"/>
        </w:rPr>
        <w:t>), l’EFSA n’a relevé aucun problème pour la santé du consommateur lié aux résidus de la substance sur les pommes de terre.</w:t>
      </w:r>
    </w:p>
    <w:p w:rsidR="00F3230C" w:rsidRPr="00A472AB" w:rsidRDefault="00F3230C" w:rsidP="00F3230C">
      <w:pPr>
        <w:pStyle w:val="Normal12a"/>
        <w:spacing w:after="120"/>
        <w:jc w:val="both"/>
        <w:rPr>
          <w:lang w:val="fr-BE"/>
        </w:rPr>
      </w:pPr>
      <w:r w:rsidRPr="00A472AB">
        <w:rPr>
          <w:lang w:val="fr-BE"/>
        </w:rPr>
        <w:t>Les considérations relatives à la protection de l’environnement dans le domaine des pesticides relèvent du champ d’application du règlement (CE) nº </w:t>
      </w:r>
      <w:r w:rsidRPr="00B70F74">
        <w:rPr>
          <w:lang w:val="fr-BE"/>
        </w:rPr>
        <w:t>1107</w:t>
      </w:r>
      <w:r w:rsidRPr="00A472AB">
        <w:rPr>
          <w:lang w:val="fr-BE"/>
        </w:rPr>
        <w:t>/</w:t>
      </w:r>
      <w:r w:rsidRPr="00B70F74">
        <w:rPr>
          <w:lang w:val="fr-BE"/>
        </w:rPr>
        <w:t>2009</w:t>
      </w:r>
      <w:r w:rsidRPr="00A472AB">
        <w:rPr>
          <w:lang w:val="fr-BE"/>
        </w:rPr>
        <w:t xml:space="preserve"> concernant la mise sur le marché des produits phytopharmaceutiques, en vertu duquel chaque substance active et chaque produit phytopharmaceutique est évalué au regard de sa sécurité environnementale avant qu’une décision de gestion des risques portant approbation de cette substance ou autorisant l’utilisation de produit ne soit prise. Cette évaluation des risques pour l’environnement nécessite un éventail d’essais plus étendu que la plupart, voire la totalité, des autres systèmes réglementaires dans le monde. En ce qui concerne plus particulièrement le </w:t>
      </w:r>
      <w:r w:rsidRPr="00A472AB">
        <w:rPr>
          <w:b/>
          <w:lang w:val="fr-BE"/>
        </w:rPr>
        <w:t>paragraphe </w:t>
      </w:r>
      <w:r w:rsidRPr="00B70F74">
        <w:rPr>
          <w:b/>
          <w:lang w:val="fr-BE"/>
        </w:rPr>
        <w:t>9</w:t>
      </w:r>
      <w:r w:rsidRPr="00A472AB">
        <w:rPr>
          <w:lang w:val="fr-BE"/>
        </w:rPr>
        <w:t xml:space="preserve">, la Commission attache une grande importance à la protection des abeilles. Sur cette base, elle a pris des mesures strictes pour protéger l’environnement contre les effets néfastes causés par certains </w:t>
      </w:r>
      <w:proofErr w:type="spellStart"/>
      <w:r w:rsidRPr="00A472AB">
        <w:rPr>
          <w:lang w:val="fr-BE"/>
        </w:rPr>
        <w:t>néonicotinoïdes</w:t>
      </w:r>
      <w:proofErr w:type="spellEnd"/>
      <w:r w:rsidRPr="00A472AB">
        <w:rPr>
          <w:lang w:val="fr-BE"/>
        </w:rPr>
        <w:t xml:space="preserve"> (y compris la </w:t>
      </w:r>
      <w:proofErr w:type="spellStart"/>
      <w:r w:rsidRPr="00A472AB">
        <w:rPr>
          <w:lang w:val="fr-BE"/>
        </w:rPr>
        <w:t>clothianidine</w:t>
      </w:r>
      <w:proofErr w:type="spellEnd"/>
      <w:r w:rsidRPr="00A472AB">
        <w:rPr>
          <w:lang w:val="fr-BE"/>
        </w:rPr>
        <w:t>). Les mesures prises par l’UE à cet égard sont parmi les plus strictes du monde.</w:t>
      </w:r>
    </w:p>
    <w:p w:rsidR="00F3230C" w:rsidRPr="00A472AB" w:rsidRDefault="00F3230C" w:rsidP="00F3230C">
      <w:pPr>
        <w:pStyle w:val="Normal12a"/>
        <w:spacing w:after="120"/>
        <w:jc w:val="both"/>
        <w:rPr>
          <w:lang w:val="fr-BE"/>
        </w:rPr>
      </w:pPr>
      <w:r w:rsidRPr="00A472AB">
        <w:rPr>
          <w:lang w:val="fr-BE"/>
        </w:rPr>
        <w:t xml:space="preserve">Les conditions d’utilisation de la </w:t>
      </w:r>
      <w:proofErr w:type="spellStart"/>
      <w:r w:rsidRPr="00A472AB">
        <w:rPr>
          <w:lang w:val="fr-BE"/>
        </w:rPr>
        <w:t>clothianidine</w:t>
      </w:r>
      <w:proofErr w:type="spellEnd"/>
      <w:r w:rsidRPr="00A472AB">
        <w:rPr>
          <w:lang w:val="fr-BE"/>
        </w:rPr>
        <w:t xml:space="preserve"> dans l’UE ont été limitées pour la première fois en </w:t>
      </w:r>
      <w:r w:rsidRPr="00B70F74">
        <w:rPr>
          <w:lang w:val="fr-BE"/>
        </w:rPr>
        <w:t>2013</w:t>
      </w:r>
      <w:r w:rsidRPr="00A472AB">
        <w:rPr>
          <w:lang w:val="fr-BE"/>
        </w:rPr>
        <w:t xml:space="preserve"> et, depuis </w:t>
      </w:r>
      <w:r w:rsidRPr="00B70F74">
        <w:rPr>
          <w:lang w:val="fr-BE"/>
        </w:rPr>
        <w:t>2018</w:t>
      </w:r>
      <w:r w:rsidRPr="00A472AB">
        <w:rPr>
          <w:lang w:val="fr-BE"/>
        </w:rPr>
        <w:t xml:space="preserve">, l’utilisation extérieure de la </w:t>
      </w:r>
      <w:proofErr w:type="spellStart"/>
      <w:r w:rsidRPr="00A472AB">
        <w:rPr>
          <w:lang w:val="fr-BE"/>
        </w:rPr>
        <w:t>clothianidine</w:t>
      </w:r>
      <w:proofErr w:type="spellEnd"/>
      <w:r w:rsidRPr="00A472AB">
        <w:rPr>
          <w:lang w:val="fr-BE"/>
        </w:rPr>
        <w:t xml:space="preserve"> n’est plus autorisée dans l’UE. Par ailleurs, les États membres ne peuvent autoriser des produits que s’ils ont constaté que ceux-ci n’entraînent pas d’effets néfastes pour les abeilles. Le processus réglementaire au niveau de l’UE et au niveau national couvre donc tous les aspects liés à la santé des abeilles et garantit que leur santé n’est pas menacée lorsque les produits phytopharmaceutiques sont utilisés correctement et dans le respect des conditions imposées.</w:t>
      </w:r>
    </w:p>
    <w:p w:rsidR="00F3230C" w:rsidRPr="00A472AB" w:rsidRDefault="00F3230C" w:rsidP="00F3230C">
      <w:pPr>
        <w:pStyle w:val="Normal12a"/>
        <w:spacing w:after="120"/>
        <w:jc w:val="both"/>
        <w:rPr>
          <w:lang w:val="fr-BE"/>
        </w:rPr>
      </w:pPr>
      <w:r w:rsidRPr="00A472AB">
        <w:rPr>
          <w:lang w:val="fr-BE"/>
        </w:rPr>
        <w:t>Le projet de mesure auquel la résolution s’oppose concerne une demande de fixation d’une nouvelle LMR pour l’importation de pommes de terre dans l’UE. Il importe de rappeler que l’Union européenne ne dispose d’aucun pouvoir propre pour s’ingérer dans la législation et les normes environnementales établies dans les pays tiers, y compris la protection des abeilles et des autres pollinisateurs.</w:t>
      </w:r>
    </w:p>
    <w:p w:rsidR="00F3230C" w:rsidRPr="00A472AB" w:rsidRDefault="00F3230C" w:rsidP="00F3230C">
      <w:pPr>
        <w:pStyle w:val="Normal12a"/>
        <w:spacing w:after="120"/>
        <w:jc w:val="both"/>
        <w:rPr>
          <w:lang w:val="fr-BE"/>
        </w:rPr>
      </w:pPr>
      <w:r w:rsidRPr="00A472AB">
        <w:rPr>
          <w:lang w:val="fr-BE"/>
        </w:rPr>
        <w:t xml:space="preserve">En ce qui concerne le </w:t>
      </w:r>
      <w:r w:rsidRPr="00A472AB">
        <w:rPr>
          <w:b/>
          <w:lang w:val="fr-BE"/>
        </w:rPr>
        <w:t>paragraphe </w:t>
      </w:r>
      <w:r w:rsidRPr="00B70F74">
        <w:rPr>
          <w:b/>
          <w:lang w:val="fr-BE"/>
        </w:rPr>
        <w:t>7</w:t>
      </w:r>
      <w:r w:rsidRPr="00A472AB">
        <w:rPr>
          <w:lang w:val="fr-BE"/>
        </w:rPr>
        <w:t>, aux fins de l’évaluation des demandes de fixation de LMR ou de tolérances à l’importation, toutes les substances sont traitées sur un pied d’égalité, quel que soit l’État membre d’évaluation qui effectue l’évaluation initiale, étant donné qu’il existe des règles d’évaluation claires et harmonisées. Pour les demandes de tolérances à l’importation, le demandeur ne peut pas choisir l’État membre d’évaluation: conformément à l’article </w:t>
      </w:r>
      <w:r w:rsidRPr="00B70F74">
        <w:rPr>
          <w:lang w:val="fr-BE"/>
        </w:rPr>
        <w:t>6</w:t>
      </w:r>
      <w:r w:rsidRPr="00A472AB">
        <w:rPr>
          <w:lang w:val="fr-BE"/>
        </w:rPr>
        <w:t>, paragraphe </w:t>
      </w:r>
      <w:r w:rsidRPr="00B70F74">
        <w:rPr>
          <w:lang w:val="fr-BE"/>
        </w:rPr>
        <w:t>4</w:t>
      </w:r>
      <w:r w:rsidRPr="00A472AB">
        <w:rPr>
          <w:lang w:val="fr-BE"/>
        </w:rPr>
        <w:t>, du règlement (CE) nº </w:t>
      </w:r>
      <w:r w:rsidRPr="00B70F74">
        <w:rPr>
          <w:lang w:val="fr-BE"/>
        </w:rPr>
        <w:t>396</w:t>
      </w:r>
      <w:r w:rsidRPr="00A472AB">
        <w:rPr>
          <w:lang w:val="fr-BE"/>
        </w:rPr>
        <w:t>/</w:t>
      </w:r>
      <w:r w:rsidRPr="00B70F74">
        <w:rPr>
          <w:lang w:val="fr-BE"/>
        </w:rPr>
        <w:t>2005</w:t>
      </w:r>
      <w:r w:rsidRPr="00A472AB">
        <w:rPr>
          <w:lang w:val="fr-BE"/>
        </w:rPr>
        <w:t>, la demande doit être présentée à l’État membre rapporteur responsable de l’évaluation effectuée dans le cadre de l’approbation de la substance active, qui, en l’espèce, est l’Allemagne. Les rapports d’évaluation et les demandes sont ensuite évalués par l’EFSA et soumis à un examen collégial, avant la publication d’un avis motivé sur les LMR proposées.</w:t>
      </w:r>
    </w:p>
    <w:p w:rsidR="00F3230C" w:rsidRPr="00A472AB" w:rsidRDefault="00F3230C" w:rsidP="00F3230C">
      <w:pPr>
        <w:pStyle w:val="Normal12a"/>
        <w:spacing w:after="120"/>
        <w:jc w:val="both"/>
        <w:rPr>
          <w:lang w:val="fr-BE"/>
        </w:rPr>
      </w:pPr>
      <w:r w:rsidRPr="00A472AB">
        <w:rPr>
          <w:lang w:val="fr-BE"/>
        </w:rPr>
        <w:t xml:space="preserve">En conclusion, la Commission considère qu’en proposant le projet de règlement, elle a correctement mis en œuvre le cadre réglementaire convenu par les </w:t>
      </w:r>
      <w:proofErr w:type="spellStart"/>
      <w:r w:rsidRPr="00A472AB">
        <w:rPr>
          <w:lang w:val="fr-BE"/>
        </w:rPr>
        <w:t>colégislateurs</w:t>
      </w:r>
      <w:proofErr w:type="spellEnd"/>
      <w:r w:rsidRPr="00A472AB">
        <w:rPr>
          <w:lang w:val="fr-BE"/>
        </w:rPr>
        <w:t xml:space="preserve">, lequel </w:t>
      </w:r>
      <w:r w:rsidRPr="00A472AB">
        <w:rPr>
          <w:lang w:val="fr-BE"/>
        </w:rPr>
        <w:lastRenderedPageBreak/>
        <w:t>obligeait en réalité la Commission à élaborer le projet de règlement conformément à la procédure décrite aux articles </w:t>
      </w:r>
      <w:r w:rsidRPr="00B70F74">
        <w:rPr>
          <w:lang w:val="fr-BE"/>
        </w:rPr>
        <w:t>6</w:t>
      </w:r>
      <w:r w:rsidRPr="00A472AB">
        <w:rPr>
          <w:lang w:val="fr-BE"/>
        </w:rPr>
        <w:t xml:space="preserve"> à </w:t>
      </w:r>
      <w:r w:rsidRPr="00B70F74">
        <w:rPr>
          <w:lang w:val="fr-BE"/>
        </w:rPr>
        <w:t>11</w:t>
      </w:r>
      <w:r w:rsidRPr="00A472AB">
        <w:rPr>
          <w:lang w:val="fr-BE"/>
        </w:rPr>
        <w:t xml:space="preserve"> du règlement (CE) nº </w:t>
      </w:r>
      <w:r w:rsidRPr="00B70F74">
        <w:rPr>
          <w:lang w:val="fr-BE"/>
        </w:rPr>
        <w:t>396</w:t>
      </w:r>
      <w:r w:rsidRPr="00A472AB">
        <w:rPr>
          <w:lang w:val="fr-BE"/>
        </w:rPr>
        <w:t>/</w:t>
      </w:r>
      <w:r w:rsidRPr="00B70F74">
        <w:rPr>
          <w:lang w:val="fr-BE"/>
        </w:rPr>
        <w:t>2005</w:t>
      </w:r>
      <w:r w:rsidRPr="00A472AB">
        <w:rPr>
          <w:lang w:val="fr-BE"/>
        </w:rPr>
        <w:t>. La Commission n’a donc pas excédé ses compétences d’exécution.</w:t>
      </w:r>
    </w:p>
    <w:p w:rsidR="00F3230C" w:rsidRPr="00A472AB" w:rsidRDefault="00F3230C" w:rsidP="00F3230C">
      <w:pPr>
        <w:pStyle w:val="Normal12a"/>
        <w:spacing w:after="120"/>
        <w:jc w:val="both"/>
        <w:rPr>
          <w:lang w:val="fr-BE"/>
        </w:rPr>
      </w:pPr>
      <w:r w:rsidRPr="00A472AB">
        <w:rPr>
          <w:lang w:val="fr-BE"/>
        </w:rPr>
        <w:t>Le projet de mesure ne sera pas adopté, étant donné que l’objection du Parlement empêche la Commission de le faire.</w:t>
      </w:r>
    </w:p>
    <w:p w:rsidR="00680EFD" w:rsidRPr="00F3230C" w:rsidRDefault="00F3230C" w:rsidP="00F3230C">
      <w:pPr>
        <w:rPr>
          <w:rFonts w:ascii="Times New Roman" w:hAnsi="Times New Roman"/>
          <w:lang w:val="fr-BE"/>
        </w:rPr>
      </w:pPr>
      <w:r w:rsidRPr="00F3230C">
        <w:rPr>
          <w:rFonts w:ascii="Times New Roman" w:hAnsi="Times New Roman"/>
          <w:lang w:val="fr-BE"/>
        </w:rPr>
        <w:t>La Commission réfléchit à la manière de procéder, étant donné qu’elle est juridiquement tenue de traiter les demandes qu’elle reçoit au titre du règlement (CE) nº 396/2005.</w:t>
      </w:r>
    </w:p>
    <w:sectPr w:rsidR="00680EFD" w:rsidRPr="00F32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F7C41"/>
    <w:multiLevelType w:val="hybridMultilevel"/>
    <w:tmpl w:val="424A86AA"/>
    <w:lvl w:ilvl="0" w:tplc="90B27698">
      <w:start w:val="1"/>
      <w:numFmt w:val="decimal"/>
      <w:lvlText w:val="%1."/>
      <w:lvlJc w:val="left"/>
      <w:pPr>
        <w:ind w:left="1080" w:hanging="72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0C"/>
    <w:rsid w:val="0007238C"/>
    <w:rsid w:val="000A1623"/>
    <w:rsid w:val="000D6EB1"/>
    <w:rsid w:val="00110BA4"/>
    <w:rsid w:val="001262BB"/>
    <w:rsid w:val="00131AC6"/>
    <w:rsid w:val="001855CC"/>
    <w:rsid w:val="001C3806"/>
    <w:rsid w:val="002871F7"/>
    <w:rsid w:val="00643679"/>
    <w:rsid w:val="00680EFD"/>
    <w:rsid w:val="006843AE"/>
    <w:rsid w:val="00AD10AA"/>
    <w:rsid w:val="00B24044"/>
    <w:rsid w:val="00B34A98"/>
    <w:rsid w:val="00B65AA4"/>
    <w:rsid w:val="00C43377"/>
    <w:rsid w:val="00ED700E"/>
    <w:rsid w:val="00F3230C"/>
    <w:rsid w:val="00F70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2872"/>
  <w15:chartTrackingRefBased/>
  <w15:docId w15:val="{93A0BA13-F3CC-4CD5-AA71-212C0189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30C"/>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GName">
    <w:name w:val="Z_DGName"/>
    <w:basedOn w:val="Normal"/>
    <w:uiPriority w:val="99"/>
    <w:rsid w:val="000A1623"/>
    <w:pPr>
      <w:ind w:right="85"/>
    </w:pPr>
    <w:rPr>
      <w:rFonts w:ascii="Arial" w:hAnsi="Arial" w:cs="Arial"/>
      <w:color w:val="000000"/>
      <w:sz w:val="16"/>
      <w:szCs w:val="16"/>
      <w:lang w:val="fr-FR" w:eastAsia="fr-BE"/>
    </w:rPr>
  </w:style>
  <w:style w:type="paragraph" w:customStyle="1" w:styleId="NoSpacingGray-80">
    <w:name w:val="No Spacing + Gray-80%"/>
    <w:aliases w:val="Justified,Left:  0,5 cm + Left:  0,5 cm,Right:  0,08 cm"/>
    <w:basedOn w:val="NoSpacing"/>
    <w:rsid w:val="000A1623"/>
    <w:pPr>
      <w:ind w:right="707"/>
    </w:pPr>
    <w:rPr>
      <w:rFonts w:eastAsia="Times New Roman" w:cs="Times New Roman"/>
      <w:color w:val="000000"/>
    </w:rPr>
  </w:style>
  <w:style w:type="paragraph" w:styleId="NoSpacing">
    <w:name w:val="No Spacing"/>
    <w:link w:val="NoSpacingChar"/>
    <w:autoRedefine/>
    <w:uiPriority w:val="1"/>
    <w:qFormat/>
    <w:rsid w:val="000A1623"/>
    <w:pPr>
      <w:keepLines/>
      <w:spacing w:after="0" w:line="240" w:lineRule="auto"/>
      <w:jc w:val="both"/>
    </w:pPr>
    <w:rPr>
      <w:rFonts w:ascii="Times New Roman" w:hAnsi="Times New Roman"/>
      <w:color w:val="333333"/>
      <w:sz w:val="20"/>
      <w:szCs w:val="20"/>
      <w:lang w:val="fr-BE" w:eastAsia="en-GB"/>
    </w:rPr>
  </w:style>
  <w:style w:type="paragraph" w:styleId="Header">
    <w:name w:val="header"/>
    <w:basedOn w:val="Normal"/>
    <w:link w:val="HeaderChar"/>
    <w:uiPriority w:val="99"/>
    <w:unhideWhenUsed/>
    <w:rsid w:val="000A1623"/>
    <w:pPr>
      <w:tabs>
        <w:tab w:val="center" w:pos="4513"/>
        <w:tab w:val="right" w:pos="9026"/>
      </w:tabs>
      <w:spacing w:after="0"/>
    </w:pPr>
  </w:style>
  <w:style w:type="character" w:customStyle="1" w:styleId="HeaderChar">
    <w:name w:val="Header Char"/>
    <w:basedOn w:val="DefaultParagraphFont"/>
    <w:link w:val="Header"/>
    <w:uiPriority w:val="99"/>
    <w:rsid w:val="000A1623"/>
  </w:style>
  <w:style w:type="paragraph" w:styleId="Footer">
    <w:name w:val="footer"/>
    <w:basedOn w:val="Normal"/>
    <w:link w:val="FooterChar"/>
    <w:uiPriority w:val="99"/>
    <w:unhideWhenUsed/>
    <w:rsid w:val="000A1623"/>
    <w:pPr>
      <w:tabs>
        <w:tab w:val="center" w:pos="4513"/>
        <w:tab w:val="right" w:pos="9026"/>
      </w:tabs>
      <w:spacing w:after="0"/>
    </w:pPr>
  </w:style>
  <w:style w:type="character" w:customStyle="1" w:styleId="FooterChar">
    <w:name w:val="Footer Char"/>
    <w:basedOn w:val="DefaultParagraphFont"/>
    <w:link w:val="Footer"/>
    <w:uiPriority w:val="99"/>
    <w:rsid w:val="000A1623"/>
  </w:style>
  <w:style w:type="character" w:customStyle="1" w:styleId="NoSpacingChar">
    <w:name w:val="No Spacing Char"/>
    <w:link w:val="NoSpacing"/>
    <w:uiPriority w:val="1"/>
    <w:locked/>
    <w:rsid w:val="000A1623"/>
    <w:rPr>
      <w:rFonts w:ascii="Times New Roman" w:hAnsi="Times New Roman"/>
      <w:color w:val="333333"/>
      <w:sz w:val="20"/>
      <w:szCs w:val="20"/>
      <w:lang w:val="fr-BE" w:eastAsia="en-GB"/>
    </w:rPr>
  </w:style>
  <w:style w:type="paragraph" w:styleId="ListParagraph">
    <w:name w:val="List Paragraph"/>
    <w:basedOn w:val="Normal"/>
    <w:uiPriority w:val="34"/>
    <w:qFormat/>
    <w:rsid w:val="000A1623"/>
    <w:pPr>
      <w:ind w:left="720"/>
      <w:contextualSpacing/>
    </w:pPr>
  </w:style>
  <w:style w:type="paragraph" w:customStyle="1" w:styleId="Heading2capitalletters">
    <w:name w:val="Heading 2 (capital letters)"/>
    <w:basedOn w:val="Normal"/>
    <w:link w:val="Heading2capitallettersChar"/>
    <w:qFormat/>
    <w:rsid w:val="000A1623"/>
    <w:rPr>
      <w:rFonts w:ascii="Times New Roman" w:hAnsi="Times New Roman"/>
      <w:b/>
      <w:szCs w:val="24"/>
      <w:u w:val="single"/>
      <w:lang w:val="fr-BE"/>
    </w:rPr>
  </w:style>
  <w:style w:type="character" w:customStyle="1" w:styleId="Heading2capitallettersChar">
    <w:name w:val="Heading 2 (capital letters) Char"/>
    <w:basedOn w:val="DefaultParagraphFont"/>
    <w:link w:val="Heading2capitalletters"/>
    <w:rsid w:val="000A1623"/>
    <w:rPr>
      <w:rFonts w:ascii="Times New Roman" w:hAnsi="Times New Roman" w:cs="Times New Roman"/>
      <w:b/>
      <w:sz w:val="24"/>
      <w:szCs w:val="24"/>
      <w:u w:val="single"/>
      <w:lang w:val="fr-BE"/>
    </w:rPr>
  </w:style>
  <w:style w:type="paragraph" w:customStyle="1" w:styleId="Heading3number">
    <w:name w:val="Heading 3 (number)"/>
    <w:basedOn w:val="Normal"/>
    <w:link w:val="Heading3numberChar"/>
    <w:qFormat/>
    <w:rsid w:val="000A1623"/>
    <w:pPr>
      <w:ind w:left="284"/>
    </w:pPr>
    <w:rPr>
      <w:rFonts w:ascii="Times New Roman" w:hAnsi="Times New Roman"/>
      <w:b/>
      <w:szCs w:val="24"/>
      <w:u w:val="single"/>
      <w:lang w:val="fr-BE"/>
    </w:rPr>
  </w:style>
  <w:style w:type="character" w:customStyle="1" w:styleId="Heading3numberChar">
    <w:name w:val="Heading 3 (number) Char"/>
    <w:basedOn w:val="DefaultParagraphFont"/>
    <w:link w:val="Heading3number"/>
    <w:rsid w:val="000A1623"/>
    <w:rPr>
      <w:rFonts w:ascii="Times New Roman" w:hAnsi="Times New Roman" w:cs="Times New Roman"/>
      <w:b/>
      <w:sz w:val="24"/>
      <w:szCs w:val="24"/>
      <w:u w:val="single"/>
      <w:lang w:val="fr-BE"/>
    </w:rPr>
  </w:style>
  <w:style w:type="paragraph" w:customStyle="1" w:styleId="ParagraphNr">
    <w:name w:val="Paragraph Nr"/>
    <w:basedOn w:val="Normal"/>
    <w:link w:val="ParagraphNrChar"/>
    <w:autoRedefine/>
    <w:qFormat/>
    <w:rsid w:val="00B24044"/>
    <w:pPr>
      <w:keepNext/>
      <w:spacing w:after="120"/>
      <w:ind w:left="567" w:right="-28" w:hanging="567"/>
    </w:pPr>
    <w:rPr>
      <w:b/>
      <w:szCs w:val="24"/>
    </w:rPr>
  </w:style>
  <w:style w:type="character" w:customStyle="1" w:styleId="ParagraphNrChar">
    <w:name w:val="Paragraph Nr Char"/>
    <w:basedOn w:val="DefaultParagraphFont"/>
    <w:link w:val="ParagraphNr"/>
    <w:rsid w:val="00B24044"/>
    <w:rPr>
      <w:b/>
      <w:sz w:val="24"/>
      <w:szCs w:val="24"/>
    </w:rPr>
  </w:style>
  <w:style w:type="paragraph" w:styleId="NormalWeb">
    <w:name w:val="Normal (Web)"/>
    <w:aliases w:val=" webb,webb"/>
    <w:basedOn w:val="Normal"/>
    <w:link w:val="NormalWebChar"/>
    <w:uiPriority w:val="99"/>
    <w:rsid w:val="00F3230C"/>
    <w:pPr>
      <w:spacing w:before="100" w:beforeAutospacing="1" w:after="100" w:afterAutospacing="1"/>
      <w:jc w:val="left"/>
    </w:pPr>
    <w:rPr>
      <w:rFonts w:ascii="Times New Roman" w:hAnsi="Times New Roman"/>
      <w:szCs w:val="24"/>
    </w:rPr>
  </w:style>
  <w:style w:type="character" w:customStyle="1" w:styleId="NormalWebChar">
    <w:name w:val="Normal (Web) Char"/>
    <w:aliases w:val=" webb Char,webb Char"/>
    <w:link w:val="NormalWeb"/>
    <w:uiPriority w:val="99"/>
    <w:rsid w:val="00F3230C"/>
    <w:rPr>
      <w:rFonts w:ascii="Times New Roman" w:eastAsia="Times New Roman" w:hAnsi="Times New Roman" w:cs="Times New Roman"/>
      <w:sz w:val="24"/>
      <w:szCs w:val="24"/>
      <w:lang w:eastAsia="en-GB"/>
    </w:rPr>
  </w:style>
  <w:style w:type="paragraph" w:customStyle="1" w:styleId="CoverNormal">
    <w:name w:val="CoverNormal"/>
    <w:basedOn w:val="Normal"/>
    <w:rsid w:val="00F3230C"/>
    <w:pPr>
      <w:widowControl w:val="0"/>
      <w:spacing w:after="0"/>
      <w:ind w:left="1418"/>
      <w:jc w:val="left"/>
    </w:pPr>
    <w:rPr>
      <w:rFonts w:ascii="Times New Roman" w:hAnsi="Times New Roman"/>
    </w:rPr>
  </w:style>
  <w:style w:type="paragraph" w:customStyle="1" w:styleId="ZnakZnak">
    <w:name w:val="Znak Znak"/>
    <w:basedOn w:val="Normal"/>
    <w:uiPriority w:val="99"/>
    <w:rsid w:val="00F3230C"/>
    <w:pPr>
      <w:spacing w:after="0" w:line="360" w:lineRule="auto"/>
    </w:pPr>
    <w:rPr>
      <w:rFonts w:ascii="Verdana" w:hAnsi="Verdana"/>
      <w:sz w:val="20"/>
      <w:lang w:val="pl-PL" w:eastAsia="pl-PL"/>
    </w:rPr>
  </w:style>
  <w:style w:type="paragraph" w:customStyle="1" w:styleId="Normal12a">
    <w:name w:val="Normal12a"/>
    <w:qFormat/>
    <w:rsid w:val="00F3230C"/>
    <w:pPr>
      <w:widowControl w:val="0"/>
      <w:spacing w:after="24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1218</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Veronique (SG)</dc:creator>
  <cp:keywords/>
  <dc:description/>
  <cp:lastModifiedBy>VINCENT Veronique (SG)</cp:lastModifiedBy>
  <cp:revision>2</cp:revision>
  <dcterms:created xsi:type="dcterms:W3CDTF">2019-08-28T15:23:00Z</dcterms:created>
  <dcterms:modified xsi:type="dcterms:W3CDTF">2019-08-28T15:43:00Z</dcterms:modified>
</cp:coreProperties>
</file>