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F2" w:rsidRPr="00C933C4" w:rsidRDefault="00F60EF2" w:rsidP="00F60EF2">
      <w:pPr>
        <w:pStyle w:val="CoverNormal"/>
        <w:spacing w:after="120"/>
        <w:ind w:left="0"/>
        <w:jc w:val="center"/>
        <w:rPr>
          <w:b/>
          <w:szCs w:val="24"/>
          <w:lang w:val="fr-BE"/>
        </w:rPr>
      </w:pPr>
      <w:r w:rsidRPr="00C933C4">
        <w:rPr>
          <w:b/>
          <w:lang w:val="fr-BE"/>
        </w:rPr>
        <w:t>Suite donnée à la résolution non législative du Parlement européen sur le projet de décision d’exécution de la Commission autorisant la mise sur le marché de produits contenant du maïs génétiquement modifié MON </w:t>
      </w:r>
      <w:r w:rsidRPr="00B70F74">
        <w:rPr>
          <w:b/>
          <w:lang w:val="fr-BE"/>
        </w:rPr>
        <w:t>87411</w:t>
      </w:r>
      <w:r w:rsidRPr="00C933C4">
        <w:rPr>
          <w:b/>
          <w:lang w:val="fr-BE"/>
        </w:rPr>
        <w:t>, consistant en ce maïs ou produits à partir de celui-ci</w:t>
      </w:r>
    </w:p>
    <w:p w:rsidR="00F60EF2" w:rsidRPr="00C933C4" w:rsidRDefault="00F60EF2" w:rsidP="00F60EF2">
      <w:pPr>
        <w:shd w:val="clear" w:color="auto" w:fill="FFFFFF"/>
        <w:spacing w:after="720" w:line="288" w:lineRule="atLeast"/>
        <w:jc w:val="center"/>
        <w:textAlignment w:val="center"/>
        <w:rPr>
          <w:rFonts w:ascii="Times New Roman" w:hAnsi="Times New Roman"/>
          <w:spacing w:val="-72"/>
          <w:szCs w:val="24"/>
          <w:lang w:val="fr-BE"/>
        </w:rPr>
      </w:pPr>
      <w:r w:rsidRPr="00C933C4">
        <w:rPr>
          <w:rFonts w:ascii="Times New Roman" w:hAnsi="Times New Roman"/>
          <w:bdr w:val="none" w:sz="0" w:space="0" w:color="auto" w:frame="1"/>
          <w:lang w:val="fr-BE"/>
        </w:rPr>
        <w:t>[Résolution sur le projet de décision d’exécution de la Commission autorisant la mise sur le marché de produits contenant du maïs génétiquement modifié MON </w:t>
      </w:r>
      <w:r w:rsidRPr="00B70F74">
        <w:rPr>
          <w:rFonts w:ascii="Times New Roman" w:hAnsi="Times New Roman"/>
          <w:bdr w:val="none" w:sz="0" w:space="0" w:color="auto" w:frame="1"/>
          <w:lang w:val="fr-BE"/>
        </w:rPr>
        <w:t>87411</w:t>
      </w:r>
      <w:r w:rsidRPr="00C933C4">
        <w:rPr>
          <w:rFonts w:ascii="Times New Roman" w:hAnsi="Times New Roman"/>
          <w:bdr w:val="none" w:sz="0" w:space="0" w:color="auto" w:frame="1"/>
          <w:lang w:val="fr-BE"/>
        </w:rPr>
        <w:t xml:space="preserve"> (MON-</w:t>
      </w:r>
      <w:r w:rsidRPr="00B70F74">
        <w:rPr>
          <w:rFonts w:ascii="Times New Roman" w:hAnsi="Times New Roman"/>
          <w:bdr w:val="none" w:sz="0" w:space="0" w:color="auto" w:frame="1"/>
          <w:lang w:val="fr-BE"/>
        </w:rPr>
        <w:t>87411</w:t>
      </w:r>
      <w:r w:rsidRPr="00C933C4">
        <w:rPr>
          <w:rFonts w:ascii="Times New Roman" w:hAnsi="Times New Roman"/>
          <w:bdr w:val="none" w:sz="0" w:space="0" w:color="auto" w:frame="1"/>
          <w:lang w:val="fr-BE"/>
        </w:rPr>
        <w:t>-</w:t>
      </w:r>
      <w:r w:rsidRPr="00B70F74">
        <w:rPr>
          <w:rFonts w:ascii="Times New Roman" w:hAnsi="Times New Roman"/>
          <w:bdr w:val="none" w:sz="0" w:space="0" w:color="auto" w:frame="1"/>
          <w:lang w:val="fr-BE"/>
        </w:rPr>
        <w:t>9</w:t>
      </w:r>
      <w:r w:rsidRPr="00C933C4">
        <w:rPr>
          <w:rFonts w:ascii="Times New Roman" w:hAnsi="Times New Roman"/>
          <w:bdr w:val="none" w:sz="0" w:space="0" w:color="auto" w:frame="1"/>
          <w:lang w:val="fr-BE"/>
        </w:rPr>
        <w:t>), consistant en ce maïs ou produits à partir de celui-ci]</w:t>
      </w:r>
    </w:p>
    <w:p w:rsidR="00F60EF2" w:rsidRPr="00C933C4" w:rsidRDefault="00F60EF2" w:rsidP="00F60EF2">
      <w:pPr>
        <w:widowControl w:val="0"/>
        <w:numPr>
          <w:ilvl w:val="0"/>
          <w:numId w:val="4"/>
        </w:numPr>
        <w:ind w:left="567" w:hanging="567"/>
        <w:outlineLvl w:val="0"/>
        <w:rPr>
          <w:rFonts w:ascii="Times New Roman" w:hAnsi="Times New Roman"/>
          <w:szCs w:val="24"/>
          <w:lang w:val="fr-BE"/>
        </w:rPr>
      </w:pPr>
      <w:r w:rsidRPr="00C933C4">
        <w:rPr>
          <w:rFonts w:ascii="Times New Roman" w:hAnsi="Times New Roman"/>
          <w:b/>
          <w:lang w:val="fr-BE"/>
        </w:rPr>
        <w:t>Résolution présentée conformément à l’article </w:t>
      </w:r>
      <w:r w:rsidRPr="00B70F74">
        <w:rPr>
          <w:rFonts w:ascii="Times New Roman" w:hAnsi="Times New Roman"/>
          <w:b/>
          <w:lang w:val="fr-BE"/>
        </w:rPr>
        <w:t>106</w:t>
      </w:r>
      <w:r w:rsidRPr="00C933C4">
        <w:rPr>
          <w:rFonts w:ascii="Times New Roman" w:hAnsi="Times New Roman"/>
          <w:b/>
          <w:lang w:val="fr-BE"/>
        </w:rPr>
        <w:t>, paragraphes </w:t>
      </w:r>
      <w:r w:rsidRPr="00B70F74">
        <w:rPr>
          <w:rFonts w:ascii="Times New Roman" w:hAnsi="Times New Roman"/>
          <w:b/>
          <w:lang w:val="fr-BE"/>
        </w:rPr>
        <w:t>2</w:t>
      </w:r>
      <w:r w:rsidRPr="00C933C4">
        <w:rPr>
          <w:rFonts w:ascii="Times New Roman" w:hAnsi="Times New Roman"/>
          <w:b/>
          <w:lang w:val="fr-BE"/>
        </w:rPr>
        <w:t xml:space="preserve"> et </w:t>
      </w:r>
      <w:r w:rsidRPr="00B70F74">
        <w:rPr>
          <w:rFonts w:ascii="Times New Roman" w:hAnsi="Times New Roman"/>
          <w:b/>
          <w:lang w:val="fr-BE"/>
        </w:rPr>
        <w:t>3</w:t>
      </w:r>
      <w:r w:rsidRPr="00C933C4">
        <w:rPr>
          <w:rFonts w:ascii="Times New Roman" w:hAnsi="Times New Roman"/>
          <w:b/>
          <w:lang w:val="fr-BE"/>
        </w:rPr>
        <w:t>, du règlement intérieur du Parlement européen</w:t>
      </w:r>
    </w:p>
    <w:p w:rsidR="00F60EF2" w:rsidRPr="00C933C4" w:rsidRDefault="00F60EF2" w:rsidP="00F60EF2">
      <w:pPr>
        <w:widowControl w:val="0"/>
        <w:ind w:left="567" w:hanging="567"/>
        <w:outlineLvl w:val="0"/>
        <w:rPr>
          <w:rFonts w:ascii="Times New Roman" w:hAnsi="Times New Roman"/>
          <w:smallCaps/>
          <w:szCs w:val="24"/>
          <w:lang w:val="fr-BE"/>
        </w:rPr>
      </w:pPr>
      <w:r w:rsidRPr="00B70F74">
        <w:rPr>
          <w:rFonts w:ascii="Times New Roman" w:hAnsi="Times New Roman"/>
          <w:b/>
          <w:lang w:val="fr-BE"/>
        </w:rPr>
        <w:t>2</w:t>
      </w:r>
      <w:r w:rsidRPr="00C933C4">
        <w:rPr>
          <w:rFonts w:ascii="Times New Roman" w:hAnsi="Times New Roman"/>
          <w:b/>
          <w:lang w:val="fr-BE"/>
        </w:rPr>
        <w:t>.</w:t>
      </w:r>
      <w:r w:rsidRPr="00C933C4">
        <w:rPr>
          <w:lang w:val="fr-BE"/>
        </w:rPr>
        <w:tab/>
      </w:r>
      <w:r w:rsidRPr="00C933C4">
        <w:rPr>
          <w:rFonts w:ascii="Times New Roman" w:hAnsi="Times New Roman"/>
          <w:b/>
          <w:lang w:val="fr-BE"/>
        </w:rPr>
        <w:t xml:space="preserve">Numéros de référence: </w:t>
      </w:r>
      <w:r w:rsidRPr="00B70F74">
        <w:rPr>
          <w:rFonts w:ascii="Times New Roman" w:hAnsi="Times New Roman"/>
          <w:lang w:val="fr-BE"/>
        </w:rPr>
        <w:t>2019</w:t>
      </w:r>
      <w:r w:rsidRPr="00C933C4">
        <w:rPr>
          <w:rFonts w:ascii="Times New Roman" w:hAnsi="Times New Roman"/>
          <w:lang w:val="fr-BE"/>
        </w:rPr>
        <w:t>/</w:t>
      </w:r>
      <w:r w:rsidRPr="00B70F74">
        <w:rPr>
          <w:rFonts w:ascii="Times New Roman" w:hAnsi="Times New Roman"/>
          <w:lang w:val="fr-BE"/>
        </w:rPr>
        <w:t>2552</w:t>
      </w:r>
      <w:r w:rsidRPr="00C933C4">
        <w:rPr>
          <w:rFonts w:ascii="Times New Roman" w:hAnsi="Times New Roman"/>
          <w:lang w:val="fr-BE"/>
        </w:rPr>
        <w:t xml:space="preserve"> (RSP) / B</w:t>
      </w:r>
      <w:r w:rsidRPr="00B70F74">
        <w:rPr>
          <w:rFonts w:ascii="Times New Roman" w:hAnsi="Times New Roman"/>
          <w:lang w:val="fr-BE"/>
        </w:rPr>
        <w:t>8</w:t>
      </w:r>
      <w:r w:rsidRPr="00C933C4">
        <w:rPr>
          <w:rFonts w:ascii="Times New Roman" w:hAnsi="Times New Roman"/>
          <w:lang w:val="fr-BE"/>
        </w:rPr>
        <w:t>-</w:t>
      </w:r>
      <w:r w:rsidRPr="00B70F74">
        <w:rPr>
          <w:rFonts w:ascii="Times New Roman" w:hAnsi="Times New Roman"/>
          <w:lang w:val="fr-BE"/>
        </w:rPr>
        <w:t>0140</w:t>
      </w:r>
      <w:r w:rsidRPr="00C933C4">
        <w:rPr>
          <w:rFonts w:ascii="Times New Roman" w:hAnsi="Times New Roman"/>
          <w:lang w:val="fr-BE"/>
        </w:rPr>
        <w:t>/</w:t>
      </w:r>
      <w:r w:rsidRPr="00B70F74">
        <w:rPr>
          <w:rFonts w:ascii="Times New Roman" w:hAnsi="Times New Roman"/>
          <w:lang w:val="fr-BE"/>
        </w:rPr>
        <w:t>2019</w:t>
      </w:r>
      <w:r w:rsidRPr="00C933C4">
        <w:rPr>
          <w:rFonts w:ascii="Times New Roman" w:hAnsi="Times New Roman"/>
          <w:lang w:val="fr-BE"/>
        </w:rPr>
        <w:t xml:space="preserve"> / P</w:t>
      </w:r>
      <w:r w:rsidRPr="00B70F74">
        <w:rPr>
          <w:rFonts w:ascii="Times New Roman" w:hAnsi="Times New Roman"/>
          <w:lang w:val="fr-BE"/>
        </w:rPr>
        <w:t>8</w:t>
      </w:r>
      <w:r w:rsidRPr="00C933C4">
        <w:rPr>
          <w:rFonts w:ascii="Times New Roman" w:hAnsi="Times New Roman"/>
          <w:lang w:val="fr-BE"/>
        </w:rPr>
        <w:t>_TA-</w:t>
      </w:r>
      <w:proofErr w:type="gramStart"/>
      <w:r w:rsidRPr="00C933C4">
        <w:rPr>
          <w:rFonts w:ascii="Times New Roman" w:hAnsi="Times New Roman"/>
          <w:lang w:val="fr-BE"/>
        </w:rPr>
        <w:t>PROV(</w:t>
      </w:r>
      <w:proofErr w:type="gramEnd"/>
      <w:r w:rsidRPr="00B70F74">
        <w:rPr>
          <w:rFonts w:ascii="Times New Roman" w:hAnsi="Times New Roman"/>
          <w:lang w:val="fr-BE"/>
        </w:rPr>
        <w:t>2019</w:t>
      </w:r>
      <w:r w:rsidRPr="00C933C4">
        <w:rPr>
          <w:rFonts w:ascii="Times New Roman" w:hAnsi="Times New Roman"/>
          <w:lang w:val="fr-BE"/>
        </w:rPr>
        <w:t>)</w:t>
      </w:r>
      <w:r w:rsidRPr="00B70F74">
        <w:rPr>
          <w:rFonts w:ascii="Times New Roman" w:hAnsi="Times New Roman"/>
          <w:lang w:val="fr-BE"/>
        </w:rPr>
        <w:t>0197</w:t>
      </w:r>
    </w:p>
    <w:p w:rsidR="00F60EF2" w:rsidRPr="00C933C4" w:rsidRDefault="00F60EF2" w:rsidP="00F60EF2">
      <w:pPr>
        <w:widowControl w:val="0"/>
        <w:ind w:left="567" w:hanging="567"/>
        <w:outlineLvl w:val="0"/>
        <w:rPr>
          <w:rFonts w:ascii="Times New Roman" w:hAnsi="Times New Roman"/>
          <w:lang w:val="fr-BE"/>
        </w:rPr>
      </w:pPr>
      <w:r w:rsidRPr="00B70F74">
        <w:rPr>
          <w:rFonts w:ascii="Times New Roman" w:hAnsi="Times New Roman"/>
          <w:b/>
          <w:lang w:val="fr-BE"/>
        </w:rPr>
        <w:t>3</w:t>
      </w:r>
      <w:r w:rsidRPr="00C933C4">
        <w:rPr>
          <w:rFonts w:ascii="Times New Roman" w:hAnsi="Times New Roman"/>
          <w:b/>
          <w:lang w:val="fr-BE"/>
        </w:rPr>
        <w:t>.</w:t>
      </w:r>
      <w:r w:rsidRPr="00C933C4">
        <w:rPr>
          <w:lang w:val="fr-BE"/>
        </w:rPr>
        <w:tab/>
      </w:r>
      <w:r w:rsidRPr="00C933C4">
        <w:rPr>
          <w:rFonts w:ascii="Times New Roman" w:hAnsi="Times New Roman"/>
          <w:b/>
          <w:lang w:val="fr-BE"/>
        </w:rPr>
        <w:t xml:space="preserve">Date d’adoption de la résolution: </w:t>
      </w:r>
      <w:r w:rsidRPr="00B70F74">
        <w:rPr>
          <w:rFonts w:ascii="Times New Roman" w:hAnsi="Times New Roman"/>
          <w:lang w:val="fr-BE"/>
        </w:rPr>
        <w:t>13</w:t>
      </w:r>
      <w:r w:rsidRPr="00C933C4">
        <w:rPr>
          <w:rFonts w:ascii="Times New Roman" w:hAnsi="Times New Roman"/>
          <w:lang w:val="fr-BE"/>
        </w:rPr>
        <w:t> mars </w:t>
      </w:r>
      <w:r w:rsidRPr="00B70F74">
        <w:rPr>
          <w:rFonts w:ascii="Times New Roman" w:hAnsi="Times New Roman"/>
          <w:lang w:val="fr-BE"/>
        </w:rPr>
        <w:t>2019</w:t>
      </w:r>
    </w:p>
    <w:p w:rsidR="00F60EF2" w:rsidRPr="00C933C4" w:rsidRDefault="00F60EF2" w:rsidP="00F60EF2">
      <w:pPr>
        <w:widowControl w:val="0"/>
        <w:ind w:left="567" w:hanging="567"/>
        <w:outlineLvl w:val="0"/>
        <w:rPr>
          <w:rFonts w:ascii="Times New Roman" w:hAnsi="Times New Roman"/>
          <w:b/>
          <w:bCs/>
          <w:color w:val="000000"/>
          <w:lang w:val="fr-BE"/>
        </w:rPr>
      </w:pPr>
      <w:r w:rsidRPr="00B70F74">
        <w:rPr>
          <w:rFonts w:ascii="Times New Roman" w:hAnsi="Times New Roman"/>
          <w:b/>
          <w:lang w:val="fr-BE"/>
        </w:rPr>
        <w:t>4</w:t>
      </w:r>
      <w:r w:rsidRPr="00C933C4">
        <w:rPr>
          <w:rFonts w:ascii="Times New Roman" w:hAnsi="Times New Roman"/>
          <w:b/>
          <w:lang w:val="fr-BE"/>
        </w:rPr>
        <w:t>.</w:t>
      </w:r>
      <w:r w:rsidRPr="00C933C4">
        <w:rPr>
          <w:lang w:val="fr-BE"/>
        </w:rPr>
        <w:tab/>
      </w:r>
      <w:r w:rsidRPr="00C933C4">
        <w:rPr>
          <w:rFonts w:ascii="Times New Roman" w:hAnsi="Times New Roman"/>
          <w:b/>
          <w:lang w:val="fr-BE"/>
        </w:rPr>
        <w:t>Commission parlementaire compétente:</w:t>
      </w:r>
      <w:r w:rsidRPr="00C933C4">
        <w:rPr>
          <w:rFonts w:ascii="Times New Roman" w:hAnsi="Times New Roman"/>
          <w:lang w:val="fr-BE"/>
        </w:rPr>
        <w:t xml:space="preserve"> commission de l’environnement, de la santé publique et de la sécurité alimentaire (ENVI</w:t>
      </w:r>
      <w:r w:rsidRPr="00C933C4">
        <w:rPr>
          <w:rFonts w:ascii="Times New Roman" w:hAnsi="Times New Roman"/>
          <w:color w:val="000000"/>
          <w:lang w:val="fr-BE"/>
        </w:rPr>
        <w:t>)</w:t>
      </w:r>
    </w:p>
    <w:p w:rsidR="00F60EF2" w:rsidRPr="00C933C4" w:rsidRDefault="00F60EF2" w:rsidP="00F60EF2">
      <w:pPr>
        <w:ind w:left="567" w:hanging="567"/>
        <w:rPr>
          <w:rFonts w:ascii="Times New Roman" w:hAnsi="Times New Roman"/>
          <w:b/>
          <w:color w:val="000000"/>
          <w:szCs w:val="24"/>
          <w:lang w:val="fr-BE"/>
        </w:rPr>
      </w:pPr>
      <w:r w:rsidRPr="00B70F74">
        <w:rPr>
          <w:rFonts w:ascii="Times New Roman" w:hAnsi="Times New Roman"/>
          <w:b/>
          <w:color w:val="000000"/>
          <w:lang w:val="fr-BE"/>
        </w:rPr>
        <w:t>5</w:t>
      </w:r>
      <w:r w:rsidRPr="00C933C4">
        <w:rPr>
          <w:rFonts w:ascii="Times New Roman" w:hAnsi="Times New Roman"/>
          <w:b/>
          <w:color w:val="000000"/>
          <w:lang w:val="fr-BE"/>
        </w:rPr>
        <w:t>.</w:t>
      </w:r>
      <w:r w:rsidRPr="00C933C4">
        <w:rPr>
          <w:lang w:val="fr-BE"/>
        </w:rPr>
        <w:tab/>
      </w:r>
      <w:r w:rsidRPr="00C933C4">
        <w:rPr>
          <w:rFonts w:ascii="Times New Roman" w:hAnsi="Times New Roman"/>
          <w:b/>
          <w:color w:val="000000"/>
          <w:lang w:val="fr-BE"/>
        </w:rPr>
        <w:t>Analyse/évaluation succincte de la résolution et des demandes qu’elle contient:</w:t>
      </w:r>
    </w:p>
    <w:p w:rsidR="00F60EF2" w:rsidRPr="00C933C4" w:rsidRDefault="00F60EF2" w:rsidP="00F60EF2">
      <w:pPr>
        <w:spacing w:after="120"/>
        <w:rPr>
          <w:rFonts w:ascii="Times New Roman" w:hAnsi="Times New Roman"/>
          <w:szCs w:val="24"/>
          <w:lang w:val="fr-BE"/>
        </w:rPr>
      </w:pPr>
      <w:r w:rsidRPr="00C933C4">
        <w:rPr>
          <w:rFonts w:ascii="Times New Roman" w:hAnsi="Times New Roman"/>
          <w:lang w:val="fr-BE"/>
        </w:rPr>
        <w:t xml:space="preserve">La résolution demande le retrait du projet de décision d’exécution de la Commission </w:t>
      </w:r>
      <w:r w:rsidRPr="00C933C4">
        <w:rPr>
          <w:rFonts w:ascii="Times New Roman" w:hAnsi="Times New Roman"/>
          <w:b/>
          <w:lang w:val="fr-BE"/>
        </w:rPr>
        <w:t>(paragraphe </w:t>
      </w:r>
      <w:r w:rsidRPr="00B70F74">
        <w:rPr>
          <w:rFonts w:ascii="Times New Roman" w:hAnsi="Times New Roman"/>
          <w:b/>
          <w:lang w:val="fr-BE"/>
        </w:rPr>
        <w:t>3</w:t>
      </w:r>
      <w:r w:rsidRPr="00C933C4">
        <w:rPr>
          <w:rFonts w:ascii="Times New Roman" w:hAnsi="Times New Roman"/>
          <w:b/>
          <w:lang w:val="fr-BE"/>
        </w:rPr>
        <w:t>)</w:t>
      </w:r>
      <w:r w:rsidRPr="00C933C4">
        <w:rPr>
          <w:rFonts w:ascii="Times New Roman" w:hAnsi="Times New Roman"/>
          <w:lang w:val="fr-BE"/>
        </w:rPr>
        <w:t>, au motif que ce projet de décision d’exécution de la Commission excède les compétences d’exécution prévues au règlement (CE) nº </w:t>
      </w:r>
      <w:r w:rsidRPr="00B70F74">
        <w:rPr>
          <w:rFonts w:ascii="Times New Roman" w:hAnsi="Times New Roman"/>
          <w:lang w:val="fr-BE"/>
        </w:rPr>
        <w:t>1829</w:t>
      </w:r>
      <w:r w:rsidRPr="00C933C4">
        <w:rPr>
          <w:rFonts w:ascii="Times New Roman" w:hAnsi="Times New Roman"/>
          <w:lang w:val="fr-BE"/>
        </w:rPr>
        <w:t>/</w:t>
      </w:r>
      <w:r w:rsidRPr="00B70F74">
        <w:rPr>
          <w:rFonts w:ascii="Times New Roman" w:hAnsi="Times New Roman"/>
          <w:lang w:val="fr-BE"/>
        </w:rPr>
        <w:t>2003</w:t>
      </w:r>
      <w:r w:rsidRPr="00C933C4">
        <w:rPr>
          <w:rFonts w:ascii="Times New Roman" w:hAnsi="Times New Roman"/>
          <w:lang w:val="fr-BE"/>
        </w:rPr>
        <w:t xml:space="preserve"> </w:t>
      </w:r>
      <w:r w:rsidRPr="00C933C4">
        <w:rPr>
          <w:rFonts w:ascii="Times New Roman" w:hAnsi="Times New Roman"/>
          <w:b/>
          <w:lang w:val="fr-BE"/>
        </w:rPr>
        <w:t>(paragraphe </w:t>
      </w:r>
      <w:r w:rsidRPr="00B70F74">
        <w:rPr>
          <w:rFonts w:ascii="Times New Roman" w:hAnsi="Times New Roman"/>
          <w:b/>
          <w:lang w:val="fr-BE"/>
        </w:rPr>
        <w:t>1</w:t>
      </w:r>
      <w:r w:rsidRPr="00C933C4">
        <w:rPr>
          <w:rFonts w:ascii="Times New Roman" w:hAnsi="Times New Roman"/>
          <w:b/>
          <w:lang w:val="fr-BE"/>
        </w:rPr>
        <w:t>)</w:t>
      </w:r>
      <w:r w:rsidRPr="00C933C4">
        <w:rPr>
          <w:rFonts w:ascii="Times New Roman" w:hAnsi="Times New Roman"/>
          <w:lang w:val="fr-BE"/>
        </w:rPr>
        <w:t xml:space="preserve"> et qu’il n’est pas compatible avec l’objectif du règlement (CE) nº </w:t>
      </w:r>
      <w:r w:rsidRPr="00B70F74">
        <w:rPr>
          <w:rFonts w:ascii="Times New Roman" w:hAnsi="Times New Roman"/>
          <w:lang w:val="fr-BE"/>
        </w:rPr>
        <w:t>1829</w:t>
      </w:r>
      <w:r w:rsidRPr="00C933C4">
        <w:rPr>
          <w:rFonts w:ascii="Times New Roman" w:hAnsi="Times New Roman"/>
          <w:lang w:val="fr-BE"/>
        </w:rPr>
        <w:t>/</w:t>
      </w:r>
      <w:r w:rsidRPr="00B70F74">
        <w:rPr>
          <w:rFonts w:ascii="Times New Roman" w:hAnsi="Times New Roman"/>
          <w:lang w:val="fr-BE"/>
        </w:rPr>
        <w:t>2003</w:t>
      </w:r>
      <w:r w:rsidRPr="00C933C4">
        <w:rPr>
          <w:rFonts w:ascii="Times New Roman" w:hAnsi="Times New Roman"/>
          <w:lang w:val="fr-BE"/>
        </w:rPr>
        <w:t xml:space="preserve"> ni avec les principes généraux prévus au règlement (CE) nº </w:t>
      </w:r>
      <w:r w:rsidRPr="00B70F74">
        <w:rPr>
          <w:rFonts w:ascii="Times New Roman" w:hAnsi="Times New Roman"/>
          <w:lang w:val="fr-BE"/>
        </w:rPr>
        <w:t>178</w:t>
      </w:r>
      <w:r w:rsidRPr="00C933C4">
        <w:rPr>
          <w:rFonts w:ascii="Times New Roman" w:hAnsi="Times New Roman"/>
          <w:lang w:val="fr-BE"/>
        </w:rPr>
        <w:t>/</w:t>
      </w:r>
      <w:r w:rsidRPr="00B70F74">
        <w:rPr>
          <w:rFonts w:ascii="Times New Roman" w:hAnsi="Times New Roman"/>
          <w:lang w:val="fr-BE"/>
        </w:rPr>
        <w:t>2002</w:t>
      </w:r>
      <w:r w:rsidRPr="00C933C4">
        <w:rPr>
          <w:rFonts w:ascii="Times New Roman" w:hAnsi="Times New Roman"/>
          <w:lang w:val="fr-BE"/>
        </w:rPr>
        <w:t xml:space="preserve">, à savoir la protection de la vie et de la santé des personnes, de la santé et du bien-être des animaux, de l’environnement et des intérêts des consommateurs </w:t>
      </w:r>
      <w:r w:rsidRPr="00C933C4">
        <w:rPr>
          <w:rFonts w:ascii="Times New Roman" w:hAnsi="Times New Roman"/>
          <w:b/>
          <w:lang w:val="fr-BE"/>
        </w:rPr>
        <w:t>(paragraphe </w:t>
      </w:r>
      <w:r w:rsidRPr="00B70F74">
        <w:rPr>
          <w:rFonts w:ascii="Times New Roman" w:hAnsi="Times New Roman"/>
          <w:b/>
          <w:lang w:val="fr-BE"/>
        </w:rPr>
        <w:t>2</w:t>
      </w:r>
      <w:r w:rsidRPr="00C933C4">
        <w:rPr>
          <w:rFonts w:ascii="Times New Roman" w:hAnsi="Times New Roman"/>
          <w:b/>
          <w:lang w:val="fr-BE"/>
        </w:rPr>
        <w:t>)</w:t>
      </w:r>
      <w:r w:rsidRPr="00C933C4">
        <w:rPr>
          <w:rFonts w:ascii="Times New Roman" w:hAnsi="Times New Roman"/>
          <w:lang w:val="fr-BE"/>
        </w:rPr>
        <w:t xml:space="preserve">. Elle invite également la Commission à ne pas autoriser de plantes génétiquement modifiées tolérantes aux herbicides sans évaluation complète des résidus de la pulvérisation d’herbicides complémentaires, de leurs métabolites et de leurs formules commerciales telles qu’elles sont utilisées dans les pays où ces plantes sont cultivées </w:t>
      </w:r>
      <w:r w:rsidRPr="00C933C4">
        <w:rPr>
          <w:rFonts w:ascii="Times New Roman" w:hAnsi="Times New Roman"/>
          <w:b/>
          <w:lang w:val="fr-BE"/>
        </w:rPr>
        <w:t>(paragraphe </w:t>
      </w:r>
      <w:r w:rsidRPr="00B70F74">
        <w:rPr>
          <w:rFonts w:ascii="Times New Roman" w:hAnsi="Times New Roman"/>
          <w:b/>
          <w:lang w:val="fr-BE"/>
        </w:rPr>
        <w:t>4</w:t>
      </w:r>
      <w:r w:rsidRPr="00C933C4">
        <w:rPr>
          <w:rFonts w:ascii="Times New Roman" w:hAnsi="Times New Roman"/>
          <w:b/>
          <w:lang w:val="fr-BE"/>
        </w:rPr>
        <w:t>)</w:t>
      </w:r>
      <w:r w:rsidRPr="00C933C4">
        <w:rPr>
          <w:rFonts w:ascii="Times New Roman" w:hAnsi="Times New Roman"/>
          <w:lang w:val="fr-BE"/>
        </w:rPr>
        <w:t xml:space="preserve">, et appelle à tenir pleinement compte de l’évaluation des risques liés à l’utilisation d’herbicides complémentaires et à leurs résidus dans l’évaluation des risques relatifs aux plantes génétiquement modifiées tolérantes aux herbicides, quel que soit l’endroit où la plante génétiquement modifiée est cultivée </w:t>
      </w:r>
      <w:r w:rsidRPr="00C933C4">
        <w:rPr>
          <w:rFonts w:ascii="Times New Roman" w:hAnsi="Times New Roman"/>
          <w:b/>
          <w:lang w:val="fr-BE"/>
        </w:rPr>
        <w:t>(paragraphe </w:t>
      </w:r>
      <w:r w:rsidRPr="00B70F74">
        <w:rPr>
          <w:rFonts w:ascii="Times New Roman" w:hAnsi="Times New Roman"/>
          <w:b/>
          <w:lang w:val="fr-BE"/>
        </w:rPr>
        <w:t>5</w:t>
      </w:r>
      <w:r w:rsidRPr="00C933C4">
        <w:rPr>
          <w:rFonts w:ascii="Times New Roman" w:hAnsi="Times New Roman"/>
          <w:b/>
          <w:lang w:val="fr-BE"/>
        </w:rPr>
        <w:t>)</w:t>
      </w:r>
      <w:r w:rsidRPr="00C933C4">
        <w:rPr>
          <w:rFonts w:ascii="Times New Roman" w:hAnsi="Times New Roman"/>
          <w:lang w:val="fr-BE"/>
        </w:rPr>
        <w:t xml:space="preserve">. En outre, elle invite la Commission à suspendre toute décision d’exécution relative à l’autorisation d’organismes génétiquement modifiés jusqu’à ce que la procédure d’autorisation ait été révisée de manière à remédier aux lacunes de la procédure actuelle, qui s’est révélée inadéquate </w:t>
      </w:r>
      <w:r w:rsidRPr="00C933C4">
        <w:rPr>
          <w:rFonts w:ascii="Times New Roman" w:hAnsi="Times New Roman"/>
          <w:b/>
          <w:lang w:val="fr-BE"/>
        </w:rPr>
        <w:t>(paragraphe </w:t>
      </w:r>
      <w:r w:rsidRPr="00B70F74">
        <w:rPr>
          <w:rFonts w:ascii="Times New Roman" w:hAnsi="Times New Roman"/>
          <w:b/>
          <w:lang w:val="fr-BE"/>
        </w:rPr>
        <w:t>7</w:t>
      </w:r>
      <w:r w:rsidRPr="00C933C4">
        <w:rPr>
          <w:rFonts w:ascii="Times New Roman" w:hAnsi="Times New Roman"/>
          <w:b/>
          <w:lang w:val="fr-BE"/>
        </w:rPr>
        <w:t>)</w:t>
      </w:r>
      <w:r w:rsidRPr="00C933C4">
        <w:rPr>
          <w:rFonts w:ascii="Times New Roman" w:hAnsi="Times New Roman"/>
          <w:lang w:val="fr-BE"/>
        </w:rPr>
        <w:t xml:space="preserve">. Elle demande également le retrait des propositions relatives aux autorisations d’organismes génétiquement modifiés (OGM) si le comité permanent ne rend pas d’avis </w:t>
      </w:r>
      <w:r w:rsidRPr="00C933C4">
        <w:rPr>
          <w:rFonts w:ascii="Times New Roman" w:hAnsi="Times New Roman"/>
          <w:b/>
          <w:lang w:val="fr-BE"/>
        </w:rPr>
        <w:t>(paragraphe </w:t>
      </w:r>
      <w:r w:rsidRPr="00B70F74">
        <w:rPr>
          <w:rFonts w:ascii="Times New Roman" w:hAnsi="Times New Roman"/>
          <w:b/>
          <w:lang w:val="fr-BE"/>
        </w:rPr>
        <w:t>8</w:t>
      </w:r>
      <w:r w:rsidRPr="00C933C4">
        <w:rPr>
          <w:rFonts w:ascii="Times New Roman" w:hAnsi="Times New Roman"/>
          <w:b/>
          <w:lang w:val="fr-BE"/>
        </w:rPr>
        <w:t>)</w:t>
      </w:r>
      <w:r w:rsidRPr="00C933C4">
        <w:rPr>
          <w:rFonts w:ascii="Times New Roman" w:hAnsi="Times New Roman"/>
          <w:lang w:val="fr-BE"/>
        </w:rPr>
        <w:t>. Elle demande au Conseil de s’attacher à mener à bien ses travaux sur la proposition de la Commission modifiant le règlement (UE) nº </w:t>
      </w:r>
      <w:r w:rsidRPr="00B70F74">
        <w:rPr>
          <w:rFonts w:ascii="Times New Roman" w:hAnsi="Times New Roman"/>
          <w:lang w:val="fr-BE"/>
        </w:rPr>
        <w:t>182</w:t>
      </w:r>
      <w:r w:rsidRPr="00C933C4">
        <w:rPr>
          <w:rFonts w:ascii="Times New Roman" w:hAnsi="Times New Roman"/>
          <w:lang w:val="fr-BE"/>
        </w:rPr>
        <w:t>/</w:t>
      </w:r>
      <w:r w:rsidRPr="00B70F74">
        <w:rPr>
          <w:rFonts w:ascii="Times New Roman" w:hAnsi="Times New Roman"/>
          <w:lang w:val="fr-BE"/>
        </w:rPr>
        <w:t>2011</w:t>
      </w:r>
      <w:r w:rsidRPr="00C933C4">
        <w:rPr>
          <w:rFonts w:ascii="Times New Roman" w:hAnsi="Times New Roman"/>
          <w:lang w:val="fr-BE"/>
        </w:rPr>
        <w:t xml:space="preserve"> </w:t>
      </w:r>
      <w:r w:rsidRPr="00C933C4">
        <w:rPr>
          <w:rFonts w:ascii="Times New Roman" w:hAnsi="Times New Roman"/>
          <w:b/>
          <w:lang w:val="fr-BE"/>
        </w:rPr>
        <w:t>(paragraphe </w:t>
      </w:r>
      <w:r w:rsidRPr="00B70F74">
        <w:rPr>
          <w:rFonts w:ascii="Times New Roman" w:hAnsi="Times New Roman"/>
          <w:b/>
          <w:lang w:val="fr-BE"/>
        </w:rPr>
        <w:t>6</w:t>
      </w:r>
      <w:r w:rsidRPr="00C933C4">
        <w:rPr>
          <w:rFonts w:ascii="Times New Roman" w:hAnsi="Times New Roman"/>
          <w:b/>
          <w:lang w:val="fr-BE"/>
        </w:rPr>
        <w:t>)</w:t>
      </w:r>
      <w:r w:rsidRPr="00C933C4">
        <w:rPr>
          <w:rFonts w:ascii="Times New Roman" w:hAnsi="Times New Roman"/>
          <w:lang w:val="fr-BE"/>
        </w:rPr>
        <w:t>.</w:t>
      </w:r>
    </w:p>
    <w:p w:rsidR="00F60EF2" w:rsidRPr="00111596" w:rsidRDefault="00F60EF2" w:rsidP="00F60EF2">
      <w:pPr>
        <w:pStyle w:val="Default"/>
        <w:jc w:val="both"/>
      </w:pPr>
      <w:r>
        <w:t xml:space="preserve">La résolution rappelle que le maïs génétiquement modifié est rendu tolérant aux herbicides contenant du glyphosate et résistant à la chrysomèle des racines du maïs </w:t>
      </w:r>
      <w:r>
        <w:rPr>
          <w:b/>
        </w:rPr>
        <w:t>(considérant C)</w:t>
      </w:r>
      <w:r>
        <w:t xml:space="preserve">. Elle indique qu’en raison de la résistance des chrysomèles des racines du maïs aux protéines </w:t>
      </w:r>
      <w:proofErr w:type="spellStart"/>
      <w:r>
        <w:t>Bt</w:t>
      </w:r>
      <w:proofErr w:type="spellEnd"/>
      <w:r>
        <w:t>, le maïs génétiquement modifié a été conçu de manière à produire un ARN à deux brins (</w:t>
      </w:r>
      <w:proofErr w:type="spellStart"/>
      <w:r>
        <w:t>ARNdb</w:t>
      </w:r>
      <w:proofErr w:type="spellEnd"/>
      <w:r>
        <w:t xml:space="preserve">) insecticide </w:t>
      </w:r>
      <w:r>
        <w:rPr>
          <w:b/>
        </w:rPr>
        <w:t>(considérant D)</w:t>
      </w:r>
      <w:r>
        <w:t xml:space="preserve"> et rappelle que l’effet escompté de l’</w:t>
      </w:r>
      <w:proofErr w:type="spellStart"/>
      <w:r>
        <w:t>ARNdb</w:t>
      </w:r>
      <w:proofErr w:type="spellEnd"/>
      <w:r>
        <w:t xml:space="preserve"> est de tuer la chrysomèle </w:t>
      </w:r>
      <w:r>
        <w:rPr>
          <w:b/>
        </w:rPr>
        <w:t>(considérant E)</w:t>
      </w:r>
      <w:r>
        <w:t xml:space="preserve">. Elle rappelle que, conformément au règlement d’exécution (UE) nº </w:t>
      </w:r>
      <w:r w:rsidRPr="00B70F74">
        <w:t>503</w:t>
      </w:r>
      <w:r>
        <w:t>/</w:t>
      </w:r>
      <w:r w:rsidRPr="00B70F74">
        <w:t>2013</w:t>
      </w:r>
      <w:r>
        <w:t>, lorsque des méthodes d’extinction à l’aide de l’</w:t>
      </w:r>
      <w:proofErr w:type="spellStart"/>
      <w:r>
        <w:t>ARNi</w:t>
      </w:r>
      <w:proofErr w:type="spellEnd"/>
      <w:r>
        <w:t xml:space="preserve"> sont utilisées dans </w:t>
      </w:r>
      <w:r>
        <w:lastRenderedPageBreak/>
        <w:t>des OGM, une analyse bio-informatique des gènes</w:t>
      </w:r>
      <w:proofErr w:type="gramStart"/>
      <w:r>
        <w:t xml:space="preserve"> «non</w:t>
      </w:r>
      <w:proofErr w:type="gramEnd"/>
      <w:r>
        <w:t xml:space="preserve"> ciblés» est nécessaire et précise également que l’analyse doit porter sur les organismes susceptibles d’entrer en contact avec l’</w:t>
      </w:r>
      <w:proofErr w:type="spellStart"/>
      <w:r>
        <w:t>ARNi</w:t>
      </w:r>
      <w:proofErr w:type="spellEnd"/>
      <w:r>
        <w:t xml:space="preserve">, y compris les organismes non ciblés </w:t>
      </w:r>
      <w:r>
        <w:rPr>
          <w:b/>
        </w:rPr>
        <w:t>(considérant F)</w:t>
      </w:r>
      <w:r>
        <w:t xml:space="preserve">. La résolution indique que, au cours de son évaluation, l’Autorité européenne de sécurité des aliments (EFSA) n’a pris en considération que l’analyse bio-informatique des gènes non ciblés dans les végétaux, alors qu’une évaluation indépendante juge cette approche incompatible avec la réglementation existante </w:t>
      </w:r>
      <w:r>
        <w:rPr>
          <w:b/>
        </w:rPr>
        <w:t>(considérant G)</w:t>
      </w:r>
      <w:r>
        <w:t xml:space="preserve">. Elle rappelle également que, selon l’évaluation indépendante, l’évaluation des risques réalisée par l’EFSA n’est pas suffisante pour démontrer la sécurité des denrées alimentaires et des aliments pour animaux </w:t>
      </w:r>
      <w:r>
        <w:rPr>
          <w:b/>
        </w:rPr>
        <w:t>(considérant H)</w:t>
      </w:r>
      <w:r>
        <w:t xml:space="preserve">. Elle exprime par ailleurs un désaccord quant à l’évaluation de l’EFSA concernant l’étude de toxicité sur </w:t>
      </w:r>
      <w:r w:rsidRPr="00B70F74">
        <w:t>90</w:t>
      </w:r>
      <w:r>
        <w:t xml:space="preserve"> jours, en rapport avec la baisse du poids significative chez les rats </w:t>
      </w:r>
      <w:r>
        <w:rPr>
          <w:b/>
        </w:rPr>
        <w:t>(considérant I)</w:t>
      </w:r>
      <w:r>
        <w:t>.</w:t>
      </w:r>
    </w:p>
    <w:p w:rsidR="00F60EF2" w:rsidRPr="00C933C4" w:rsidRDefault="00F60EF2" w:rsidP="00F60EF2">
      <w:pPr>
        <w:spacing w:after="120"/>
        <w:rPr>
          <w:rFonts w:ascii="Times New Roman" w:hAnsi="Times New Roman"/>
          <w:szCs w:val="24"/>
          <w:lang w:val="fr-BE"/>
        </w:rPr>
      </w:pPr>
      <w:r w:rsidRPr="00C933C4">
        <w:rPr>
          <w:rFonts w:ascii="Times New Roman" w:hAnsi="Times New Roman"/>
          <w:lang w:val="fr-BE"/>
        </w:rPr>
        <w:t xml:space="preserve">La résolution souligne que des questions se posent encore sur le caractère carcinogène du glyphosate </w:t>
      </w:r>
      <w:r w:rsidRPr="00C933C4">
        <w:rPr>
          <w:rFonts w:ascii="Times New Roman" w:hAnsi="Times New Roman"/>
          <w:b/>
          <w:lang w:val="fr-BE"/>
        </w:rPr>
        <w:t>(considérant K)</w:t>
      </w:r>
      <w:r w:rsidRPr="00C933C4">
        <w:rPr>
          <w:rFonts w:ascii="Times New Roman" w:hAnsi="Times New Roman"/>
          <w:lang w:val="fr-BE"/>
        </w:rPr>
        <w:t xml:space="preserve">, que l’on peut s’attendre à ce que les plantes résistantes aux herbicides soient exposées de façon répétée à de plus fortes concentrations de l’herbicide complémentaire, ce qui conduira à une accumulation des résidus et aura une incidence sur la composition de la plante génétiquement modifiée et sur ses caractéristiques agronomiques </w:t>
      </w:r>
      <w:r w:rsidRPr="00C933C4">
        <w:rPr>
          <w:rFonts w:ascii="Times New Roman" w:hAnsi="Times New Roman"/>
          <w:b/>
          <w:lang w:val="fr-BE"/>
        </w:rPr>
        <w:t>(considérant J)</w:t>
      </w:r>
      <w:r w:rsidRPr="00C933C4">
        <w:rPr>
          <w:rFonts w:ascii="Times New Roman" w:hAnsi="Times New Roman"/>
          <w:lang w:val="fr-BE"/>
        </w:rPr>
        <w:t xml:space="preserve">, et que des informations sur les niveaux de résidus d’herbicides et de leurs métabolites sont essentielles pour l’évaluation des risques des plantes tolérantes aux herbicides </w:t>
      </w:r>
      <w:r w:rsidRPr="00C933C4">
        <w:rPr>
          <w:rFonts w:ascii="Times New Roman" w:hAnsi="Times New Roman"/>
          <w:b/>
          <w:lang w:val="fr-BE"/>
        </w:rPr>
        <w:t>(considérant K)</w:t>
      </w:r>
      <w:r w:rsidRPr="00C933C4">
        <w:rPr>
          <w:rFonts w:ascii="Times New Roman" w:hAnsi="Times New Roman"/>
          <w:lang w:val="fr-BE"/>
        </w:rPr>
        <w:t xml:space="preserve">. Elle indique par ailleurs qu’aucune conclusion sur l’innocuité des résidus ne peut être tirée </w:t>
      </w:r>
      <w:r w:rsidRPr="00C933C4">
        <w:rPr>
          <w:rFonts w:ascii="Times New Roman" w:hAnsi="Times New Roman"/>
          <w:b/>
          <w:lang w:val="fr-BE"/>
        </w:rPr>
        <w:t>(considérant N)</w:t>
      </w:r>
      <w:r w:rsidRPr="00C933C4">
        <w:rPr>
          <w:rFonts w:ascii="Times New Roman" w:hAnsi="Times New Roman"/>
          <w:lang w:val="fr-BE"/>
        </w:rPr>
        <w:t xml:space="preserve">, que les additifs des herbicides peuvent être toxiques </w:t>
      </w:r>
      <w:r w:rsidRPr="00C933C4">
        <w:rPr>
          <w:rFonts w:ascii="Times New Roman" w:hAnsi="Times New Roman"/>
          <w:b/>
          <w:lang w:val="fr-BE"/>
        </w:rPr>
        <w:t>(considérant L)</w:t>
      </w:r>
      <w:r w:rsidRPr="00C933C4">
        <w:rPr>
          <w:rFonts w:ascii="Times New Roman" w:hAnsi="Times New Roman"/>
          <w:lang w:val="fr-BE"/>
        </w:rPr>
        <w:t xml:space="preserve"> et qu’un additif interdit depuis longtemps dans l’Union pourrait encore être autorisé dans les pays où ce maïs génétiquement modifié est cultivé </w:t>
      </w:r>
      <w:r w:rsidRPr="00C933C4">
        <w:rPr>
          <w:rFonts w:ascii="Times New Roman" w:hAnsi="Times New Roman"/>
          <w:b/>
          <w:lang w:val="fr-BE"/>
        </w:rPr>
        <w:t>(considérant M)</w:t>
      </w:r>
      <w:r w:rsidRPr="00C933C4">
        <w:rPr>
          <w:rFonts w:ascii="Times New Roman" w:hAnsi="Times New Roman"/>
          <w:lang w:val="fr-BE"/>
        </w:rPr>
        <w:t>. Elle souligne également que les États membres ne sont pas tenus d’analyser les résidus de glyphosate dans le maïs importé afin de s’assurer du respect des limites maximales de résidus dans le cadre du programme pluriannuel de contrôle coordonné de l’Union pour </w:t>
      </w:r>
      <w:r w:rsidRPr="00B70F74">
        <w:rPr>
          <w:rFonts w:ascii="Times New Roman" w:hAnsi="Times New Roman"/>
          <w:lang w:val="fr-BE"/>
        </w:rPr>
        <w:t>2019</w:t>
      </w:r>
      <w:r w:rsidRPr="00C933C4">
        <w:rPr>
          <w:rFonts w:ascii="Times New Roman" w:hAnsi="Times New Roman"/>
          <w:lang w:val="fr-BE"/>
        </w:rPr>
        <w:t xml:space="preserve">, </w:t>
      </w:r>
      <w:r w:rsidRPr="00B70F74">
        <w:rPr>
          <w:rFonts w:ascii="Times New Roman" w:hAnsi="Times New Roman"/>
          <w:lang w:val="fr-BE"/>
        </w:rPr>
        <w:t>2020</w:t>
      </w:r>
      <w:r w:rsidRPr="00C933C4">
        <w:rPr>
          <w:rFonts w:ascii="Times New Roman" w:hAnsi="Times New Roman"/>
          <w:lang w:val="fr-BE"/>
        </w:rPr>
        <w:t xml:space="preserve"> et </w:t>
      </w:r>
      <w:r w:rsidRPr="00B70F74">
        <w:rPr>
          <w:rFonts w:ascii="Times New Roman" w:hAnsi="Times New Roman"/>
          <w:lang w:val="fr-BE"/>
        </w:rPr>
        <w:t>2021</w:t>
      </w:r>
      <w:r w:rsidRPr="00C933C4">
        <w:rPr>
          <w:rFonts w:ascii="Times New Roman" w:hAnsi="Times New Roman"/>
          <w:lang w:val="fr-BE"/>
        </w:rPr>
        <w:t xml:space="preserve"> </w:t>
      </w:r>
      <w:r w:rsidRPr="00C933C4">
        <w:rPr>
          <w:rFonts w:ascii="Times New Roman" w:hAnsi="Times New Roman"/>
          <w:b/>
          <w:lang w:val="fr-BE"/>
        </w:rPr>
        <w:t>(considérant O)</w:t>
      </w:r>
      <w:r w:rsidRPr="00C933C4">
        <w:rPr>
          <w:rFonts w:ascii="Times New Roman" w:hAnsi="Times New Roman"/>
          <w:lang w:val="fr-BE"/>
        </w:rPr>
        <w:t>.</w:t>
      </w:r>
    </w:p>
    <w:p w:rsidR="00F60EF2" w:rsidRPr="00C933C4" w:rsidRDefault="00F60EF2" w:rsidP="00F60EF2">
      <w:pPr>
        <w:spacing w:after="120"/>
        <w:rPr>
          <w:rFonts w:ascii="Times New Roman" w:hAnsi="Times New Roman"/>
          <w:szCs w:val="24"/>
          <w:lang w:val="fr-BE"/>
        </w:rPr>
      </w:pPr>
      <w:r w:rsidRPr="00C933C4">
        <w:rPr>
          <w:rFonts w:ascii="Times New Roman" w:hAnsi="Times New Roman"/>
          <w:lang w:val="fr-BE"/>
        </w:rPr>
        <w:t xml:space="preserve">La résolution rappelle les résultats du vote du comité permanent de la chaîne alimentaire et de la santé animale concernant le projet de décision d’exécution </w:t>
      </w:r>
      <w:r w:rsidRPr="00C933C4">
        <w:rPr>
          <w:rFonts w:ascii="Times New Roman" w:hAnsi="Times New Roman"/>
          <w:b/>
          <w:lang w:val="fr-BE"/>
        </w:rPr>
        <w:t>(considérant P)</w:t>
      </w:r>
      <w:r w:rsidRPr="00C933C4">
        <w:rPr>
          <w:rFonts w:ascii="Times New Roman" w:hAnsi="Times New Roman"/>
          <w:lang w:val="fr-BE"/>
        </w:rPr>
        <w:t xml:space="preserve">. Elle rappelle en outre que le renvoi du dossier à la Commission pour décision finale, en raison de l’absence de soutien du comité permanent, est devenu la règle dans le processus décisionnel relatif aux autorisations de denrées alimentaires et d’aliments pour animaux génétiquement modifiés et que cette pratique n’est pas démocratique </w:t>
      </w:r>
      <w:r w:rsidRPr="00C933C4">
        <w:rPr>
          <w:rFonts w:ascii="Times New Roman" w:hAnsi="Times New Roman"/>
          <w:b/>
          <w:lang w:val="fr-BE"/>
        </w:rPr>
        <w:t>(considérant Q)</w:t>
      </w:r>
      <w:r w:rsidRPr="00C933C4">
        <w:rPr>
          <w:rFonts w:ascii="Times New Roman" w:hAnsi="Times New Roman"/>
          <w:lang w:val="fr-BE"/>
        </w:rPr>
        <w:t xml:space="preserve">. Elle rappelle enfin que le Parlement a rejeté la proposition législative de la Commission du </w:t>
      </w:r>
      <w:r w:rsidRPr="00B70F74">
        <w:rPr>
          <w:rFonts w:ascii="Times New Roman" w:hAnsi="Times New Roman"/>
          <w:lang w:val="fr-BE"/>
        </w:rPr>
        <w:t>22</w:t>
      </w:r>
      <w:r w:rsidRPr="00C933C4">
        <w:rPr>
          <w:rFonts w:ascii="Times New Roman" w:hAnsi="Times New Roman"/>
          <w:lang w:val="fr-BE"/>
        </w:rPr>
        <w:t> avril </w:t>
      </w:r>
      <w:r w:rsidRPr="00B70F74">
        <w:rPr>
          <w:rFonts w:ascii="Times New Roman" w:hAnsi="Times New Roman"/>
          <w:lang w:val="fr-BE"/>
        </w:rPr>
        <w:t>2015</w:t>
      </w:r>
      <w:r w:rsidRPr="00C933C4">
        <w:rPr>
          <w:rFonts w:ascii="Times New Roman" w:hAnsi="Times New Roman"/>
          <w:lang w:val="fr-BE"/>
        </w:rPr>
        <w:t xml:space="preserve"> modifiant le règlement (CE) nº </w:t>
      </w:r>
      <w:r w:rsidRPr="00B70F74">
        <w:rPr>
          <w:rFonts w:ascii="Times New Roman" w:hAnsi="Times New Roman"/>
          <w:lang w:val="fr-BE"/>
        </w:rPr>
        <w:t>1829</w:t>
      </w:r>
      <w:r w:rsidRPr="00C933C4">
        <w:rPr>
          <w:rFonts w:ascii="Times New Roman" w:hAnsi="Times New Roman"/>
          <w:lang w:val="fr-BE"/>
        </w:rPr>
        <w:t>/</w:t>
      </w:r>
      <w:r w:rsidRPr="00B70F74">
        <w:rPr>
          <w:rFonts w:ascii="Times New Roman" w:hAnsi="Times New Roman"/>
          <w:lang w:val="fr-BE"/>
        </w:rPr>
        <w:t>2003</w:t>
      </w:r>
      <w:r w:rsidRPr="00C933C4">
        <w:rPr>
          <w:rFonts w:ascii="Times New Roman" w:hAnsi="Times New Roman"/>
          <w:lang w:val="fr-BE"/>
        </w:rPr>
        <w:t xml:space="preserve"> et a invité la Commission à retirer cette proposition et à en présenter une nouvelle </w:t>
      </w:r>
      <w:r w:rsidRPr="00C933C4">
        <w:rPr>
          <w:rFonts w:ascii="Times New Roman" w:hAnsi="Times New Roman"/>
          <w:b/>
          <w:lang w:val="fr-BE"/>
        </w:rPr>
        <w:t>(considérant R)</w:t>
      </w:r>
      <w:r w:rsidRPr="00C933C4">
        <w:rPr>
          <w:rFonts w:ascii="Times New Roman" w:hAnsi="Times New Roman"/>
          <w:lang w:val="fr-BE"/>
        </w:rPr>
        <w:t>.</w:t>
      </w:r>
    </w:p>
    <w:p w:rsidR="00F60EF2" w:rsidRPr="00C933C4" w:rsidRDefault="00F60EF2" w:rsidP="00F60EF2">
      <w:pPr>
        <w:ind w:left="567" w:hanging="567"/>
        <w:rPr>
          <w:rFonts w:ascii="Times New Roman" w:hAnsi="Times New Roman"/>
          <w:b/>
          <w:color w:val="000000"/>
          <w:szCs w:val="24"/>
          <w:lang w:val="fr-BE"/>
        </w:rPr>
      </w:pPr>
      <w:r w:rsidRPr="00B70F74">
        <w:rPr>
          <w:rFonts w:ascii="Times New Roman" w:hAnsi="Times New Roman"/>
          <w:b/>
          <w:color w:val="000000"/>
          <w:lang w:val="fr-BE"/>
        </w:rPr>
        <w:t>6</w:t>
      </w:r>
      <w:r w:rsidRPr="00C933C4">
        <w:rPr>
          <w:rFonts w:ascii="Times New Roman" w:hAnsi="Times New Roman"/>
          <w:b/>
          <w:color w:val="000000"/>
          <w:lang w:val="fr-BE"/>
        </w:rPr>
        <w:t>.</w:t>
      </w:r>
      <w:r w:rsidRPr="00C933C4">
        <w:rPr>
          <w:lang w:val="fr-BE"/>
        </w:rPr>
        <w:tab/>
      </w:r>
      <w:r w:rsidRPr="00C933C4">
        <w:rPr>
          <w:rFonts w:ascii="Times New Roman" w:hAnsi="Times New Roman"/>
          <w:b/>
          <w:color w:val="000000"/>
          <w:lang w:val="fr-BE"/>
        </w:rPr>
        <w:t>Réponses à ces demandes et aperçu des mesures que la Commission a prises ou envisage de prendre:</w:t>
      </w:r>
    </w:p>
    <w:p w:rsidR="00F60EF2" w:rsidRPr="00C933C4" w:rsidRDefault="00F60EF2" w:rsidP="00F60EF2">
      <w:pPr>
        <w:spacing w:after="120"/>
        <w:rPr>
          <w:rFonts w:ascii="Times New Roman" w:hAnsi="Times New Roman"/>
          <w:szCs w:val="24"/>
          <w:lang w:val="fr-BE"/>
        </w:rPr>
      </w:pPr>
      <w:r w:rsidRPr="00C933C4">
        <w:rPr>
          <w:rFonts w:ascii="Times New Roman" w:hAnsi="Times New Roman"/>
          <w:lang w:val="fr-BE"/>
        </w:rPr>
        <w:t>La Commission tient à préciser que ce projet de décision d’exécution autorise la mise sur le marché de produits contenant du maïs génétiquement modifié MON </w:t>
      </w:r>
      <w:r w:rsidRPr="00B70F74">
        <w:rPr>
          <w:rFonts w:ascii="Times New Roman" w:hAnsi="Times New Roman"/>
          <w:lang w:val="fr-BE"/>
        </w:rPr>
        <w:t>87411</w:t>
      </w:r>
      <w:r w:rsidRPr="00C933C4">
        <w:rPr>
          <w:rFonts w:ascii="Times New Roman" w:hAnsi="Times New Roman"/>
          <w:lang w:val="fr-BE"/>
        </w:rPr>
        <w:t>, consistant en ce maïs ou produits à partir de celui-ci, mais pas la culture de ce maïs.</w:t>
      </w:r>
    </w:p>
    <w:p w:rsidR="00F60EF2" w:rsidRPr="00C933C4" w:rsidRDefault="00F60EF2" w:rsidP="00F60EF2">
      <w:pPr>
        <w:spacing w:after="120"/>
        <w:rPr>
          <w:rFonts w:ascii="Times New Roman" w:hAnsi="Times New Roman"/>
          <w:szCs w:val="24"/>
          <w:lang w:val="fr-BE"/>
        </w:rPr>
      </w:pPr>
      <w:r w:rsidRPr="00C933C4">
        <w:rPr>
          <w:rFonts w:ascii="Times New Roman" w:hAnsi="Times New Roman"/>
          <w:lang w:val="fr-BE"/>
        </w:rPr>
        <w:t xml:space="preserve">En ce qui concerne les </w:t>
      </w:r>
      <w:r w:rsidRPr="00C933C4">
        <w:rPr>
          <w:rFonts w:ascii="Times New Roman" w:hAnsi="Times New Roman"/>
          <w:b/>
          <w:lang w:val="fr-BE"/>
        </w:rPr>
        <w:t>paragraphes </w:t>
      </w:r>
      <w:r w:rsidRPr="00B70F74">
        <w:rPr>
          <w:rFonts w:ascii="Times New Roman" w:hAnsi="Times New Roman"/>
          <w:b/>
          <w:lang w:val="fr-BE"/>
        </w:rPr>
        <w:t>1</w:t>
      </w:r>
      <w:r w:rsidRPr="00C933C4">
        <w:rPr>
          <w:rFonts w:ascii="Times New Roman" w:hAnsi="Times New Roman"/>
          <w:b/>
          <w:lang w:val="fr-BE"/>
        </w:rPr>
        <w:t xml:space="preserve">, </w:t>
      </w:r>
      <w:r w:rsidRPr="00B70F74">
        <w:rPr>
          <w:rFonts w:ascii="Times New Roman" w:hAnsi="Times New Roman"/>
          <w:b/>
          <w:lang w:val="fr-BE"/>
        </w:rPr>
        <w:t>2</w:t>
      </w:r>
      <w:r w:rsidRPr="00C933C4">
        <w:rPr>
          <w:rFonts w:ascii="Times New Roman" w:hAnsi="Times New Roman"/>
          <w:b/>
          <w:lang w:val="fr-BE"/>
        </w:rPr>
        <w:t xml:space="preserve">, </w:t>
      </w:r>
      <w:r w:rsidRPr="00B70F74">
        <w:rPr>
          <w:rFonts w:ascii="Times New Roman" w:hAnsi="Times New Roman"/>
          <w:b/>
          <w:lang w:val="fr-BE"/>
        </w:rPr>
        <w:t>3</w:t>
      </w:r>
      <w:r w:rsidRPr="00C933C4">
        <w:rPr>
          <w:rFonts w:ascii="Times New Roman" w:hAnsi="Times New Roman"/>
          <w:b/>
          <w:lang w:val="fr-BE"/>
        </w:rPr>
        <w:t xml:space="preserve">, </w:t>
      </w:r>
      <w:r w:rsidRPr="00B70F74">
        <w:rPr>
          <w:rFonts w:ascii="Times New Roman" w:hAnsi="Times New Roman"/>
          <w:b/>
          <w:lang w:val="fr-BE"/>
        </w:rPr>
        <w:t>7</w:t>
      </w:r>
      <w:r w:rsidRPr="00C933C4">
        <w:rPr>
          <w:rFonts w:ascii="Times New Roman" w:hAnsi="Times New Roman"/>
          <w:b/>
          <w:lang w:val="fr-BE"/>
        </w:rPr>
        <w:t xml:space="preserve"> et </w:t>
      </w:r>
      <w:r w:rsidRPr="00B70F74">
        <w:rPr>
          <w:rFonts w:ascii="Times New Roman" w:hAnsi="Times New Roman"/>
          <w:b/>
          <w:lang w:val="fr-BE"/>
        </w:rPr>
        <w:t>8</w:t>
      </w:r>
      <w:r w:rsidRPr="00C933C4">
        <w:rPr>
          <w:rFonts w:ascii="Times New Roman" w:hAnsi="Times New Roman"/>
          <w:lang w:val="fr-BE"/>
        </w:rPr>
        <w:t xml:space="preserve"> de la résolution, la Commission tient à souligner que le parcours du projet de décision est conforme à la procédure décrite dans le règlement (UE) </w:t>
      </w:r>
      <w:r w:rsidRPr="00B70F74">
        <w:rPr>
          <w:rFonts w:ascii="Times New Roman" w:hAnsi="Times New Roman"/>
          <w:lang w:val="fr-BE"/>
        </w:rPr>
        <w:t>182</w:t>
      </w:r>
      <w:r w:rsidRPr="00C933C4">
        <w:rPr>
          <w:rFonts w:ascii="Times New Roman" w:hAnsi="Times New Roman"/>
          <w:lang w:val="fr-BE"/>
        </w:rPr>
        <w:t>/</w:t>
      </w:r>
      <w:r w:rsidRPr="00B70F74">
        <w:rPr>
          <w:rFonts w:ascii="Times New Roman" w:hAnsi="Times New Roman"/>
          <w:lang w:val="fr-BE"/>
        </w:rPr>
        <w:t>2011</w:t>
      </w:r>
      <w:r w:rsidRPr="00C933C4">
        <w:rPr>
          <w:rFonts w:ascii="Times New Roman" w:hAnsi="Times New Roman"/>
          <w:lang w:val="fr-BE"/>
        </w:rPr>
        <w:t xml:space="preserve"> relatif à la comitologie et dans le règlement (CE) nº </w:t>
      </w:r>
      <w:r w:rsidRPr="00B70F74">
        <w:rPr>
          <w:rFonts w:ascii="Times New Roman" w:hAnsi="Times New Roman"/>
          <w:lang w:val="fr-BE"/>
        </w:rPr>
        <w:t>1829</w:t>
      </w:r>
      <w:r w:rsidRPr="00C933C4">
        <w:rPr>
          <w:rFonts w:ascii="Times New Roman" w:hAnsi="Times New Roman"/>
          <w:lang w:val="fr-BE"/>
        </w:rPr>
        <w:t>/</w:t>
      </w:r>
      <w:r w:rsidRPr="00B70F74">
        <w:rPr>
          <w:rFonts w:ascii="Times New Roman" w:hAnsi="Times New Roman"/>
          <w:lang w:val="fr-BE"/>
        </w:rPr>
        <w:t>2003</w:t>
      </w:r>
      <w:r w:rsidRPr="00C933C4">
        <w:rPr>
          <w:rFonts w:ascii="Times New Roman" w:hAnsi="Times New Roman"/>
          <w:lang w:val="fr-BE"/>
        </w:rPr>
        <w:t xml:space="preserve"> concernant les denrées alimentaires et les aliments pour animaux génétiquement modifiés, comme illustré ci-dessous:</w:t>
      </w:r>
    </w:p>
    <w:p w:rsidR="00F60EF2" w:rsidRPr="00C933C4" w:rsidRDefault="00F60EF2" w:rsidP="00F60EF2">
      <w:pPr>
        <w:numPr>
          <w:ilvl w:val="0"/>
          <w:numId w:val="2"/>
        </w:numPr>
        <w:spacing w:after="120"/>
        <w:rPr>
          <w:rFonts w:ascii="Times New Roman" w:hAnsi="Times New Roman"/>
          <w:szCs w:val="24"/>
          <w:lang w:val="fr-BE"/>
        </w:rPr>
      </w:pPr>
      <w:proofErr w:type="gramStart"/>
      <w:r w:rsidRPr="00C933C4">
        <w:rPr>
          <w:rFonts w:ascii="Times New Roman" w:hAnsi="Times New Roman"/>
          <w:lang w:val="fr-BE"/>
        </w:rPr>
        <w:t>le</w:t>
      </w:r>
      <w:proofErr w:type="gramEnd"/>
      <w:r w:rsidRPr="00C933C4">
        <w:rPr>
          <w:rFonts w:ascii="Times New Roman" w:hAnsi="Times New Roman"/>
          <w:lang w:val="fr-BE"/>
        </w:rPr>
        <w:t xml:space="preserve"> </w:t>
      </w:r>
      <w:r w:rsidRPr="00B70F74">
        <w:rPr>
          <w:rFonts w:ascii="Times New Roman" w:hAnsi="Times New Roman"/>
          <w:lang w:val="fr-BE"/>
        </w:rPr>
        <w:t>5</w:t>
      </w:r>
      <w:r w:rsidRPr="00C933C4">
        <w:rPr>
          <w:rFonts w:ascii="Times New Roman" w:hAnsi="Times New Roman"/>
          <w:lang w:val="fr-BE"/>
        </w:rPr>
        <w:t> février </w:t>
      </w:r>
      <w:r w:rsidRPr="00B70F74">
        <w:rPr>
          <w:rFonts w:ascii="Times New Roman" w:hAnsi="Times New Roman"/>
          <w:lang w:val="fr-BE"/>
        </w:rPr>
        <w:t>2015</w:t>
      </w:r>
      <w:r w:rsidRPr="00C933C4">
        <w:rPr>
          <w:rFonts w:ascii="Times New Roman" w:hAnsi="Times New Roman"/>
          <w:lang w:val="fr-BE"/>
        </w:rPr>
        <w:t>, une demande d’autorisation concernant l’utilisation du maïs génétiquement modifié MON </w:t>
      </w:r>
      <w:r w:rsidRPr="00B70F74">
        <w:rPr>
          <w:rFonts w:ascii="Times New Roman" w:hAnsi="Times New Roman"/>
          <w:lang w:val="fr-BE"/>
        </w:rPr>
        <w:t>87411</w:t>
      </w:r>
      <w:r w:rsidRPr="00C933C4">
        <w:rPr>
          <w:rFonts w:ascii="Times New Roman" w:hAnsi="Times New Roman"/>
          <w:lang w:val="fr-BE"/>
        </w:rPr>
        <w:t xml:space="preserve"> dans les denrées alimentaires et les aliments pour animaux dans l’UE a été introduite par Monsanto </w:t>
      </w:r>
      <w:proofErr w:type="spellStart"/>
      <w:r w:rsidRPr="00C933C4">
        <w:rPr>
          <w:rFonts w:ascii="Times New Roman" w:hAnsi="Times New Roman"/>
          <w:lang w:val="fr-BE"/>
        </w:rPr>
        <w:t>Company</w:t>
      </w:r>
      <w:proofErr w:type="spellEnd"/>
      <w:r w:rsidRPr="00C933C4">
        <w:rPr>
          <w:rFonts w:ascii="Times New Roman" w:hAnsi="Times New Roman"/>
          <w:lang w:val="fr-BE"/>
        </w:rPr>
        <w:t>;</w:t>
      </w:r>
    </w:p>
    <w:p w:rsidR="00F60EF2" w:rsidRPr="00C933C4" w:rsidRDefault="00F60EF2" w:rsidP="00F60EF2">
      <w:pPr>
        <w:numPr>
          <w:ilvl w:val="0"/>
          <w:numId w:val="2"/>
        </w:numPr>
        <w:spacing w:after="120"/>
        <w:rPr>
          <w:rFonts w:ascii="Times New Roman" w:hAnsi="Times New Roman"/>
          <w:snapToGrid w:val="0"/>
          <w:lang w:val="fr-BE"/>
        </w:rPr>
      </w:pPr>
      <w:proofErr w:type="gramStart"/>
      <w:r w:rsidRPr="00C933C4">
        <w:rPr>
          <w:rFonts w:ascii="Times New Roman" w:hAnsi="Times New Roman"/>
          <w:snapToGrid w:val="0"/>
          <w:lang w:val="fr-BE"/>
        </w:rPr>
        <w:lastRenderedPageBreak/>
        <w:t>l’EFSA</w:t>
      </w:r>
      <w:proofErr w:type="gramEnd"/>
      <w:r w:rsidRPr="00C933C4">
        <w:rPr>
          <w:rFonts w:ascii="Times New Roman" w:hAnsi="Times New Roman"/>
          <w:snapToGrid w:val="0"/>
          <w:lang w:val="fr-BE"/>
        </w:rPr>
        <w:t xml:space="preserve"> a procédé à une évaluation complète des risques du produit et publié, le </w:t>
      </w:r>
      <w:r w:rsidRPr="00B70F74">
        <w:rPr>
          <w:rFonts w:ascii="Times New Roman" w:hAnsi="Times New Roman"/>
          <w:snapToGrid w:val="0"/>
          <w:lang w:val="fr-BE"/>
        </w:rPr>
        <w:t>2</w:t>
      </w:r>
      <w:r w:rsidRPr="00C933C4">
        <w:rPr>
          <w:rFonts w:ascii="Times New Roman" w:hAnsi="Times New Roman"/>
          <w:snapToGrid w:val="0"/>
          <w:lang w:val="fr-BE"/>
        </w:rPr>
        <w:t> juillet </w:t>
      </w:r>
      <w:r w:rsidRPr="00B70F74">
        <w:rPr>
          <w:rFonts w:ascii="Times New Roman" w:hAnsi="Times New Roman"/>
          <w:snapToGrid w:val="0"/>
          <w:lang w:val="fr-BE"/>
        </w:rPr>
        <w:t>2018</w:t>
      </w:r>
      <w:r w:rsidRPr="00C933C4">
        <w:rPr>
          <w:rFonts w:ascii="Times New Roman" w:hAnsi="Times New Roman"/>
          <w:snapToGrid w:val="0"/>
          <w:lang w:val="fr-BE"/>
        </w:rPr>
        <w:t>, un avis favorable concluant que le maïs génétiquement modifié MON </w:t>
      </w:r>
      <w:r w:rsidRPr="00B70F74">
        <w:rPr>
          <w:rFonts w:ascii="Times New Roman" w:hAnsi="Times New Roman"/>
          <w:snapToGrid w:val="0"/>
          <w:lang w:val="fr-BE"/>
        </w:rPr>
        <w:t>87411</w:t>
      </w:r>
      <w:r w:rsidRPr="00C933C4">
        <w:rPr>
          <w:rFonts w:ascii="Times New Roman" w:hAnsi="Times New Roman"/>
          <w:snapToGrid w:val="0"/>
          <w:lang w:val="fr-BE"/>
        </w:rPr>
        <w:t xml:space="preserve"> est aussi sûr que son homologue non génétiquement modifié et les autres variétés commerciales non génétiquement modifiées testées, et équivalent à ceux-ci sur le plan nutritionnel;</w:t>
      </w:r>
    </w:p>
    <w:p w:rsidR="00F60EF2" w:rsidRPr="00C933C4" w:rsidRDefault="00F60EF2" w:rsidP="00F60EF2">
      <w:pPr>
        <w:numPr>
          <w:ilvl w:val="0"/>
          <w:numId w:val="2"/>
        </w:numPr>
        <w:spacing w:after="120"/>
        <w:rPr>
          <w:rFonts w:ascii="Times New Roman" w:hAnsi="Times New Roman"/>
          <w:szCs w:val="24"/>
          <w:lang w:val="fr-BE"/>
        </w:rPr>
      </w:pPr>
      <w:proofErr w:type="gramStart"/>
      <w:r w:rsidRPr="00C933C4">
        <w:rPr>
          <w:rFonts w:ascii="Times New Roman" w:hAnsi="Times New Roman"/>
          <w:lang w:val="fr-BE"/>
        </w:rPr>
        <w:t>dans</w:t>
      </w:r>
      <w:proofErr w:type="gramEnd"/>
      <w:r w:rsidRPr="00C933C4">
        <w:rPr>
          <w:rFonts w:ascii="Times New Roman" w:hAnsi="Times New Roman"/>
          <w:lang w:val="fr-BE"/>
        </w:rPr>
        <w:t xml:space="preserve"> son avis, l’EFSA a pris en considération l’ensemble des questions et préoccupations spécifiques formulées par les États membres lors de la consultation des autorités nationales compétentes, comme le prévoient l’article </w:t>
      </w:r>
      <w:r w:rsidRPr="00B70F74">
        <w:rPr>
          <w:rFonts w:ascii="Times New Roman" w:hAnsi="Times New Roman"/>
          <w:lang w:val="fr-BE"/>
        </w:rPr>
        <w:t>6</w:t>
      </w:r>
      <w:r w:rsidRPr="00C933C4">
        <w:rPr>
          <w:rFonts w:ascii="Times New Roman" w:hAnsi="Times New Roman"/>
          <w:lang w:val="fr-BE"/>
        </w:rPr>
        <w:t>, paragraphe </w:t>
      </w:r>
      <w:r w:rsidRPr="00B70F74">
        <w:rPr>
          <w:rFonts w:ascii="Times New Roman" w:hAnsi="Times New Roman"/>
          <w:lang w:val="fr-BE"/>
        </w:rPr>
        <w:t>4</w:t>
      </w:r>
      <w:r w:rsidRPr="00C933C4">
        <w:rPr>
          <w:rFonts w:ascii="Times New Roman" w:hAnsi="Times New Roman"/>
          <w:lang w:val="fr-BE"/>
        </w:rPr>
        <w:t>, et l’article </w:t>
      </w:r>
      <w:r w:rsidRPr="00B70F74">
        <w:rPr>
          <w:rFonts w:ascii="Times New Roman" w:hAnsi="Times New Roman"/>
          <w:lang w:val="fr-BE"/>
        </w:rPr>
        <w:t>18</w:t>
      </w:r>
      <w:r w:rsidRPr="00C933C4">
        <w:rPr>
          <w:rFonts w:ascii="Times New Roman" w:hAnsi="Times New Roman"/>
          <w:lang w:val="fr-BE"/>
        </w:rPr>
        <w:t>, paragraphe </w:t>
      </w:r>
      <w:r w:rsidRPr="00B70F74">
        <w:rPr>
          <w:rFonts w:ascii="Times New Roman" w:hAnsi="Times New Roman"/>
          <w:lang w:val="fr-BE"/>
        </w:rPr>
        <w:t>4</w:t>
      </w:r>
      <w:r w:rsidRPr="00C933C4">
        <w:rPr>
          <w:rFonts w:ascii="Times New Roman" w:hAnsi="Times New Roman"/>
          <w:lang w:val="fr-BE"/>
        </w:rPr>
        <w:t>, du règlement (CE) nº </w:t>
      </w:r>
      <w:r w:rsidRPr="00B70F74">
        <w:rPr>
          <w:rFonts w:ascii="Times New Roman" w:hAnsi="Times New Roman"/>
          <w:lang w:val="fr-BE"/>
        </w:rPr>
        <w:t>1829</w:t>
      </w:r>
      <w:r w:rsidRPr="00C933C4">
        <w:rPr>
          <w:rFonts w:ascii="Times New Roman" w:hAnsi="Times New Roman"/>
          <w:lang w:val="fr-BE"/>
        </w:rPr>
        <w:t>/</w:t>
      </w:r>
      <w:r w:rsidRPr="00B70F74">
        <w:rPr>
          <w:rFonts w:ascii="Times New Roman" w:hAnsi="Times New Roman"/>
          <w:lang w:val="fr-BE"/>
        </w:rPr>
        <w:t>2003</w:t>
      </w:r>
      <w:r w:rsidRPr="00C933C4">
        <w:rPr>
          <w:rFonts w:ascii="Times New Roman" w:hAnsi="Times New Roman"/>
          <w:lang w:val="fr-BE"/>
        </w:rPr>
        <w:t>;</w:t>
      </w:r>
    </w:p>
    <w:p w:rsidR="00F60EF2" w:rsidRPr="00C933C4" w:rsidRDefault="00F60EF2" w:rsidP="00F60EF2">
      <w:pPr>
        <w:numPr>
          <w:ilvl w:val="0"/>
          <w:numId w:val="2"/>
        </w:numPr>
        <w:spacing w:after="120"/>
        <w:rPr>
          <w:rFonts w:ascii="Times New Roman" w:hAnsi="Times New Roman"/>
          <w:szCs w:val="24"/>
          <w:lang w:val="fr-BE"/>
        </w:rPr>
      </w:pPr>
      <w:r w:rsidRPr="00C933C4">
        <w:rPr>
          <w:rFonts w:ascii="Times New Roman" w:hAnsi="Times New Roman"/>
          <w:lang w:val="fr-BE"/>
        </w:rPr>
        <w:t>le public a commenté l’avis de l’EFSA, et l’EFSA a examiné tous les commentaires scientifiques qui lui ont été transmis</w:t>
      </w:r>
      <w:r>
        <w:rPr>
          <w:rStyle w:val="FootnoteReference"/>
          <w:rFonts w:ascii="Times New Roman" w:hAnsi="Times New Roman"/>
        </w:rPr>
        <w:footnoteReference w:id="1"/>
      </w:r>
      <w:r w:rsidRPr="00C933C4">
        <w:rPr>
          <w:rFonts w:ascii="Times New Roman" w:hAnsi="Times New Roman"/>
          <w:lang w:val="fr-BE"/>
        </w:rPr>
        <w:t>;</w:t>
      </w:r>
    </w:p>
    <w:p w:rsidR="00F60EF2" w:rsidRPr="00C933C4" w:rsidRDefault="00F60EF2" w:rsidP="00F60EF2">
      <w:pPr>
        <w:numPr>
          <w:ilvl w:val="0"/>
          <w:numId w:val="2"/>
        </w:numPr>
        <w:spacing w:after="120"/>
        <w:rPr>
          <w:rFonts w:ascii="Times New Roman" w:hAnsi="Times New Roman"/>
          <w:szCs w:val="24"/>
          <w:lang w:val="fr-BE"/>
        </w:rPr>
      </w:pPr>
      <w:proofErr w:type="gramStart"/>
      <w:r w:rsidRPr="00C933C4">
        <w:rPr>
          <w:rFonts w:ascii="Times New Roman" w:hAnsi="Times New Roman"/>
          <w:lang w:val="fr-BE"/>
        </w:rPr>
        <w:t>le</w:t>
      </w:r>
      <w:proofErr w:type="gramEnd"/>
      <w:r w:rsidRPr="00C933C4">
        <w:rPr>
          <w:rFonts w:ascii="Times New Roman" w:hAnsi="Times New Roman"/>
          <w:lang w:val="fr-BE"/>
        </w:rPr>
        <w:t xml:space="preserve"> projet de décision a été soumis au vote du comité permanent le </w:t>
      </w:r>
      <w:r w:rsidRPr="00B70F74">
        <w:rPr>
          <w:rFonts w:ascii="Times New Roman" w:hAnsi="Times New Roman"/>
          <w:lang w:val="fr-BE"/>
        </w:rPr>
        <w:t>14</w:t>
      </w:r>
      <w:r w:rsidRPr="00C933C4">
        <w:rPr>
          <w:rFonts w:ascii="Times New Roman" w:hAnsi="Times New Roman"/>
          <w:lang w:val="fr-BE"/>
        </w:rPr>
        <w:t> janvier </w:t>
      </w:r>
      <w:r w:rsidRPr="00B70F74">
        <w:rPr>
          <w:rFonts w:ascii="Times New Roman" w:hAnsi="Times New Roman"/>
          <w:lang w:val="fr-BE"/>
        </w:rPr>
        <w:t>2019</w:t>
      </w:r>
      <w:r w:rsidRPr="00C933C4">
        <w:rPr>
          <w:rFonts w:ascii="Times New Roman" w:hAnsi="Times New Roman"/>
          <w:lang w:val="fr-BE"/>
        </w:rPr>
        <w:t>, à l’issue duquel aucune majorité qualifiée ne s’est dégagée en faveur ou à l’encontre de la décision;</w:t>
      </w:r>
    </w:p>
    <w:p w:rsidR="00F60EF2" w:rsidRPr="00C933C4" w:rsidRDefault="00F60EF2" w:rsidP="00F60EF2">
      <w:pPr>
        <w:numPr>
          <w:ilvl w:val="0"/>
          <w:numId w:val="2"/>
        </w:numPr>
        <w:spacing w:after="120"/>
        <w:rPr>
          <w:rFonts w:ascii="Times New Roman" w:hAnsi="Times New Roman"/>
          <w:szCs w:val="24"/>
          <w:lang w:val="fr-BE"/>
        </w:rPr>
      </w:pPr>
      <w:proofErr w:type="gramStart"/>
      <w:r w:rsidRPr="00C933C4">
        <w:rPr>
          <w:rFonts w:ascii="Times New Roman" w:hAnsi="Times New Roman"/>
          <w:lang w:val="fr-BE"/>
        </w:rPr>
        <w:t>conformément</w:t>
      </w:r>
      <w:proofErr w:type="gramEnd"/>
      <w:r w:rsidRPr="00C933C4">
        <w:rPr>
          <w:rFonts w:ascii="Times New Roman" w:hAnsi="Times New Roman"/>
          <w:lang w:val="fr-BE"/>
        </w:rPr>
        <w:t xml:space="preserve"> aux règles établies dans le règlement (UE) nº </w:t>
      </w:r>
      <w:r w:rsidRPr="00B70F74">
        <w:rPr>
          <w:rFonts w:ascii="Times New Roman" w:hAnsi="Times New Roman"/>
          <w:lang w:val="fr-BE"/>
        </w:rPr>
        <w:t>182</w:t>
      </w:r>
      <w:r w:rsidRPr="00C933C4">
        <w:rPr>
          <w:rFonts w:ascii="Times New Roman" w:hAnsi="Times New Roman"/>
          <w:lang w:val="fr-BE"/>
        </w:rPr>
        <w:t>/</w:t>
      </w:r>
      <w:r w:rsidRPr="00B70F74">
        <w:rPr>
          <w:rFonts w:ascii="Times New Roman" w:hAnsi="Times New Roman"/>
          <w:lang w:val="fr-BE"/>
        </w:rPr>
        <w:t>2011</w:t>
      </w:r>
      <w:r w:rsidRPr="00C933C4">
        <w:rPr>
          <w:rFonts w:ascii="Times New Roman" w:hAnsi="Times New Roman"/>
          <w:lang w:val="fr-BE"/>
        </w:rPr>
        <w:t xml:space="preserve"> relatif à la comitologie, la Commission a proposé le projet de décision au comité d’appel du </w:t>
      </w:r>
      <w:r w:rsidRPr="00B70F74">
        <w:rPr>
          <w:rFonts w:ascii="Times New Roman" w:hAnsi="Times New Roman"/>
          <w:lang w:val="fr-BE"/>
        </w:rPr>
        <w:t>22</w:t>
      </w:r>
      <w:r w:rsidRPr="00C933C4">
        <w:rPr>
          <w:rFonts w:ascii="Times New Roman" w:hAnsi="Times New Roman"/>
          <w:lang w:val="fr-BE"/>
        </w:rPr>
        <w:t> février </w:t>
      </w:r>
      <w:r w:rsidRPr="00B70F74">
        <w:rPr>
          <w:rFonts w:ascii="Times New Roman" w:hAnsi="Times New Roman"/>
          <w:lang w:val="fr-BE"/>
        </w:rPr>
        <w:t>2019</w:t>
      </w:r>
      <w:r w:rsidRPr="00C933C4">
        <w:rPr>
          <w:rFonts w:ascii="Times New Roman" w:hAnsi="Times New Roman"/>
          <w:lang w:val="fr-BE"/>
        </w:rPr>
        <w:t>. Là non plus, aucune majorité qualifiée ne s’est dégagée en faveur ou à l’encontre de la décision.</w:t>
      </w:r>
    </w:p>
    <w:p w:rsidR="00F60EF2" w:rsidRPr="00C933C4" w:rsidRDefault="00F60EF2" w:rsidP="00F60EF2">
      <w:pPr>
        <w:spacing w:after="120"/>
        <w:rPr>
          <w:rFonts w:ascii="Times New Roman" w:hAnsi="Times New Roman"/>
          <w:szCs w:val="24"/>
          <w:lang w:val="fr-BE"/>
        </w:rPr>
      </w:pPr>
      <w:r w:rsidRPr="00C933C4">
        <w:rPr>
          <w:rFonts w:ascii="Times New Roman" w:hAnsi="Times New Roman"/>
          <w:lang w:val="fr-BE"/>
        </w:rPr>
        <w:t xml:space="preserve">Aussi la Commission considère-t-elle qu’en adoptant une décision pleinement conforme à la procédure fixée par les </w:t>
      </w:r>
      <w:proofErr w:type="spellStart"/>
      <w:r w:rsidRPr="00C933C4">
        <w:rPr>
          <w:rFonts w:ascii="Times New Roman" w:hAnsi="Times New Roman"/>
          <w:lang w:val="fr-BE"/>
        </w:rPr>
        <w:t>colégislateurs</w:t>
      </w:r>
      <w:proofErr w:type="spellEnd"/>
      <w:r w:rsidRPr="00C933C4">
        <w:rPr>
          <w:rFonts w:ascii="Times New Roman" w:hAnsi="Times New Roman"/>
          <w:lang w:val="fr-BE"/>
        </w:rPr>
        <w:t xml:space="preserve"> dans la législation sur les OGM, elle n’excède pas ses compétences d’exécution. En conséquence, aucun motif ne justifie le retrait du projet de décision d’autorisation du maïs génétiquement modifié MON </w:t>
      </w:r>
      <w:r w:rsidRPr="00B70F74">
        <w:rPr>
          <w:rFonts w:ascii="Times New Roman" w:hAnsi="Times New Roman"/>
          <w:lang w:val="fr-BE"/>
        </w:rPr>
        <w:t>87411</w:t>
      </w:r>
      <w:r w:rsidRPr="00C933C4">
        <w:rPr>
          <w:rFonts w:ascii="Times New Roman" w:hAnsi="Times New Roman"/>
          <w:lang w:val="fr-BE"/>
        </w:rPr>
        <w:t>. En outre, à la suite de l’introduction d’une demande et de la publication de l’avis respectif de l’EFSA, l’article </w:t>
      </w:r>
      <w:r w:rsidRPr="00B70F74">
        <w:rPr>
          <w:rFonts w:ascii="Times New Roman" w:hAnsi="Times New Roman"/>
          <w:lang w:val="fr-BE"/>
        </w:rPr>
        <w:t>7</w:t>
      </w:r>
      <w:r w:rsidRPr="00C933C4">
        <w:rPr>
          <w:rFonts w:ascii="Times New Roman" w:hAnsi="Times New Roman"/>
          <w:lang w:val="fr-BE"/>
        </w:rPr>
        <w:t>, paragraphe </w:t>
      </w:r>
      <w:r w:rsidRPr="00B70F74">
        <w:rPr>
          <w:rFonts w:ascii="Times New Roman" w:hAnsi="Times New Roman"/>
          <w:lang w:val="fr-BE"/>
        </w:rPr>
        <w:t>3</w:t>
      </w:r>
      <w:r w:rsidRPr="00C933C4">
        <w:rPr>
          <w:rFonts w:ascii="Times New Roman" w:hAnsi="Times New Roman"/>
          <w:lang w:val="fr-BE"/>
        </w:rPr>
        <w:t>, et l’article </w:t>
      </w:r>
      <w:r w:rsidRPr="00B70F74">
        <w:rPr>
          <w:rFonts w:ascii="Times New Roman" w:hAnsi="Times New Roman"/>
          <w:lang w:val="fr-BE"/>
        </w:rPr>
        <w:t>19</w:t>
      </w:r>
      <w:r w:rsidRPr="00C933C4">
        <w:rPr>
          <w:rFonts w:ascii="Times New Roman" w:hAnsi="Times New Roman"/>
          <w:lang w:val="fr-BE"/>
        </w:rPr>
        <w:t>, paragraphe </w:t>
      </w:r>
      <w:r w:rsidRPr="00B70F74">
        <w:rPr>
          <w:rFonts w:ascii="Times New Roman" w:hAnsi="Times New Roman"/>
          <w:lang w:val="fr-BE"/>
        </w:rPr>
        <w:t>3</w:t>
      </w:r>
      <w:r w:rsidRPr="00C933C4">
        <w:rPr>
          <w:rFonts w:ascii="Times New Roman" w:hAnsi="Times New Roman"/>
          <w:lang w:val="fr-BE"/>
        </w:rPr>
        <w:t>, du règlement (CE) nº </w:t>
      </w:r>
      <w:r w:rsidRPr="00B70F74">
        <w:rPr>
          <w:rFonts w:ascii="Times New Roman" w:hAnsi="Times New Roman"/>
          <w:lang w:val="fr-BE"/>
        </w:rPr>
        <w:t>1829</w:t>
      </w:r>
      <w:r w:rsidRPr="00C933C4">
        <w:rPr>
          <w:rFonts w:ascii="Times New Roman" w:hAnsi="Times New Roman"/>
          <w:lang w:val="fr-BE"/>
        </w:rPr>
        <w:t>/</w:t>
      </w:r>
      <w:r w:rsidRPr="00B70F74">
        <w:rPr>
          <w:rFonts w:ascii="Times New Roman" w:hAnsi="Times New Roman"/>
          <w:lang w:val="fr-BE"/>
        </w:rPr>
        <w:t>2003</w:t>
      </w:r>
      <w:r w:rsidRPr="00C933C4">
        <w:rPr>
          <w:rFonts w:ascii="Times New Roman" w:hAnsi="Times New Roman"/>
          <w:lang w:val="fr-BE"/>
        </w:rPr>
        <w:t xml:space="preserve"> imposent à la Commission d’agir, en l’occurrence d’adopter une décision finale concernant la demande.</w:t>
      </w:r>
    </w:p>
    <w:p w:rsidR="00F60EF2" w:rsidRPr="00C933C4" w:rsidRDefault="00F60EF2" w:rsidP="00F60EF2">
      <w:pPr>
        <w:spacing w:after="120"/>
        <w:rPr>
          <w:rFonts w:ascii="Times New Roman" w:hAnsi="Times New Roman"/>
          <w:szCs w:val="24"/>
          <w:lang w:val="fr-BE"/>
        </w:rPr>
      </w:pPr>
      <w:r w:rsidRPr="00C933C4">
        <w:rPr>
          <w:rFonts w:ascii="Times New Roman" w:hAnsi="Times New Roman"/>
          <w:lang w:val="fr-BE"/>
        </w:rPr>
        <w:t xml:space="preserve">Lors de la réunion de la commission de l’environnement, de la santé publique et de la sécurité alimentaire du Parlement européen du mercredi </w:t>
      </w:r>
      <w:r w:rsidRPr="00B70F74">
        <w:rPr>
          <w:rFonts w:ascii="Times New Roman" w:hAnsi="Times New Roman"/>
          <w:lang w:val="fr-BE"/>
        </w:rPr>
        <w:t>20</w:t>
      </w:r>
      <w:r w:rsidRPr="00C933C4">
        <w:rPr>
          <w:rFonts w:ascii="Times New Roman" w:hAnsi="Times New Roman"/>
          <w:lang w:val="fr-BE"/>
        </w:rPr>
        <w:t> février </w:t>
      </w:r>
      <w:r w:rsidRPr="00B70F74">
        <w:rPr>
          <w:rFonts w:ascii="Times New Roman" w:hAnsi="Times New Roman"/>
          <w:lang w:val="fr-BE"/>
        </w:rPr>
        <w:t>2019</w:t>
      </w:r>
      <w:r w:rsidRPr="00C933C4">
        <w:rPr>
          <w:rFonts w:ascii="Times New Roman" w:hAnsi="Times New Roman"/>
          <w:lang w:val="fr-BE"/>
        </w:rPr>
        <w:t>, la Commission a longuement expliqué l’état d’avancement de la procédure d’autorisation et en quoi elle n’était pas allée au-delà de ses compétences d’exécution.</w:t>
      </w:r>
    </w:p>
    <w:p w:rsidR="00F60EF2" w:rsidRPr="00C933C4" w:rsidRDefault="00F60EF2" w:rsidP="00F60EF2">
      <w:pPr>
        <w:spacing w:after="120"/>
        <w:rPr>
          <w:rFonts w:ascii="Times New Roman" w:hAnsi="Times New Roman"/>
          <w:szCs w:val="24"/>
          <w:lang w:val="fr-BE"/>
        </w:rPr>
      </w:pPr>
      <w:r w:rsidRPr="00C933C4">
        <w:rPr>
          <w:rFonts w:ascii="Times New Roman" w:hAnsi="Times New Roman"/>
          <w:lang w:val="fr-BE"/>
        </w:rPr>
        <w:t xml:space="preserve">En ce qui concerne les </w:t>
      </w:r>
      <w:r w:rsidRPr="00C933C4">
        <w:rPr>
          <w:rFonts w:ascii="Times New Roman" w:hAnsi="Times New Roman"/>
          <w:b/>
          <w:lang w:val="fr-BE"/>
        </w:rPr>
        <w:t>autres dispositions de la résolution</w:t>
      </w:r>
      <w:r w:rsidRPr="00C933C4">
        <w:rPr>
          <w:rFonts w:ascii="Times New Roman" w:hAnsi="Times New Roman"/>
          <w:lang w:val="fr-BE"/>
        </w:rPr>
        <w:t>, la Commission estime qu’elles ne relèvent pas du droit de regard, qui se limite à la question de savoir si le projet d’acte d’exécution va au-delà des compétences d’exécution prévues dans l’acte de base. La Commission n’est pas tenue de justifier ces points précis du projet d’acte d’exécution. Néanmoins, la Commission a examiné avec attention les positions exprimées par le Parlement européen et souhaite formuler les commentaires suivants:</w:t>
      </w:r>
    </w:p>
    <w:p w:rsidR="00F60EF2" w:rsidRPr="00C933C4" w:rsidRDefault="00F60EF2" w:rsidP="00F60EF2">
      <w:pPr>
        <w:numPr>
          <w:ilvl w:val="0"/>
          <w:numId w:val="3"/>
        </w:numPr>
        <w:spacing w:after="120"/>
        <w:ind w:left="1080"/>
        <w:rPr>
          <w:rFonts w:ascii="Times New Roman" w:hAnsi="Times New Roman"/>
          <w:i/>
          <w:szCs w:val="24"/>
          <w:lang w:val="fr-BE"/>
        </w:rPr>
      </w:pPr>
      <w:r w:rsidRPr="00C933C4">
        <w:rPr>
          <w:rFonts w:ascii="Times New Roman" w:hAnsi="Times New Roman"/>
          <w:lang w:val="fr-BE"/>
        </w:rPr>
        <w:t xml:space="preserve">en ce qui concerne les préoccupations spécifiques soulevées dans les </w:t>
      </w:r>
      <w:r w:rsidRPr="00C933C4">
        <w:rPr>
          <w:rFonts w:ascii="Times New Roman" w:hAnsi="Times New Roman"/>
          <w:b/>
          <w:lang w:val="fr-BE"/>
        </w:rPr>
        <w:t>considérants E, F, G et H</w:t>
      </w:r>
      <w:r w:rsidRPr="00C933C4">
        <w:rPr>
          <w:rFonts w:ascii="Times New Roman" w:hAnsi="Times New Roman"/>
          <w:lang w:val="fr-BE"/>
        </w:rPr>
        <w:t>, la Commission tient à souligner que l’analyse bio-informatique des gènes «non ciblés» a été réalisée conformément au règlement d’exécution (UE) nº </w:t>
      </w:r>
      <w:r w:rsidRPr="00B70F74">
        <w:rPr>
          <w:rFonts w:ascii="Times New Roman" w:hAnsi="Times New Roman"/>
          <w:lang w:val="fr-BE"/>
        </w:rPr>
        <w:t>503</w:t>
      </w:r>
      <w:r w:rsidRPr="00C933C4">
        <w:rPr>
          <w:rFonts w:ascii="Times New Roman" w:hAnsi="Times New Roman"/>
          <w:lang w:val="fr-BE"/>
        </w:rPr>
        <w:t>/</w:t>
      </w:r>
      <w:r w:rsidRPr="00B70F74">
        <w:rPr>
          <w:rFonts w:ascii="Times New Roman" w:hAnsi="Times New Roman"/>
          <w:lang w:val="fr-BE"/>
        </w:rPr>
        <w:t>2013</w:t>
      </w:r>
      <w:r w:rsidRPr="00C933C4">
        <w:rPr>
          <w:rFonts w:ascii="Times New Roman" w:hAnsi="Times New Roman"/>
          <w:lang w:val="fr-BE"/>
        </w:rPr>
        <w:t>, aux lignes directrices de l’EFSA</w:t>
      </w:r>
      <w:r>
        <w:rPr>
          <w:rStyle w:val="FootnoteReference"/>
          <w:rFonts w:ascii="Times New Roman" w:hAnsi="Times New Roman"/>
        </w:rPr>
        <w:footnoteReference w:id="2"/>
      </w:r>
      <w:r w:rsidRPr="00C933C4">
        <w:rPr>
          <w:rFonts w:ascii="Times New Roman" w:hAnsi="Times New Roman"/>
          <w:lang w:val="fr-BE"/>
        </w:rPr>
        <w:t xml:space="preserve"> et aux connaissances scientifiques actuelles</w:t>
      </w:r>
      <w:r>
        <w:rPr>
          <w:rStyle w:val="FootnoteReference"/>
          <w:rFonts w:ascii="Times New Roman" w:hAnsi="Times New Roman"/>
        </w:rPr>
        <w:footnoteReference w:id="3"/>
      </w:r>
      <w:r w:rsidRPr="00C933C4">
        <w:rPr>
          <w:rFonts w:ascii="Times New Roman" w:hAnsi="Times New Roman"/>
          <w:lang w:val="fr-BE"/>
        </w:rPr>
        <w:t xml:space="preserve">. L’EFSA a soigneusement évalué l’analyse </w:t>
      </w:r>
      <w:r w:rsidRPr="00C933C4">
        <w:rPr>
          <w:rFonts w:ascii="Times New Roman" w:hAnsi="Times New Roman"/>
          <w:lang w:val="fr-BE"/>
        </w:rPr>
        <w:lastRenderedPageBreak/>
        <w:t>et conclu qu’il n’y a pas d’effet non ciblé lié à l’expression de l’</w:t>
      </w:r>
      <w:proofErr w:type="spellStart"/>
      <w:r w:rsidRPr="00C933C4">
        <w:rPr>
          <w:rFonts w:ascii="Times New Roman" w:hAnsi="Times New Roman"/>
          <w:lang w:val="fr-BE"/>
        </w:rPr>
        <w:t>ARNdb</w:t>
      </w:r>
      <w:proofErr w:type="spellEnd"/>
      <w:r w:rsidRPr="00C933C4">
        <w:rPr>
          <w:rFonts w:ascii="Times New Roman" w:hAnsi="Times New Roman"/>
          <w:lang w:val="fr-BE"/>
        </w:rPr>
        <w:t xml:space="preserve"> qui exige une évaluation plus approfondie de la sécurité;</w:t>
      </w:r>
    </w:p>
    <w:p w:rsidR="00F60EF2" w:rsidRPr="00C933C4" w:rsidRDefault="00F60EF2" w:rsidP="00F60EF2">
      <w:pPr>
        <w:numPr>
          <w:ilvl w:val="0"/>
          <w:numId w:val="3"/>
        </w:numPr>
        <w:spacing w:after="120"/>
        <w:ind w:left="1080"/>
        <w:rPr>
          <w:rFonts w:ascii="Times New Roman" w:hAnsi="Times New Roman"/>
          <w:szCs w:val="24"/>
          <w:lang w:val="fr-BE"/>
        </w:rPr>
      </w:pPr>
      <w:proofErr w:type="gramStart"/>
      <w:r w:rsidRPr="00C933C4">
        <w:rPr>
          <w:rFonts w:ascii="Times New Roman" w:hAnsi="Times New Roman"/>
          <w:lang w:val="fr-BE"/>
        </w:rPr>
        <w:t>en</w:t>
      </w:r>
      <w:proofErr w:type="gramEnd"/>
      <w:r w:rsidRPr="00C933C4">
        <w:rPr>
          <w:rFonts w:ascii="Times New Roman" w:hAnsi="Times New Roman"/>
          <w:lang w:val="fr-BE"/>
        </w:rPr>
        <w:t xml:space="preserve"> ce qui concerne les préoccupations soulevées dans le </w:t>
      </w:r>
      <w:r w:rsidRPr="00C933C4">
        <w:rPr>
          <w:rFonts w:ascii="Times New Roman" w:hAnsi="Times New Roman"/>
          <w:b/>
          <w:lang w:val="fr-BE"/>
        </w:rPr>
        <w:t>considérant I</w:t>
      </w:r>
      <w:r w:rsidRPr="00C933C4">
        <w:rPr>
          <w:rFonts w:ascii="Times New Roman" w:hAnsi="Times New Roman"/>
          <w:lang w:val="fr-BE"/>
        </w:rPr>
        <w:t>, la Commission tient à souligner que l’EFSA a effectué une analyse minutieuse et exhaustive de l’étude de l’alimentation sur </w:t>
      </w:r>
      <w:r w:rsidRPr="00B70F74">
        <w:rPr>
          <w:rFonts w:ascii="Times New Roman" w:hAnsi="Times New Roman"/>
          <w:lang w:val="fr-BE"/>
        </w:rPr>
        <w:t>90</w:t>
      </w:r>
      <w:r w:rsidRPr="00C933C4">
        <w:rPr>
          <w:rFonts w:ascii="Times New Roman" w:hAnsi="Times New Roman"/>
          <w:lang w:val="fr-BE"/>
        </w:rPr>
        <w:t> jours, conformément au règlement d’exécution (UE) nº </w:t>
      </w:r>
      <w:r w:rsidRPr="00B70F74">
        <w:rPr>
          <w:rFonts w:ascii="Times New Roman" w:hAnsi="Times New Roman"/>
          <w:lang w:val="fr-BE"/>
        </w:rPr>
        <w:t>503</w:t>
      </w:r>
      <w:r w:rsidRPr="00C933C4">
        <w:rPr>
          <w:rFonts w:ascii="Times New Roman" w:hAnsi="Times New Roman"/>
          <w:lang w:val="fr-BE"/>
        </w:rPr>
        <w:t>/</w:t>
      </w:r>
      <w:r w:rsidRPr="00B70F74">
        <w:rPr>
          <w:rFonts w:ascii="Times New Roman" w:hAnsi="Times New Roman"/>
          <w:lang w:val="fr-BE"/>
        </w:rPr>
        <w:t>2013</w:t>
      </w:r>
      <w:r w:rsidRPr="00C933C4">
        <w:rPr>
          <w:rFonts w:ascii="Times New Roman" w:hAnsi="Times New Roman"/>
          <w:lang w:val="fr-BE"/>
        </w:rPr>
        <w:t xml:space="preserve"> et à ses propres documents d’orientation. L’EFSA a soigneusement évalué la diminution importante du poids corporel, observée à la suite d’une consommation alimentaire moyenne significativement inférieure sur les mâles nourris avec le régime d’essai, et a conclu qu’en l’absence de signes cliniques et d’altérations </w:t>
      </w:r>
      <w:proofErr w:type="spellStart"/>
      <w:r w:rsidRPr="00C933C4">
        <w:rPr>
          <w:rFonts w:ascii="Times New Roman" w:hAnsi="Times New Roman"/>
          <w:lang w:val="fr-BE"/>
        </w:rPr>
        <w:t>histopathologiques</w:t>
      </w:r>
      <w:proofErr w:type="spellEnd"/>
      <w:r w:rsidRPr="00C933C4">
        <w:rPr>
          <w:rFonts w:ascii="Times New Roman" w:hAnsi="Times New Roman"/>
          <w:lang w:val="fr-BE"/>
        </w:rPr>
        <w:t xml:space="preserve"> dans le tube digestif, cette observation n’était pas un effet indésirable;</w:t>
      </w:r>
    </w:p>
    <w:p w:rsidR="00F60EF2" w:rsidRPr="00C933C4" w:rsidRDefault="00F60EF2" w:rsidP="00F60EF2">
      <w:pPr>
        <w:numPr>
          <w:ilvl w:val="0"/>
          <w:numId w:val="3"/>
        </w:numPr>
        <w:spacing w:after="120"/>
        <w:ind w:left="1080"/>
        <w:rPr>
          <w:rFonts w:ascii="Times New Roman" w:hAnsi="Times New Roman"/>
          <w:i/>
          <w:szCs w:val="24"/>
          <w:lang w:val="fr-BE"/>
        </w:rPr>
      </w:pPr>
      <w:r w:rsidRPr="00C933C4">
        <w:rPr>
          <w:rFonts w:ascii="Times New Roman" w:hAnsi="Times New Roman"/>
          <w:lang w:val="fr-BE"/>
        </w:rPr>
        <w:t xml:space="preserve">en ce qui concerne les préoccupations soulevées dans le </w:t>
      </w:r>
      <w:r w:rsidRPr="00C933C4">
        <w:rPr>
          <w:rFonts w:ascii="Times New Roman" w:hAnsi="Times New Roman"/>
          <w:b/>
          <w:lang w:val="fr-BE"/>
        </w:rPr>
        <w:t>considérant J</w:t>
      </w:r>
      <w:r w:rsidRPr="00C933C4">
        <w:rPr>
          <w:rFonts w:ascii="Times New Roman" w:hAnsi="Times New Roman"/>
          <w:lang w:val="fr-BE"/>
        </w:rPr>
        <w:t>, la Commission tient à souligner que l’influence potentielle des herbicides sur la composition des cultures génétiquement modifiées tolérantes aux herbicides est prise en compte dans l’évaluation des risques réalisée par l’EFSA, étant donné que les cultures génétiquement modifiées ayant fait l’objet de pulvérisations au moyen de l’herbicide envisagé sont évaluées sous l’angle des modifications potentielles de leur composition et de leurs caractéristiques agronomiques et phénotypiques. En cas de modifications significatives, des études complémentaires, y compris des études de toxicité, seraient requises au cas par cas lors de l’évaluation des risques;</w:t>
      </w:r>
    </w:p>
    <w:p w:rsidR="00F60EF2" w:rsidRPr="00C933C4" w:rsidRDefault="00F60EF2" w:rsidP="00F60EF2">
      <w:pPr>
        <w:numPr>
          <w:ilvl w:val="0"/>
          <w:numId w:val="3"/>
        </w:numPr>
        <w:spacing w:after="120"/>
        <w:ind w:left="1080"/>
        <w:rPr>
          <w:rFonts w:ascii="Times New Roman" w:hAnsi="Times New Roman"/>
          <w:i/>
          <w:szCs w:val="24"/>
          <w:lang w:val="fr-BE"/>
        </w:rPr>
      </w:pPr>
      <w:proofErr w:type="gramStart"/>
      <w:r w:rsidRPr="00C933C4">
        <w:rPr>
          <w:rFonts w:ascii="Times New Roman" w:hAnsi="Times New Roman"/>
          <w:lang w:val="fr-BE"/>
        </w:rPr>
        <w:t>en</w:t>
      </w:r>
      <w:proofErr w:type="gramEnd"/>
      <w:r w:rsidRPr="00C933C4">
        <w:rPr>
          <w:rFonts w:ascii="Times New Roman" w:hAnsi="Times New Roman"/>
          <w:lang w:val="fr-BE"/>
        </w:rPr>
        <w:t xml:space="preserve"> ce qui concerne les préoccupations liées aux produits phytopharmaceutiques (</w:t>
      </w:r>
      <w:r w:rsidRPr="00C933C4">
        <w:rPr>
          <w:rFonts w:ascii="Times New Roman" w:hAnsi="Times New Roman"/>
          <w:b/>
          <w:lang w:val="fr-BE"/>
        </w:rPr>
        <w:t>considérants L et N</w:t>
      </w:r>
      <w:r w:rsidRPr="00C933C4">
        <w:rPr>
          <w:rFonts w:ascii="Times New Roman" w:hAnsi="Times New Roman"/>
          <w:lang w:val="fr-BE"/>
        </w:rPr>
        <w:t>), la Commission tient à souligner que l’évaluation des risques menée dans le cadre d’une demande d’utilisation de cultures tolérantes aux herbicides dans les denrées alimentaires et les aliments pour animaux cible essentiellement les effets potentiels de la modification génétique sur la santé humaine et animale et sur l’environnement. L’évaluation des risques et l’autorisation des herbicides sont soumises aux procédures définies dans le règlement (CE) nº </w:t>
      </w:r>
      <w:r w:rsidRPr="00B70F74">
        <w:rPr>
          <w:rFonts w:ascii="Times New Roman" w:hAnsi="Times New Roman"/>
          <w:lang w:val="fr-BE"/>
        </w:rPr>
        <w:t>1107</w:t>
      </w:r>
      <w:r w:rsidRPr="00C933C4">
        <w:rPr>
          <w:rFonts w:ascii="Times New Roman" w:hAnsi="Times New Roman"/>
          <w:lang w:val="fr-BE"/>
        </w:rPr>
        <w:t>/</w:t>
      </w:r>
      <w:r w:rsidRPr="00B70F74">
        <w:rPr>
          <w:rFonts w:ascii="Times New Roman" w:hAnsi="Times New Roman"/>
          <w:lang w:val="fr-BE"/>
        </w:rPr>
        <w:t>2009</w:t>
      </w:r>
      <w:r w:rsidRPr="00C933C4">
        <w:rPr>
          <w:rFonts w:ascii="Times New Roman" w:hAnsi="Times New Roman"/>
          <w:lang w:val="fr-BE"/>
        </w:rPr>
        <w:t>, et les limites maximales applicables aux résidus (LMR) sont établies conformément au règlement (CE) nº </w:t>
      </w:r>
      <w:r w:rsidRPr="00B70F74">
        <w:rPr>
          <w:rFonts w:ascii="Times New Roman" w:hAnsi="Times New Roman"/>
          <w:lang w:val="fr-BE"/>
        </w:rPr>
        <w:t>396</w:t>
      </w:r>
      <w:r w:rsidRPr="00C933C4">
        <w:rPr>
          <w:rFonts w:ascii="Times New Roman" w:hAnsi="Times New Roman"/>
          <w:lang w:val="fr-BE"/>
        </w:rPr>
        <w:t>/</w:t>
      </w:r>
      <w:r w:rsidRPr="00B70F74">
        <w:rPr>
          <w:rFonts w:ascii="Times New Roman" w:hAnsi="Times New Roman"/>
          <w:lang w:val="fr-BE"/>
        </w:rPr>
        <w:t>2005</w:t>
      </w:r>
      <w:r w:rsidRPr="00C933C4">
        <w:rPr>
          <w:rFonts w:ascii="Times New Roman" w:hAnsi="Times New Roman"/>
          <w:lang w:val="fr-BE"/>
        </w:rPr>
        <w:t>;</w:t>
      </w:r>
    </w:p>
    <w:p w:rsidR="00F60EF2" w:rsidRPr="00C933C4" w:rsidRDefault="00F60EF2" w:rsidP="00F60EF2">
      <w:pPr>
        <w:numPr>
          <w:ilvl w:val="0"/>
          <w:numId w:val="3"/>
        </w:numPr>
        <w:spacing w:after="120"/>
        <w:ind w:left="1080"/>
        <w:rPr>
          <w:rFonts w:ascii="Times New Roman" w:hAnsi="Times New Roman"/>
          <w:sz w:val="22"/>
          <w:lang w:val="fr-BE"/>
        </w:rPr>
      </w:pPr>
      <w:proofErr w:type="gramStart"/>
      <w:r w:rsidRPr="00C933C4">
        <w:rPr>
          <w:rFonts w:ascii="Times New Roman" w:hAnsi="Times New Roman"/>
          <w:lang w:val="fr-BE"/>
        </w:rPr>
        <w:t>en</w:t>
      </w:r>
      <w:proofErr w:type="gramEnd"/>
      <w:r w:rsidRPr="00C933C4">
        <w:rPr>
          <w:rFonts w:ascii="Times New Roman" w:hAnsi="Times New Roman"/>
          <w:lang w:val="fr-BE"/>
        </w:rPr>
        <w:t xml:space="preserve"> ce qui concerne la préoccupation spécifique soulevée dans le </w:t>
      </w:r>
      <w:r w:rsidRPr="00C933C4">
        <w:rPr>
          <w:rFonts w:ascii="Times New Roman" w:hAnsi="Times New Roman"/>
          <w:b/>
          <w:lang w:val="fr-BE"/>
        </w:rPr>
        <w:t>considérant O</w:t>
      </w:r>
      <w:r w:rsidRPr="00C933C4">
        <w:rPr>
          <w:rFonts w:ascii="Times New Roman" w:hAnsi="Times New Roman"/>
          <w:lang w:val="fr-BE"/>
        </w:rPr>
        <w:t>, la Commission tient à mentionner qu’outre le programme pluriannuel de contrôle coordonné de l’Union relatif aux résidus de pesticides, prévu par l’article </w:t>
      </w:r>
      <w:r w:rsidRPr="00B70F74">
        <w:rPr>
          <w:rFonts w:ascii="Times New Roman" w:hAnsi="Times New Roman"/>
          <w:lang w:val="fr-BE"/>
        </w:rPr>
        <w:t>29</w:t>
      </w:r>
      <w:r w:rsidRPr="00C933C4">
        <w:rPr>
          <w:rFonts w:ascii="Times New Roman" w:hAnsi="Times New Roman"/>
          <w:lang w:val="fr-BE"/>
        </w:rPr>
        <w:t xml:space="preserve"> du règlement (CE) nº </w:t>
      </w:r>
      <w:r w:rsidRPr="00B70F74">
        <w:rPr>
          <w:rFonts w:ascii="Times New Roman" w:hAnsi="Times New Roman"/>
          <w:lang w:val="fr-BE"/>
        </w:rPr>
        <w:t>396</w:t>
      </w:r>
      <w:r w:rsidRPr="00C933C4">
        <w:rPr>
          <w:rFonts w:ascii="Times New Roman" w:hAnsi="Times New Roman"/>
          <w:lang w:val="fr-BE"/>
        </w:rPr>
        <w:t>/</w:t>
      </w:r>
      <w:r w:rsidRPr="00B70F74">
        <w:rPr>
          <w:rFonts w:ascii="Times New Roman" w:hAnsi="Times New Roman"/>
          <w:lang w:val="fr-BE"/>
        </w:rPr>
        <w:t>2005</w:t>
      </w:r>
      <w:r w:rsidRPr="00C933C4">
        <w:rPr>
          <w:rFonts w:ascii="Times New Roman" w:hAnsi="Times New Roman"/>
          <w:lang w:val="fr-BE"/>
        </w:rPr>
        <w:t>, et comme le prévoit l’article </w:t>
      </w:r>
      <w:r w:rsidRPr="00B70F74">
        <w:rPr>
          <w:rFonts w:ascii="Times New Roman" w:hAnsi="Times New Roman"/>
          <w:lang w:val="fr-BE"/>
        </w:rPr>
        <w:t>15</w:t>
      </w:r>
      <w:r w:rsidRPr="00C933C4">
        <w:rPr>
          <w:rFonts w:ascii="Times New Roman" w:hAnsi="Times New Roman"/>
          <w:lang w:val="fr-BE"/>
        </w:rPr>
        <w:t>, paragraphe </w:t>
      </w:r>
      <w:r w:rsidRPr="00B70F74">
        <w:rPr>
          <w:rFonts w:ascii="Times New Roman" w:hAnsi="Times New Roman"/>
          <w:lang w:val="fr-BE"/>
        </w:rPr>
        <w:t>1</w:t>
      </w:r>
      <w:r w:rsidRPr="00C933C4">
        <w:rPr>
          <w:rFonts w:ascii="Times New Roman" w:hAnsi="Times New Roman"/>
          <w:lang w:val="fr-BE"/>
        </w:rPr>
        <w:t>, du règlement (CE) nº </w:t>
      </w:r>
      <w:r w:rsidRPr="00B70F74">
        <w:rPr>
          <w:rFonts w:ascii="Times New Roman" w:hAnsi="Times New Roman"/>
          <w:lang w:val="fr-BE"/>
        </w:rPr>
        <w:t>882</w:t>
      </w:r>
      <w:r w:rsidRPr="00C933C4">
        <w:rPr>
          <w:rFonts w:ascii="Times New Roman" w:hAnsi="Times New Roman"/>
          <w:lang w:val="fr-BE"/>
        </w:rPr>
        <w:t>/</w:t>
      </w:r>
      <w:r w:rsidRPr="00B70F74">
        <w:rPr>
          <w:rFonts w:ascii="Times New Roman" w:hAnsi="Times New Roman"/>
          <w:lang w:val="fr-BE"/>
        </w:rPr>
        <w:t>2004</w:t>
      </w:r>
      <w:r w:rsidRPr="00C933C4">
        <w:rPr>
          <w:rFonts w:ascii="Times New Roman" w:hAnsi="Times New Roman"/>
          <w:lang w:val="fr-BE"/>
        </w:rPr>
        <w:t>, les États membres sont également tenus d’établir des plans nationaux de contrôle pluriannuels. Il appartient donc aux États membres d’évaluer le risque potentiel de ces herbicides sur le maïs importé et d’établir leur plan national de contrôle en conséquence;</w:t>
      </w:r>
    </w:p>
    <w:p w:rsidR="00F60EF2" w:rsidRPr="00C933C4" w:rsidRDefault="00F60EF2" w:rsidP="00F60EF2">
      <w:pPr>
        <w:numPr>
          <w:ilvl w:val="0"/>
          <w:numId w:val="3"/>
        </w:numPr>
        <w:spacing w:after="120"/>
        <w:ind w:left="1080"/>
        <w:rPr>
          <w:rFonts w:ascii="Times New Roman" w:hAnsi="Times New Roman"/>
          <w:szCs w:val="24"/>
          <w:lang w:val="fr-BE"/>
        </w:rPr>
      </w:pPr>
      <w:r w:rsidRPr="00C933C4">
        <w:rPr>
          <w:rFonts w:ascii="Times New Roman" w:hAnsi="Times New Roman"/>
          <w:lang w:val="fr-BE"/>
        </w:rPr>
        <w:t xml:space="preserve">en ce qui concerne les commentaires figurant dans les </w:t>
      </w:r>
      <w:r w:rsidRPr="00C933C4">
        <w:rPr>
          <w:rFonts w:ascii="Times New Roman" w:hAnsi="Times New Roman"/>
          <w:b/>
          <w:lang w:val="fr-BE"/>
        </w:rPr>
        <w:t>considérants Q et R</w:t>
      </w:r>
      <w:r w:rsidRPr="00C933C4">
        <w:rPr>
          <w:rFonts w:ascii="Times New Roman" w:hAnsi="Times New Roman"/>
          <w:lang w:val="fr-BE"/>
        </w:rPr>
        <w:t xml:space="preserve"> et ayant trait à la proposition législative de la Commission visant à modifier le règlement (CE) nº </w:t>
      </w:r>
      <w:r w:rsidRPr="00B70F74">
        <w:rPr>
          <w:rFonts w:ascii="Times New Roman" w:hAnsi="Times New Roman"/>
          <w:lang w:val="fr-BE"/>
        </w:rPr>
        <w:t>1829</w:t>
      </w:r>
      <w:r w:rsidRPr="00C933C4">
        <w:rPr>
          <w:rFonts w:ascii="Times New Roman" w:hAnsi="Times New Roman"/>
          <w:lang w:val="fr-BE"/>
        </w:rPr>
        <w:t>/</w:t>
      </w:r>
      <w:r w:rsidRPr="00B70F74">
        <w:rPr>
          <w:rFonts w:ascii="Times New Roman" w:hAnsi="Times New Roman"/>
          <w:lang w:val="fr-BE"/>
        </w:rPr>
        <w:t>2003</w:t>
      </w:r>
      <w:r w:rsidRPr="00C933C4">
        <w:rPr>
          <w:rFonts w:ascii="Times New Roman" w:hAnsi="Times New Roman"/>
          <w:lang w:val="fr-BE"/>
        </w:rPr>
        <w:t xml:space="preserve"> en ce qui concerne la possibilité pour les États membres de restreindre ou d’interdire sur leur territoire l’utilisation de denrées alimentaires et d’aliments pour animaux génétiquement modifiés, la Commission souhaite rappeler qu’elle déplore la décision du Parlement européen du </w:t>
      </w:r>
      <w:r w:rsidRPr="00B70F74">
        <w:rPr>
          <w:rFonts w:ascii="Times New Roman" w:hAnsi="Times New Roman"/>
          <w:lang w:val="fr-BE"/>
        </w:rPr>
        <w:t>28</w:t>
      </w:r>
      <w:r w:rsidRPr="00C933C4">
        <w:rPr>
          <w:rFonts w:ascii="Times New Roman" w:hAnsi="Times New Roman"/>
          <w:lang w:val="fr-BE"/>
        </w:rPr>
        <w:t> octobre </w:t>
      </w:r>
      <w:r w:rsidRPr="00B70F74">
        <w:rPr>
          <w:rFonts w:ascii="Times New Roman" w:hAnsi="Times New Roman"/>
          <w:lang w:val="fr-BE"/>
        </w:rPr>
        <w:t>2015</w:t>
      </w:r>
      <w:r w:rsidRPr="00C933C4">
        <w:rPr>
          <w:rFonts w:ascii="Times New Roman" w:hAnsi="Times New Roman"/>
          <w:lang w:val="fr-BE"/>
        </w:rPr>
        <w:t xml:space="preserve"> rejetant ladite proposition. La Commission maintient sa proposition originale qui, si elle était adoptée, permettrait aux États membres de répondre au niveau national à des considérations qui ne sont pas couvertes par le processus de prise de décision de l’Union;</w:t>
      </w:r>
    </w:p>
    <w:p w:rsidR="00F60EF2" w:rsidRPr="00C933C4" w:rsidRDefault="00F60EF2" w:rsidP="00F60EF2">
      <w:pPr>
        <w:numPr>
          <w:ilvl w:val="0"/>
          <w:numId w:val="3"/>
        </w:numPr>
        <w:spacing w:after="120"/>
        <w:ind w:left="1080"/>
        <w:rPr>
          <w:rFonts w:ascii="Times New Roman" w:hAnsi="Times New Roman"/>
          <w:szCs w:val="24"/>
          <w:lang w:val="fr-BE"/>
        </w:rPr>
      </w:pPr>
      <w:proofErr w:type="gramStart"/>
      <w:r w:rsidRPr="00C933C4">
        <w:rPr>
          <w:rFonts w:ascii="Times New Roman" w:hAnsi="Times New Roman"/>
          <w:lang w:val="fr-BE"/>
        </w:rPr>
        <w:lastRenderedPageBreak/>
        <w:t>en</w:t>
      </w:r>
      <w:proofErr w:type="gramEnd"/>
      <w:r w:rsidRPr="00C933C4">
        <w:rPr>
          <w:rFonts w:ascii="Times New Roman" w:hAnsi="Times New Roman"/>
          <w:lang w:val="fr-BE"/>
        </w:rPr>
        <w:t xml:space="preserve"> outre, en ce qui concerne le manque de soutien des États membres en faveur des décisions d’autorisation d’OGM pour l’alimentation humaine et animale </w:t>
      </w:r>
      <w:r w:rsidRPr="00C933C4">
        <w:rPr>
          <w:rFonts w:ascii="Times New Roman" w:hAnsi="Times New Roman"/>
          <w:b/>
          <w:lang w:val="fr-BE"/>
        </w:rPr>
        <w:t>(considérant P)</w:t>
      </w:r>
      <w:r w:rsidRPr="00C933C4">
        <w:rPr>
          <w:rFonts w:ascii="Times New Roman" w:hAnsi="Times New Roman"/>
          <w:lang w:val="fr-BE"/>
        </w:rPr>
        <w:t xml:space="preserve">, la Commission a présenté au Conseil et au Parlement européen, le </w:t>
      </w:r>
      <w:r w:rsidRPr="00B70F74">
        <w:rPr>
          <w:rFonts w:ascii="Times New Roman" w:hAnsi="Times New Roman"/>
          <w:lang w:val="fr-BE"/>
        </w:rPr>
        <w:t>14</w:t>
      </w:r>
      <w:r w:rsidRPr="00C933C4">
        <w:rPr>
          <w:rFonts w:ascii="Times New Roman" w:hAnsi="Times New Roman"/>
          <w:lang w:val="fr-BE"/>
        </w:rPr>
        <w:t> février </w:t>
      </w:r>
      <w:r w:rsidRPr="00B70F74">
        <w:rPr>
          <w:rFonts w:ascii="Times New Roman" w:hAnsi="Times New Roman"/>
          <w:lang w:val="fr-BE"/>
        </w:rPr>
        <w:t>2017</w:t>
      </w:r>
      <w:r w:rsidRPr="00C933C4">
        <w:rPr>
          <w:rFonts w:ascii="Times New Roman" w:hAnsi="Times New Roman"/>
          <w:lang w:val="fr-BE"/>
        </w:rPr>
        <w:t xml:space="preserve">, une proposition visant à modifier les règles de vote du comité d’appel, qui, si elle était adoptée par les </w:t>
      </w:r>
      <w:proofErr w:type="spellStart"/>
      <w:r w:rsidRPr="00C933C4">
        <w:rPr>
          <w:rFonts w:ascii="Times New Roman" w:hAnsi="Times New Roman"/>
          <w:lang w:val="fr-BE"/>
        </w:rPr>
        <w:t>colégislateurs</w:t>
      </w:r>
      <w:proofErr w:type="spellEnd"/>
      <w:r w:rsidRPr="00C933C4">
        <w:rPr>
          <w:rFonts w:ascii="Times New Roman" w:hAnsi="Times New Roman"/>
          <w:lang w:val="fr-BE"/>
        </w:rPr>
        <w:t>, renforcerait la transparence et la responsabilité dans le processus de prise de décision relatif aux OGM;</w:t>
      </w:r>
    </w:p>
    <w:p w:rsidR="00F60EF2" w:rsidRPr="00C933C4" w:rsidRDefault="00F60EF2" w:rsidP="00F60EF2">
      <w:pPr>
        <w:pStyle w:val="ListBullet"/>
        <w:numPr>
          <w:ilvl w:val="0"/>
          <w:numId w:val="3"/>
        </w:numPr>
        <w:spacing w:after="120"/>
        <w:ind w:left="1080"/>
        <w:rPr>
          <w:rFonts w:ascii="Times New Roman" w:hAnsi="Times New Roman"/>
          <w:szCs w:val="24"/>
          <w:lang w:val="fr-BE"/>
        </w:rPr>
      </w:pPr>
      <w:proofErr w:type="gramStart"/>
      <w:r w:rsidRPr="00C933C4">
        <w:rPr>
          <w:rFonts w:ascii="Times New Roman" w:hAnsi="Times New Roman"/>
          <w:lang w:val="fr-BE"/>
        </w:rPr>
        <w:t>en</w:t>
      </w:r>
      <w:proofErr w:type="gramEnd"/>
      <w:r w:rsidRPr="00C933C4">
        <w:rPr>
          <w:rFonts w:ascii="Times New Roman" w:hAnsi="Times New Roman"/>
          <w:lang w:val="fr-BE"/>
        </w:rPr>
        <w:t xml:space="preserve"> conclusion, la Commission tient à souligner que, comme pour toute procédure législative soumise dans le cadre de la procédure législative ordinaire, les règles en vigueur continuent de s’appliquer pendant les négociations entre les </w:t>
      </w:r>
      <w:proofErr w:type="spellStart"/>
      <w:r w:rsidRPr="00C933C4">
        <w:rPr>
          <w:rFonts w:ascii="Times New Roman" w:hAnsi="Times New Roman"/>
          <w:lang w:val="fr-BE"/>
        </w:rPr>
        <w:t>colégislateurs</w:t>
      </w:r>
      <w:proofErr w:type="spellEnd"/>
      <w:r w:rsidRPr="00C933C4">
        <w:rPr>
          <w:rFonts w:ascii="Times New Roman" w:hAnsi="Times New Roman"/>
          <w:lang w:val="fr-BE"/>
        </w:rPr>
        <w:t xml:space="preserve"> et jusqu’à l’obtention d’un accord définitif. En conséquence, la Commission doit continuer de traiter les demandes relatives aux denrées alimentaires et aux aliments pour animaux génétiquement modifiés.</w:t>
      </w:r>
    </w:p>
    <w:p w:rsidR="00680EFD" w:rsidRPr="00F60EF2" w:rsidRDefault="00680EFD">
      <w:pPr>
        <w:rPr>
          <w:lang w:val="fr-BE"/>
        </w:rPr>
      </w:pPr>
    </w:p>
    <w:sectPr w:rsidR="00680EFD" w:rsidRPr="00F60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EF2" w:rsidRDefault="00F60EF2" w:rsidP="00F60EF2">
      <w:pPr>
        <w:spacing w:after="0"/>
      </w:pPr>
      <w:r>
        <w:separator/>
      </w:r>
    </w:p>
  </w:endnote>
  <w:endnote w:type="continuationSeparator" w:id="0">
    <w:p w:rsidR="00F60EF2" w:rsidRDefault="00F60EF2" w:rsidP="00F60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EF2" w:rsidRDefault="00F60EF2" w:rsidP="00F60EF2">
      <w:pPr>
        <w:spacing w:after="0"/>
      </w:pPr>
      <w:r>
        <w:separator/>
      </w:r>
    </w:p>
  </w:footnote>
  <w:footnote w:type="continuationSeparator" w:id="0">
    <w:p w:rsidR="00F60EF2" w:rsidRDefault="00F60EF2" w:rsidP="00F60EF2">
      <w:pPr>
        <w:spacing w:after="0"/>
      </w:pPr>
      <w:r>
        <w:continuationSeparator/>
      </w:r>
    </w:p>
  </w:footnote>
  <w:footnote w:id="1">
    <w:p w:rsidR="00F60EF2" w:rsidRPr="00F60EF2" w:rsidRDefault="00F60EF2" w:rsidP="00F60EF2">
      <w:pPr>
        <w:pStyle w:val="FootnoteText"/>
        <w:spacing w:after="0"/>
        <w:rPr>
          <w:rFonts w:ascii="Times New Roman" w:hAnsi="Times New Roman"/>
          <w:lang w:val="de-DE"/>
        </w:rPr>
      </w:pPr>
      <w:bookmarkStart w:id="0" w:name="_GoBack"/>
      <w:r w:rsidRPr="00F60EF2">
        <w:rPr>
          <w:rStyle w:val="FootnoteReference"/>
          <w:rFonts w:ascii="Times New Roman" w:hAnsi="Times New Roman"/>
        </w:rPr>
        <w:footnoteRef/>
      </w:r>
      <w:r w:rsidRPr="00F60EF2">
        <w:rPr>
          <w:rStyle w:val="FootnoteReference"/>
          <w:rFonts w:ascii="Times New Roman" w:hAnsi="Times New Roman"/>
          <w:lang w:val="de-DE"/>
        </w:rPr>
        <w:t xml:space="preserve"> </w:t>
      </w:r>
      <w:r w:rsidRPr="00F60EF2">
        <w:rPr>
          <w:rFonts w:ascii="Times New Roman" w:hAnsi="Times New Roman"/>
          <w:lang w:val="de-DE"/>
        </w:rPr>
        <w:tab/>
      </w:r>
      <w:hyperlink r:id="rId1">
        <w:r w:rsidRPr="00F60EF2">
          <w:rPr>
            <w:rStyle w:val="Hyperlink"/>
            <w:rFonts w:ascii="Times New Roman" w:hAnsi="Times New Roman"/>
            <w:color w:val="auto"/>
            <w:lang w:val="de-DE"/>
          </w:rPr>
          <w:t>http://ec.europa.eu/food/plant/gmo/public_consultations/index_en.htm</w:t>
        </w:r>
      </w:hyperlink>
    </w:p>
  </w:footnote>
  <w:footnote w:id="2">
    <w:p w:rsidR="00F60EF2" w:rsidRPr="00F60EF2" w:rsidRDefault="00F60EF2" w:rsidP="00F60EF2">
      <w:pPr>
        <w:pStyle w:val="FootnoteText"/>
        <w:spacing w:after="0"/>
        <w:rPr>
          <w:rFonts w:ascii="Times New Roman" w:hAnsi="Times New Roman"/>
          <w:lang w:val="fr-BE"/>
        </w:rPr>
      </w:pPr>
      <w:r w:rsidRPr="00F60EF2">
        <w:rPr>
          <w:rStyle w:val="FootnoteReference"/>
          <w:rFonts w:ascii="Times New Roman" w:hAnsi="Times New Roman"/>
        </w:rPr>
        <w:footnoteRef/>
      </w:r>
      <w:r w:rsidRPr="00F60EF2">
        <w:rPr>
          <w:rFonts w:ascii="Times New Roman" w:hAnsi="Times New Roman"/>
          <w:lang w:val="fr-BE"/>
        </w:rPr>
        <w:tab/>
        <w:t>Annexe II du procès-verbal de la 118</w:t>
      </w:r>
      <w:r w:rsidRPr="00F60EF2">
        <w:rPr>
          <w:rFonts w:ascii="Times New Roman" w:hAnsi="Times New Roman"/>
          <w:vertAlign w:val="superscript"/>
          <w:lang w:val="fr-BE"/>
        </w:rPr>
        <w:t>e</w:t>
      </w:r>
      <w:r w:rsidRPr="00F60EF2">
        <w:rPr>
          <w:rFonts w:ascii="Times New Roman" w:hAnsi="Times New Roman"/>
          <w:lang w:val="fr-BE"/>
        </w:rPr>
        <w:t> réunion plénière du groupe sur les organismes génétiquement modifiés (</w:t>
      </w:r>
      <w:hyperlink r:id="rId2">
        <w:r w:rsidRPr="00F60EF2">
          <w:rPr>
            <w:rStyle w:val="Hyperlink"/>
            <w:rFonts w:ascii="Times New Roman" w:hAnsi="Times New Roman"/>
            <w:color w:val="auto"/>
            <w:lang w:val="fr-BE"/>
          </w:rPr>
          <w:t>https://www.efsa.europa.eu/sites/default/files/event/171025-m.pdf</w:t>
        </w:r>
      </w:hyperlink>
      <w:r w:rsidRPr="00F60EF2">
        <w:rPr>
          <w:rFonts w:ascii="Times New Roman" w:hAnsi="Times New Roman"/>
          <w:lang w:val="fr-BE"/>
        </w:rPr>
        <w:t>)</w:t>
      </w:r>
    </w:p>
  </w:footnote>
  <w:footnote w:id="3">
    <w:p w:rsidR="00F60EF2" w:rsidRPr="00F60EF2" w:rsidRDefault="00F60EF2" w:rsidP="00F60EF2">
      <w:pPr>
        <w:pStyle w:val="FootnoteText"/>
        <w:spacing w:after="0"/>
        <w:rPr>
          <w:rFonts w:ascii="Times New Roman" w:hAnsi="Times New Roman"/>
          <w:lang w:val="fr-BE"/>
        </w:rPr>
      </w:pPr>
      <w:r w:rsidRPr="00F60EF2">
        <w:rPr>
          <w:rStyle w:val="FootnoteReference"/>
          <w:rFonts w:ascii="Times New Roman" w:hAnsi="Times New Roman"/>
        </w:rPr>
        <w:footnoteRef/>
      </w:r>
      <w:r w:rsidRPr="00F60EF2">
        <w:rPr>
          <w:rFonts w:ascii="Times New Roman" w:hAnsi="Times New Roman"/>
          <w:lang w:val="en-IE"/>
        </w:rPr>
        <w:t xml:space="preserve"> </w:t>
      </w:r>
      <w:r w:rsidRPr="00F60EF2">
        <w:rPr>
          <w:rFonts w:ascii="Times New Roman" w:hAnsi="Times New Roman"/>
          <w:lang w:val="en-IE"/>
        </w:rPr>
        <w:tab/>
      </w:r>
      <w:proofErr w:type="spellStart"/>
      <w:r w:rsidRPr="00F60EF2">
        <w:rPr>
          <w:rFonts w:ascii="Times New Roman" w:hAnsi="Times New Roman"/>
          <w:lang w:val="en-IE"/>
        </w:rPr>
        <w:t>Christiaens</w:t>
      </w:r>
      <w:proofErr w:type="spellEnd"/>
      <w:r w:rsidRPr="00F60EF2">
        <w:rPr>
          <w:rFonts w:ascii="Times New Roman" w:hAnsi="Times New Roman"/>
          <w:lang w:val="en-IE"/>
        </w:rPr>
        <w:t xml:space="preserve"> O, </w:t>
      </w:r>
      <w:proofErr w:type="spellStart"/>
      <w:r w:rsidRPr="00F60EF2">
        <w:rPr>
          <w:rFonts w:ascii="Times New Roman" w:hAnsi="Times New Roman"/>
          <w:lang w:val="en-IE"/>
        </w:rPr>
        <w:t>Dzhambazova</w:t>
      </w:r>
      <w:proofErr w:type="spellEnd"/>
      <w:r w:rsidRPr="00F60EF2">
        <w:rPr>
          <w:rFonts w:ascii="Times New Roman" w:hAnsi="Times New Roman"/>
          <w:lang w:val="en-IE"/>
        </w:rPr>
        <w:t xml:space="preserve"> T, </w:t>
      </w:r>
      <w:proofErr w:type="spellStart"/>
      <w:r w:rsidRPr="00F60EF2">
        <w:rPr>
          <w:rFonts w:ascii="Times New Roman" w:hAnsi="Times New Roman"/>
          <w:lang w:val="en-IE"/>
        </w:rPr>
        <w:t>Kostov</w:t>
      </w:r>
      <w:proofErr w:type="spellEnd"/>
      <w:r w:rsidRPr="00F60EF2">
        <w:rPr>
          <w:rFonts w:ascii="Times New Roman" w:hAnsi="Times New Roman"/>
          <w:lang w:val="en-IE"/>
        </w:rPr>
        <w:t xml:space="preserve"> K, </w:t>
      </w:r>
      <w:proofErr w:type="spellStart"/>
      <w:r w:rsidRPr="00F60EF2">
        <w:rPr>
          <w:rFonts w:ascii="Times New Roman" w:hAnsi="Times New Roman"/>
          <w:lang w:val="en-IE"/>
        </w:rPr>
        <w:t>Arpaia</w:t>
      </w:r>
      <w:proofErr w:type="spellEnd"/>
      <w:r w:rsidRPr="00F60EF2">
        <w:rPr>
          <w:rFonts w:ascii="Times New Roman" w:hAnsi="Times New Roman"/>
          <w:lang w:val="en-IE"/>
        </w:rPr>
        <w:t xml:space="preserve"> S, </w:t>
      </w:r>
      <w:proofErr w:type="spellStart"/>
      <w:r w:rsidRPr="00F60EF2">
        <w:rPr>
          <w:rFonts w:ascii="Times New Roman" w:hAnsi="Times New Roman"/>
          <w:lang w:val="en-IE"/>
        </w:rPr>
        <w:t>Joga</w:t>
      </w:r>
      <w:proofErr w:type="spellEnd"/>
      <w:r w:rsidRPr="00F60EF2">
        <w:rPr>
          <w:rFonts w:ascii="Times New Roman" w:hAnsi="Times New Roman"/>
          <w:lang w:val="en-IE"/>
        </w:rPr>
        <w:t xml:space="preserve"> MR, </w:t>
      </w:r>
      <w:proofErr w:type="spellStart"/>
      <w:r w:rsidRPr="00F60EF2">
        <w:rPr>
          <w:rFonts w:ascii="Times New Roman" w:hAnsi="Times New Roman"/>
          <w:lang w:val="en-IE"/>
        </w:rPr>
        <w:t>Urru</w:t>
      </w:r>
      <w:proofErr w:type="spellEnd"/>
      <w:r w:rsidRPr="00F60EF2">
        <w:rPr>
          <w:rFonts w:ascii="Times New Roman" w:hAnsi="Times New Roman"/>
          <w:lang w:val="en-IE"/>
        </w:rPr>
        <w:t xml:space="preserve"> I, Sweet J, </w:t>
      </w:r>
      <w:proofErr w:type="spellStart"/>
      <w:r w:rsidRPr="00F60EF2">
        <w:rPr>
          <w:rFonts w:ascii="Times New Roman" w:hAnsi="Times New Roman"/>
          <w:lang w:val="en-IE"/>
        </w:rPr>
        <w:t>Smagghe</w:t>
      </w:r>
      <w:proofErr w:type="spellEnd"/>
      <w:r w:rsidRPr="00F60EF2">
        <w:rPr>
          <w:rFonts w:ascii="Times New Roman" w:hAnsi="Times New Roman"/>
          <w:lang w:val="en-IE"/>
        </w:rPr>
        <w:t xml:space="preserve"> G, 2018. Literature review of baseline information on RNAi to support the environmental risk assessment of RNAi-based GM plants. </w:t>
      </w:r>
      <w:r w:rsidRPr="00F60EF2">
        <w:rPr>
          <w:rFonts w:ascii="Times New Roman" w:hAnsi="Times New Roman"/>
          <w:lang w:val="fr-BE"/>
        </w:rPr>
        <w:t xml:space="preserve">Publication connexe de l’EFSA 2018: EN-1424. 173 pages. </w:t>
      </w:r>
      <w:proofErr w:type="gramStart"/>
      <w:r w:rsidRPr="00F60EF2">
        <w:rPr>
          <w:rFonts w:ascii="Times New Roman" w:hAnsi="Times New Roman"/>
          <w:lang w:val="fr-BE"/>
        </w:rPr>
        <w:t>doi:10.2903/sp.efsa</w:t>
      </w:r>
      <w:proofErr w:type="gramEnd"/>
      <w:r w:rsidRPr="00F60EF2">
        <w:rPr>
          <w:rFonts w:ascii="Times New Roman" w:hAnsi="Times New Roman"/>
          <w:lang w:val="fr-BE"/>
        </w:rPr>
        <w:t>.2018.EN-1424.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5681E82"/>
    <w:multiLevelType w:val="hybridMultilevel"/>
    <w:tmpl w:val="0316D07C"/>
    <w:lvl w:ilvl="0" w:tplc="010A33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690E33"/>
    <w:multiLevelType w:val="hybridMultilevel"/>
    <w:tmpl w:val="424A86AA"/>
    <w:lvl w:ilvl="0" w:tplc="90B27698">
      <w:start w:val="1"/>
      <w:numFmt w:val="decimal"/>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C3073F9"/>
    <w:multiLevelType w:val="hybridMultilevel"/>
    <w:tmpl w:val="DA8A5DBE"/>
    <w:lvl w:ilvl="0" w:tplc="010A33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F2"/>
    <w:rsid w:val="0007238C"/>
    <w:rsid w:val="000A1623"/>
    <w:rsid w:val="000D6EB1"/>
    <w:rsid w:val="00110BA4"/>
    <w:rsid w:val="001262BB"/>
    <w:rsid w:val="00131AC6"/>
    <w:rsid w:val="001855CC"/>
    <w:rsid w:val="001C3806"/>
    <w:rsid w:val="002871F7"/>
    <w:rsid w:val="00643679"/>
    <w:rsid w:val="00680EFD"/>
    <w:rsid w:val="006843AE"/>
    <w:rsid w:val="00AD10AA"/>
    <w:rsid w:val="00B24044"/>
    <w:rsid w:val="00B34A98"/>
    <w:rsid w:val="00B65AA4"/>
    <w:rsid w:val="00ED700E"/>
    <w:rsid w:val="00F60EF2"/>
    <w:rsid w:val="00F7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886D0E2-787B-4374-ACFE-C10E2D0E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EF2"/>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uiPriority w:val="99"/>
    <w:rsid w:val="000A1623"/>
    <w:pPr>
      <w:ind w:right="85"/>
    </w:pPr>
    <w:rPr>
      <w:rFonts w:ascii="Arial" w:hAnsi="Arial" w:cs="Arial"/>
      <w:color w:val="000000"/>
      <w:sz w:val="16"/>
      <w:szCs w:val="16"/>
      <w:lang w:val="fr-FR" w:eastAsia="fr-BE"/>
    </w:rPr>
  </w:style>
  <w:style w:type="paragraph" w:customStyle="1" w:styleId="NoSpacingGray-80">
    <w:name w:val="No Spacing + Gray-80%"/>
    <w:aliases w:val="Justified,Left:  0,5 cm + Left:  0,5 cm,Right:  0,08 cm"/>
    <w:basedOn w:val="NoSpacing"/>
    <w:rsid w:val="000A1623"/>
    <w:pPr>
      <w:ind w:right="707"/>
    </w:pPr>
    <w:rPr>
      <w:rFonts w:eastAsia="Times New Roman" w:cs="Times New Roman"/>
      <w:color w:val="000000"/>
    </w:rPr>
  </w:style>
  <w:style w:type="paragraph" w:styleId="NoSpacing">
    <w:name w:val="No Spacing"/>
    <w:link w:val="NoSpacingChar"/>
    <w:autoRedefine/>
    <w:uiPriority w:val="1"/>
    <w:qFormat/>
    <w:rsid w:val="000A1623"/>
    <w:pPr>
      <w:keepLines/>
      <w:spacing w:after="0" w:line="240" w:lineRule="auto"/>
      <w:jc w:val="both"/>
    </w:pPr>
    <w:rPr>
      <w:rFonts w:ascii="Times New Roman" w:hAnsi="Times New Roman"/>
      <w:color w:val="333333"/>
      <w:sz w:val="20"/>
      <w:szCs w:val="20"/>
      <w:lang w:val="fr-BE" w:eastAsia="en-GB"/>
    </w:rPr>
  </w:style>
  <w:style w:type="paragraph" w:styleId="Header">
    <w:name w:val="header"/>
    <w:basedOn w:val="Normal"/>
    <w:link w:val="HeaderChar"/>
    <w:uiPriority w:val="99"/>
    <w:unhideWhenUsed/>
    <w:rsid w:val="000A1623"/>
    <w:pPr>
      <w:tabs>
        <w:tab w:val="center" w:pos="4513"/>
        <w:tab w:val="right" w:pos="9026"/>
      </w:tabs>
      <w:spacing w:after="0"/>
    </w:pPr>
  </w:style>
  <w:style w:type="character" w:customStyle="1" w:styleId="HeaderChar">
    <w:name w:val="Header Char"/>
    <w:basedOn w:val="DefaultParagraphFont"/>
    <w:link w:val="Header"/>
    <w:uiPriority w:val="99"/>
    <w:rsid w:val="000A1623"/>
  </w:style>
  <w:style w:type="paragraph" w:styleId="Footer">
    <w:name w:val="footer"/>
    <w:basedOn w:val="Normal"/>
    <w:link w:val="FooterChar"/>
    <w:uiPriority w:val="99"/>
    <w:unhideWhenUsed/>
    <w:rsid w:val="000A1623"/>
    <w:pPr>
      <w:tabs>
        <w:tab w:val="center" w:pos="4513"/>
        <w:tab w:val="right" w:pos="9026"/>
      </w:tabs>
      <w:spacing w:after="0"/>
    </w:pPr>
  </w:style>
  <w:style w:type="character" w:customStyle="1" w:styleId="FooterChar">
    <w:name w:val="Footer Char"/>
    <w:basedOn w:val="DefaultParagraphFont"/>
    <w:link w:val="Footer"/>
    <w:uiPriority w:val="99"/>
    <w:rsid w:val="000A1623"/>
  </w:style>
  <w:style w:type="character" w:customStyle="1" w:styleId="NoSpacingChar">
    <w:name w:val="No Spacing Char"/>
    <w:link w:val="NoSpacing"/>
    <w:uiPriority w:val="1"/>
    <w:locked/>
    <w:rsid w:val="000A1623"/>
    <w:rPr>
      <w:rFonts w:ascii="Times New Roman" w:hAnsi="Times New Roman"/>
      <w:color w:val="333333"/>
      <w:sz w:val="20"/>
      <w:szCs w:val="20"/>
      <w:lang w:val="fr-BE" w:eastAsia="en-GB"/>
    </w:rPr>
  </w:style>
  <w:style w:type="paragraph" w:styleId="ListParagraph">
    <w:name w:val="List Paragraph"/>
    <w:basedOn w:val="Normal"/>
    <w:uiPriority w:val="34"/>
    <w:qFormat/>
    <w:rsid w:val="000A1623"/>
    <w:pPr>
      <w:ind w:left="720"/>
      <w:contextualSpacing/>
    </w:pPr>
  </w:style>
  <w:style w:type="paragraph" w:customStyle="1" w:styleId="Heading2capitalletters">
    <w:name w:val="Heading 2 (capital letters)"/>
    <w:basedOn w:val="Normal"/>
    <w:link w:val="Heading2capitallettersChar"/>
    <w:qFormat/>
    <w:rsid w:val="000A1623"/>
    <w:rPr>
      <w:rFonts w:ascii="Times New Roman" w:hAnsi="Times New Roman"/>
      <w:b/>
      <w:szCs w:val="24"/>
      <w:u w:val="single"/>
      <w:lang w:val="fr-BE"/>
    </w:rPr>
  </w:style>
  <w:style w:type="character" w:customStyle="1" w:styleId="Heading2capitallettersChar">
    <w:name w:val="Heading 2 (capital letters) Char"/>
    <w:basedOn w:val="DefaultParagraphFont"/>
    <w:link w:val="Heading2capitalletters"/>
    <w:rsid w:val="000A1623"/>
    <w:rPr>
      <w:rFonts w:ascii="Times New Roman" w:hAnsi="Times New Roman" w:cs="Times New Roman"/>
      <w:b/>
      <w:sz w:val="24"/>
      <w:szCs w:val="24"/>
      <w:u w:val="single"/>
      <w:lang w:val="fr-BE"/>
    </w:rPr>
  </w:style>
  <w:style w:type="paragraph" w:customStyle="1" w:styleId="Heading3number">
    <w:name w:val="Heading 3 (number)"/>
    <w:basedOn w:val="Normal"/>
    <w:link w:val="Heading3numberChar"/>
    <w:qFormat/>
    <w:rsid w:val="000A1623"/>
    <w:pPr>
      <w:ind w:left="284"/>
    </w:pPr>
    <w:rPr>
      <w:rFonts w:ascii="Times New Roman" w:hAnsi="Times New Roman"/>
      <w:b/>
      <w:szCs w:val="24"/>
      <w:u w:val="single"/>
      <w:lang w:val="fr-BE"/>
    </w:rPr>
  </w:style>
  <w:style w:type="character" w:customStyle="1" w:styleId="Heading3numberChar">
    <w:name w:val="Heading 3 (number) Char"/>
    <w:basedOn w:val="DefaultParagraphFont"/>
    <w:link w:val="Heading3number"/>
    <w:rsid w:val="000A1623"/>
    <w:rPr>
      <w:rFonts w:ascii="Times New Roman" w:hAnsi="Times New Roman" w:cs="Times New Roman"/>
      <w:b/>
      <w:sz w:val="24"/>
      <w:szCs w:val="24"/>
      <w:u w:val="single"/>
      <w:lang w:val="fr-BE"/>
    </w:rPr>
  </w:style>
  <w:style w:type="paragraph" w:customStyle="1" w:styleId="ParagraphNr">
    <w:name w:val="Paragraph Nr"/>
    <w:basedOn w:val="Normal"/>
    <w:link w:val="ParagraphNrChar"/>
    <w:autoRedefine/>
    <w:qFormat/>
    <w:rsid w:val="00B24044"/>
    <w:pPr>
      <w:keepNext/>
      <w:spacing w:after="120"/>
      <w:ind w:left="567" w:right="-28" w:hanging="567"/>
    </w:pPr>
    <w:rPr>
      <w:b/>
      <w:szCs w:val="24"/>
    </w:rPr>
  </w:style>
  <w:style w:type="character" w:customStyle="1" w:styleId="ParagraphNrChar">
    <w:name w:val="Paragraph Nr Char"/>
    <w:basedOn w:val="DefaultParagraphFont"/>
    <w:link w:val="ParagraphNr"/>
    <w:rsid w:val="00B24044"/>
    <w:rPr>
      <w:b/>
      <w:sz w:val="24"/>
      <w:szCs w:val="24"/>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F60EF2"/>
    <w:pPr>
      <w:ind w:left="357" w:hanging="357"/>
    </w:pPr>
    <w:rPr>
      <w:sz w:val="20"/>
    </w:rPr>
  </w:style>
  <w:style w:type="character" w:customStyle="1" w:styleId="FootnoteTextChar">
    <w:name w:val="Footnote Text Char"/>
    <w:basedOn w:val="DefaultParagraphFont"/>
    <w:uiPriority w:val="99"/>
    <w:semiHidden/>
    <w:rsid w:val="00F60EF2"/>
    <w:rPr>
      <w:rFonts w:ascii="Courier New" w:eastAsia="Times New Roman" w:hAnsi="Courier New" w:cs="Times New Roman"/>
      <w:sz w:val="20"/>
      <w:szCs w:val="20"/>
      <w:lang w:eastAsia="en-GB"/>
    </w:rPr>
  </w:style>
  <w:style w:type="paragraph" w:styleId="ListBullet">
    <w:name w:val="List Bullet"/>
    <w:basedOn w:val="Normal"/>
    <w:link w:val="ListBulletChar1"/>
    <w:uiPriority w:val="99"/>
    <w:rsid w:val="00F60EF2"/>
    <w:pPr>
      <w:numPr>
        <w:numId w:val="1"/>
      </w:numPr>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F60EF2"/>
    <w:rPr>
      <w:vertAlign w:val="superscript"/>
    </w:rPr>
  </w:style>
  <w:style w:type="character" w:styleId="Hyperlink">
    <w:name w:val="Hyperlink"/>
    <w:aliases w:val="Char1"/>
    <w:uiPriority w:val="99"/>
    <w:rsid w:val="00F60EF2"/>
    <w:rPr>
      <w:color w:val="0000FF"/>
      <w:u w:val="single"/>
    </w:rPr>
  </w:style>
  <w:style w:type="paragraph" w:customStyle="1" w:styleId="CoverNormal">
    <w:name w:val="CoverNormal"/>
    <w:basedOn w:val="Normal"/>
    <w:rsid w:val="00F60EF2"/>
    <w:pPr>
      <w:widowControl w:val="0"/>
      <w:spacing w:after="0"/>
      <w:ind w:left="1418"/>
      <w:jc w:val="left"/>
    </w:pPr>
    <w:rPr>
      <w:rFonts w:ascii="Times New Roman" w:hAnsi="Times New Roman"/>
    </w:rPr>
  </w:style>
  <w:style w:type="character" w:customStyle="1" w:styleId="ListBulletChar1">
    <w:name w:val="List Bullet Char1"/>
    <w:link w:val="ListBullet"/>
    <w:uiPriority w:val="99"/>
    <w:rsid w:val="00F60EF2"/>
    <w:rPr>
      <w:rFonts w:ascii="Courier New" w:eastAsia="Times New Roman" w:hAnsi="Courier New" w:cs="Times New Roman"/>
      <w:sz w:val="24"/>
      <w:szCs w:val="20"/>
      <w:lang w:eastAsia="en-GB"/>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F60EF2"/>
    <w:rPr>
      <w:rFonts w:ascii="Courier New" w:eastAsia="Times New Roman" w:hAnsi="Courier New" w:cs="Times New Roman"/>
      <w:sz w:val="20"/>
      <w:szCs w:val="20"/>
      <w:lang w:eastAsia="en-GB"/>
    </w:rPr>
  </w:style>
  <w:style w:type="paragraph" w:customStyle="1" w:styleId="Default">
    <w:name w:val="Default"/>
    <w:rsid w:val="00F60EF2"/>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60EF2"/>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uiPriority w:val="99"/>
    <w:rsid w:val="00F60EF2"/>
    <w:pPr>
      <w:spacing w:after="0" w:line="360" w:lineRule="auto"/>
    </w:pPr>
    <w:rPr>
      <w:rFonts w:ascii="Verdana" w:hAnsi="Verdana"/>
      <w:sz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fsa.europa.eu/sites/default/files/event/171025-m.pdf" TargetMode="External"/><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2318</Words>
  <Characters>12749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1</cp:revision>
  <dcterms:created xsi:type="dcterms:W3CDTF">2019-08-28T15:20:00Z</dcterms:created>
  <dcterms:modified xsi:type="dcterms:W3CDTF">2019-08-28T15:21:00Z</dcterms:modified>
</cp:coreProperties>
</file>