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7D7" w:rsidRDefault="006077D7" w:rsidP="006077D7">
      <w:pPr>
        <w:pStyle w:val="CoverNormal"/>
        <w:spacing w:after="120"/>
        <w:ind w:left="0"/>
        <w:jc w:val="center"/>
        <w:rPr>
          <w:b/>
          <w:szCs w:val="24"/>
        </w:rPr>
      </w:pPr>
      <w:bookmarkStart w:id="0" w:name="_GoBack"/>
      <w:bookmarkEnd w:id="0"/>
      <w:r w:rsidRPr="00E23D10">
        <w:rPr>
          <w:b/>
          <w:szCs w:val="24"/>
        </w:rPr>
        <w:t xml:space="preserve">Follow up to the </w:t>
      </w:r>
      <w:r w:rsidRPr="002E1520">
        <w:rPr>
          <w:b/>
          <w:szCs w:val="24"/>
        </w:rPr>
        <w:t xml:space="preserve">European Parliament </w:t>
      </w:r>
      <w:r>
        <w:rPr>
          <w:b/>
          <w:szCs w:val="24"/>
        </w:rPr>
        <w:t xml:space="preserve">non-legislative </w:t>
      </w:r>
      <w:r w:rsidRPr="002E1520">
        <w:rPr>
          <w:b/>
          <w:szCs w:val="24"/>
        </w:rPr>
        <w:t xml:space="preserve">resolution on the draft Commission </w:t>
      </w:r>
      <w:r>
        <w:rPr>
          <w:b/>
          <w:szCs w:val="24"/>
        </w:rPr>
        <w:t>i</w:t>
      </w:r>
      <w:r w:rsidRPr="002E1520">
        <w:rPr>
          <w:b/>
          <w:szCs w:val="24"/>
        </w:rPr>
        <w:t xml:space="preserve">mplementing </w:t>
      </w:r>
      <w:r>
        <w:rPr>
          <w:b/>
          <w:szCs w:val="24"/>
        </w:rPr>
        <w:t>d</w:t>
      </w:r>
      <w:r w:rsidRPr="002E1520">
        <w:rPr>
          <w:b/>
          <w:szCs w:val="24"/>
        </w:rPr>
        <w:t xml:space="preserve">ecision authorising the placing on the market of products containing, consisting of or produced from genetically modified maize </w:t>
      </w:r>
      <w:r w:rsidRPr="006720CC">
        <w:rPr>
          <w:b/>
          <w:szCs w:val="24"/>
        </w:rPr>
        <w:t>Bt11 × MIR162 × 1507 × GA21 and sub-combinations Bt11 × MIR162 × 1507, MIR162 × 1507 × GA21 and MIR162 × 1507 pursuant to Regulation (EC) No 1829/2003 of the European Parliament and of the Council</w:t>
      </w:r>
    </w:p>
    <w:p w:rsidR="006077D7" w:rsidRPr="009C3989" w:rsidRDefault="006077D7" w:rsidP="006077D7">
      <w:pPr>
        <w:pStyle w:val="CoverNormal"/>
        <w:spacing w:after="720"/>
        <w:ind w:left="0"/>
        <w:jc w:val="center"/>
        <w:rPr>
          <w:b/>
          <w:szCs w:val="24"/>
        </w:rPr>
      </w:pPr>
      <w:r>
        <w:rPr>
          <w:szCs w:val="24"/>
          <w:bdr w:val="none" w:sz="0" w:space="0" w:color="auto" w:frame="1"/>
          <w:lang w:val="en"/>
        </w:rPr>
        <w:t>(</w:t>
      </w:r>
      <w:r w:rsidRPr="009C3989">
        <w:rPr>
          <w:szCs w:val="24"/>
          <w:bdr w:val="none" w:sz="0" w:space="0" w:color="auto" w:frame="1"/>
          <w:lang w:val="en"/>
        </w:rPr>
        <w:t>Resolution on the draft Commission implementing decision authorising the placing on the market of products containing, consisting of or produced from genetically modified maize Bt11 × MIR162 × 1507 × GA21 and sub-combinations Bt11 × MIR162 × 1507, MIR162 × 1507 × GA21 and MIR162 × 1507</w:t>
      </w:r>
      <w:r>
        <w:rPr>
          <w:szCs w:val="24"/>
          <w:bdr w:val="none" w:sz="0" w:space="0" w:color="auto" w:frame="1"/>
          <w:lang w:val="en"/>
        </w:rPr>
        <w:t>)</w:t>
      </w:r>
    </w:p>
    <w:p w:rsidR="006077D7" w:rsidRPr="00B76695" w:rsidRDefault="006077D7" w:rsidP="006077D7">
      <w:pPr>
        <w:widowControl w:val="0"/>
        <w:numPr>
          <w:ilvl w:val="0"/>
          <w:numId w:val="4"/>
        </w:numPr>
        <w:ind w:left="567" w:hanging="567"/>
        <w:outlineLvl w:val="0"/>
        <w:rPr>
          <w:rFonts w:ascii="Times New Roman" w:hAnsi="Times New Roman"/>
          <w:szCs w:val="24"/>
        </w:rPr>
      </w:pPr>
      <w:r>
        <w:rPr>
          <w:rFonts w:ascii="Times New Roman" w:hAnsi="Times New Roman"/>
          <w:b/>
          <w:szCs w:val="24"/>
        </w:rPr>
        <w:t>Resolution tabled pursuant to Rule 106(2) and (3) of the European Parliament's Rules of Procedure</w:t>
      </w:r>
    </w:p>
    <w:p w:rsidR="006077D7" w:rsidRPr="002E10F1" w:rsidRDefault="006077D7" w:rsidP="006077D7">
      <w:pPr>
        <w:widowControl w:val="0"/>
        <w:ind w:left="567" w:hanging="567"/>
        <w:outlineLvl w:val="0"/>
        <w:rPr>
          <w:rFonts w:ascii="Times New Roman" w:hAnsi="Times New Roman"/>
          <w:smallCaps/>
          <w:szCs w:val="24"/>
        </w:rPr>
      </w:pPr>
      <w:r w:rsidRPr="00B76695">
        <w:rPr>
          <w:rFonts w:ascii="Times New Roman" w:hAnsi="Times New Roman"/>
          <w:b/>
          <w:szCs w:val="24"/>
        </w:rPr>
        <w:t>2.</w:t>
      </w:r>
      <w:r w:rsidRPr="00B76695">
        <w:rPr>
          <w:rFonts w:ascii="Times New Roman" w:hAnsi="Times New Roman"/>
          <w:b/>
          <w:szCs w:val="24"/>
        </w:rPr>
        <w:tab/>
      </w:r>
      <w:r>
        <w:rPr>
          <w:rFonts w:ascii="Times New Roman" w:hAnsi="Times New Roman"/>
          <w:b/>
          <w:szCs w:val="24"/>
        </w:rPr>
        <w:t>R</w:t>
      </w:r>
      <w:r w:rsidRPr="00B76695">
        <w:rPr>
          <w:rFonts w:ascii="Times New Roman" w:hAnsi="Times New Roman"/>
          <w:b/>
          <w:szCs w:val="24"/>
        </w:rPr>
        <w:t>eference number</w:t>
      </w:r>
      <w:r>
        <w:rPr>
          <w:rFonts w:ascii="Times New Roman" w:hAnsi="Times New Roman"/>
          <w:b/>
          <w:szCs w:val="24"/>
        </w:rPr>
        <w:t>s</w:t>
      </w:r>
      <w:r w:rsidRPr="003C0333">
        <w:rPr>
          <w:rFonts w:ascii="Times New Roman" w:hAnsi="Times New Roman"/>
          <w:szCs w:val="24"/>
        </w:rPr>
        <w:t>:</w:t>
      </w:r>
      <w:r w:rsidRPr="003C0333">
        <w:rPr>
          <w:rFonts w:ascii="Times New Roman" w:hAnsi="Times New Roman"/>
          <w:smallCaps/>
          <w:szCs w:val="24"/>
        </w:rPr>
        <w:t xml:space="preserve"> 2019/2553 (RSP) / </w:t>
      </w:r>
      <w:r>
        <w:rPr>
          <w:rFonts w:ascii="Times New Roman" w:hAnsi="Times New Roman"/>
          <w:smallCaps/>
          <w:szCs w:val="24"/>
        </w:rPr>
        <w:t xml:space="preserve">B8-0142/2019 / </w:t>
      </w:r>
      <w:r w:rsidRPr="003C0333">
        <w:rPr>
          <w:rFonts w:ascii="Times New Roman" w:hAnsi="Times New Roman"/>
          <w:smallCaps/>
          <w:szCs w:val="24"/>
        </w:rPr>
        <w:t>P8</w:t>
      </w:r>
      <w:r w:rsidRPr="00E80A1C">
        <w:rPr>
          <w:rFonts w:ascii="Times New Roman" w:hAnsi="Times New Roman"/>
          <w:smallCaps/>
          <w:szCs w:val="24"/>
        </w:rPr>
        <w:t>_TA-PROV(2019)0198</w:t>
      </w:r>
    </w:p>
    <w:p w:rsidR="006077D7" w:rsidRPr="003C0333" w:rsidRDefault="006077D7" w:rsidP="006077D7">
      <w:pPr>
        <w:widowControl w:val="0"/>
        <w:ind w:left="567" w:hanging="567"/>
        <w:outlineLvl w:val="0"/>
        <w:rPr>
          <w:rFonts w:ascii="Times New Roman" w:hAnsi="Times New Roman"/>
        </w:rPr>
      </w:pPr>
      <w:r w:rsidRPr="002E10F1">
        <w:rPr>
          <w:rFonts w:ascii="Times New Roman" w:hAnsi="Times New Roman"/>
          <w:b/>
          <w:szCs w:val="24"/>
        </w:rPr>
        <w:t>3.</w:t>
      </w:r>
      <w:r w:rsidRPr="002E10F1">
        <w:rPr>
          <w:rFonts w:ascii="Times New Roman" w:hAnsi="Times New Roman"/>
          <w:b/>
          <w:szCs w:val="24"/>
        </w:rPr>
        <w:tab/>
        <w:t>Date of adoption of the resolution:</w:t>
      </w:r>
      <w:r w:rsidRPr="002E10F1">
        <w:rPr>
          <w:rFonts w:ascii="Times New Roman" w:hAnsi="Times New Roman"/>
          <w:b/>
          <w:smallCaps/>
          <w:szCs w:val="24"/>
        </w:rPr>
        <w:t xml:space="preserve"> </w:t>
      </w:r>
      <w:r w:rsidRPr="00E80A1C">
        <w:rPr>
          <w:rFonts w:ascii="Times New Roman" w:hAnsi="Times New Roman"/>
          <w:szCs w:val="24"/>
        </w:rPr>
        <w:t>13 March 2019</w:t>
      </w:r>
    </w:p>
    <w:p w:rsidR="006077D7" w:rsidRPr="008D7A28" w:rsidRDefault="006077D7" w:rsidP="006077D7">
      <w:pPr>
        <w:pStyle w:val="NormalWeb"/>
        <w:spacing w:before="0" w:beforeAutospacing="0" w:after="240" w:afterAutospacing="0"/>
        <w:ind w:left="567" w:hanging="567"/>
        <w:rPr>
          <w:b/>
          <w:bCs/>
          <w:color w:val="000000"/>
        </w:rPr>
      </w:pPr>
      <w:r>
        <w:rPr>
          <w:b/>
          <w:color w:val="000000"/>
        </w:rPr>
        <w:t>4</w:t>
      </w:r>
      <w:r w:rsidRPr="008D7A28">
        <w:rPr>
          <w:b/>
          <w:color w:val="000000"/>
        </w:rPr>
        <w:t>.</w:t>
      </w:r>
      <w:r w:rsidRPr="008D7A28">
        <w:rPr>
          <w:color w:val="000000"/>
        </w:rPr>
        <w:tab/>
      </w:r>
      <w:r w:rsidRPr="008D7A28">
        <w:rPr>
          <w:b/>
        </w:rPr>
        <w:t>Competent Parliamentary Committee:</w:t>
      </w:r>
      <w:r w:rsidRPr="008D7A28">
        <w:t xml:space="preserve"> Environment, Public Health and Food Safety (ENVI</w:t>
      </w:r>
      <w:r w:rsidRPr="008D7A28">
        <w:rPr>
          <w:color w:val="000000"/>
        </w:rPr>
        <w:t>)</w:t>
      </w:r>
    </w:p>
    <w:p w:rsidR="006077D7" w:rsidRPr="000F6D95" w:rsidRDefault="006077D7" w:rsidP="006077D7">
      <w:pPr>
        <w:ind w:left="567" w:hanging="567"/>
        <w:rPr>
          <w:rFonts w:ascii="Times New Roman" w:hAnsi="Times New Roman"/>
          <w:b/>
          <w:color w:val="000000"/>
          <w:szCs w:val="24"/>
        </w:rPr>
      </w:pPr>
      <w:r>
        <w:rPr>
          <w:rFonts w:ascii="Times New Roman" w:hAnsi="Times New Roman"/>
          <w:b/>
          <w:color w:val="000000"/>
          <w:szCs w:val="24"/>
        </w:rPr>
        <w:t>5</w:t>
      </w:r>
      <w:r w:rsidRPr="000F6D95">
        <w:rPr>
          <w:rFonts w:ascii="Times New Roman" w:hAnsi="Times New Roman"/>
          <w:b/>
          <w:color w:val="000000"/>
          <w:szCs w:val="24"/>
        </w:rPr>
        <w:t>.</w:t>
      </w:r>
      <w:r w:rsidRPr="000F6D95">
        <w:rPr>
          <w:rFonts w:ascii="Times New Roman" w:hAnsi="Times New Roman"/>
          <w:b/>
          <w:color w:val="000000"/>
          <w:szCs w:val="24"/>
        </w:rPr>
        <w:tab/>
        <w:t>Brief analysis/assessment of the resolution and requests made in it:</w:t>
      </w:r>
    </w:p>
    <w:p w:rsidR="006077D7" w:rsidRDefault="006077D7" w:rsidP="006077D7">
      <w:pPr>
        <w:spacing w:after="120"/>
        <w:rPr>
          <w:rFonts w:ascii="Times New Roman" w:hAnsi="Times New Roman"/>
          <w:szCs w:val="24"/>
        </w:rPr>
      </w:pPr>
      <w:r w:rsidRPr="00DA2078">
        <w:rPr>
          <w:rFonts w:ascii="Times New Roman" w:hAnsi="Times New Roman"/>
          <w:szCs w:val="24"/>
        </w:rPr>
        <w:t xml:space="preserve">The </w:t>
      </w:r>
      <w:r>
        <w:rPr>
          <w:rFonts w:ascii="Times New Roman" w:hAnsi="Times New Roman"/>
          <w:szCs w:val="24"/>
        </w:rPr>
        <w:t>r</w:t>
      </w:r>
      <w:r w:rsidRPr="00DA2078">
        <w:rPr>
          <w:rFonts w:ascii="Times New Roman" w:hAnsi="Times New Roman"/>
          <w:szCs w:val="24"/>
        </w:rPr>
        <w:t xml:space="preserve">esolution calls for </w:t>
      </w:r>
      <w:r>
        <w:rPr>
          <w:rFonts w:ascii="Times New Roman" w:hAnsi="Times New Roman"/>
          <w:szCs w:val="24"/>
        </w:rPr>
        <w:t>the</w:t>
      </w:r>
      <w:r w:rsidRPr="00DA2078">
        <w:rPr>
          <w:rFonts w:ascii="Times New Roman" w:hAnsi="Times New Roman"/>
          <w:szCs w:val="24"/>
        </w:rPr>
        <w:t xml:space="preserve"> withdrawal </w:t>
      </w:r>
      <w:r>
        <w:rPr>
          <w:rFonts w:ascii="Times New Roman" w:hAnsi="Times New Roman"/>
          <w:szCs w:val="24"/>
        </w:rPr>
        <w:t>of the draft Commission implementing decision</w:t>
      </w:r>
      <w:r w:rsidRPr="00DA2078">
        <w:rPr>
          <w:rFonts w:ascii="Times New Roman" w:hAnsi="Times New Roman"/>
          <w:b/>
          <w:szCs w:val="24"/>
        </w:rPr>
        <w:t xml:space="preserve"> </w:t>
      </w:r>
      <w:r w:rsidRPr="002217E4">
        <w:rPr>
          <w:rFonts w:ascii="Times New Roman" w:hAnsi="Times New Roman"/>
          <w:b/>
          <w:szCs w:val="24"/>
        </w:rPr>
        <w:t>(</w:t>
      </w:r>
      <w:r>
        <w:rPr>
          <w:rFonts w:ascii="Times New Roman" w:hAnsi="Times New Roman"/>
          <w:b/>
          <w:szCs w:val="24"/>
        </w:rPr>
        <w:t>paragraph</w:t>
      </w:r>
      <w:r w:rsidRPr="002217E4">
        <w:rPr>
          <w:rFonts w:ascii="Times New Roman" w:hAnsi="Times New Roman"/>
          <w:b/>
          <w:szCs w:val="24"/>
        </w:rPr>
        <w:t xml:space="preserve"> </w:t>
      </w:r>
      <w:r>
        <w:rPr>
          <w:rFonts w:ascii="Times New Roman" w:hAnsi="Times New Roman"/>
          <w:b/>
          <w:szCs w:val="24"/>
        </w:rPr>
        <w:t>3</w:t>
      </w:r>
      <w:r w:rsidRPr="002217E4">
        <w:rPr>
          <w:rFonts w:ascii="Times New Roman" w:hAnsi="Times New Roman"/>
          <w:b/>
          <w:szCs w:val="24"/>
        </w:rPr>
        <w:t>)</w:t>
      </w:r>
      <w:r w:rsidRPr="002217E4">
        <w:rPr>
          <w:rFonts w:ascii="Times New Roman" w:hAnsi="Times New Roman"/>
          <w:szCs w:val="24"/>
        </w:rPr>
        <w:t xml:space="preserve">, based on the grounds that the draft </w:t>
      </w:r>
      <w:r>
        <w:rPr>
          <w:rFonts w:ascii="Times New Roman" w:hAnsi="Times New Roman"/>
          <w:szCs w:val="24"/>
        </w:rPr>
        <w:t>implementing d</w:t>
      </w:r>
      <w:r w:rsidRPr="002217E4">
        <w:rPr>
          <w:rFonts w:ascii="Times New Roman" w:hAnsi="Times New Roman"/>
          <w:szCs w:val="24"/>
        </w:rPr>
        <w:t xml:space="preserve">ecision at stake exceeds the implementing powers provided for in Regulation (EC) No 1829/2003 </w:t>
      </w:r>
      <w:r w:rsidRPr="002217E4">
        <w:rPr>
          <w:rFonts w:ascii="Times New Roman" w:hAnsi="Times New Roman"/>
          <w:b/>
          <w:szCs w:val="24"/>
        </w:rPr>
        <w:t>(</w:t>
      </w:r>
      <w:r>
        <w:rPr>
          <w:rFonts w:ascii="Times New Roman" w:hAnsi="Times New Roman"/>
          <w:b/>
          <w:szCs w:val="24"/>
        </w:rPr>
        <w:t>paragraph</w:t>
      </w:r>
      <w:r w:rsidRPr="002217E4">
        <w:rPr>
          <w:rFonts w:ascii="Times New Roman" w:hAnsi="Times New Roman"/>
          <w:b/>
          <w:szCs w:val="24"/>
        </w:rPr>
        <w:t xml:space="preserve"> 1)</w:t>
      </w:r>
      <w:r w:rsidRPr="002217E4">
        <w:rPr>
          <w:rFonts w:ascii="Times New Roman" w:hAnsi="Times New Roman"/>
          <w:szCs w:val="24"/>
        </w:rPr>
        <w:t xml:space="preserve"> and that it is not compatible with the aim of Regulation (EC) No 1829/2003 and the general principles of Regulation (EC) No 178/2002, i.e. protection of human life and health, animal health and welfare, the environment and consumer interests </w:t>
      </w:r>
      <w:r w:rsidRPr="002217E4">
        <w:rPr>
          <w:rFonts w:ascii="Times New Roman" w:hAnsi="Times New Roman"/>
          <w:b/>
          <w:szCs w:val="24"/>
        </w:rPr>
        <w:t>(</w:t>
      </w:r>
      <w:r>
        <w:rPr>
          <w:rFonts w:ascii="Times New Roman" w:hAnsi="Times New Roman"/>
          <w:b/>
          <w:szCs w:val="24"/>
        </w:rPr>
        <w:t>paragraph</w:t>
      </w:r>
      <w:r w:rsidRPr="002217E4">
        <w:rPr>
          <w:rFonts w:ascii="Times New Roman" w:hAnsi="Times New Roman"/>
          <w:b/>
          <w:szCs w:val="24"/>
        </w:rPr>
        <w:t xml:space="preserve"> 2)</w:t>
      </w:r>
      <w:r w:rsidRPr="002217E4">
        <w:rPr>
          <w:rFonts w:ascii="Times New Roman" w:hAnsi="Times New Roman"/>
          <w:szCs w:val="24"/>
        </w:rPr>
        <w:t xml:space="preserve">. In addition, the </w:t>
      </w:r>
      <w:r>
        <w:rPr>
          <w:rFonts w:ascii="Times New Roman" w:hAnsi="Times New Roman"/>
          <w:szCs w:val="24"/>
        </w:rPr>
        <w:t>r</w:t>
      </w:r>
      <w:r w:rsidRPr="002217E4">
        <w:rPr>
          <w:rFonts w:ascii="Times New Roman" w:hAnsi="Times New Roman"/>
          <w:szCs w:val="24"/>
        </w:rPr>
        <w:t>esolution calls on the Commission to suspend any implementing decision regarding authorisation of genetically modified</w:t>
      </w:r>
      <w:r>
        <w:rPr>
          <w:rFonts w:ascii="Times New Roman" w:hAnsi="Times New Roman"/>
          <w:szCs w:val="24"/>
        </w:rPr>
        <w:t xml:space="preserve"> </w:t>
      </w:r>
      <w:r w:rsidRPr="002217E4">
        <w:rPr>
          <w:rFonts w:ascii="Times New Roman" w:hAnsi="Times New Roman"/>
          <w:szCs w:val="24"/>
        </w:rPr>
        <w:t>organisms until the authorisation procedure has been revised in such a way as to address the shortcomings of the current procedure, which has proven to be inadequate</w:t>
      </w:r>
      <w:r>
        <w:rPr>
          <w:rFonts w:ascii="Times New Roman" w:hAnsi="Times New Roman"/>
          <w:szCs w:val="24"/>
        </w:rPr>
        <w:t xml:space="preserve"> </w:t>
      </w:r>
      <w:r w:rsidRPr="002217E4">
        <w:rPr>
          <w:rFonts w:ascii="Times New Roman" w:hAnsi="Times New Roman"/>
          <w:b/>
          <w:szCs w:val="24"/>
        </w:rPr>
        <w:t>(</w:t>
      </w:r>
      <w:r>
        <w:rPr>
          <w:rFonts w:ascii="Times New Roman" w:hAnsi="Times New Roman"/>
          <w:b/>
          <w:szCs w:val="24"/>
        </w:rPr>
        <w:t>paragraph</w:t>
      </w:r>
      <w:r w:rsidRPr="002217E4">
        <w:rPr>
          <w:rFonts w:ascii="Times New Roman" w:hAnsi="Times New Roman"/>
          <w:b/>
          <w:szCs w:val="24"/>
        </w:rPr>
        <w:t xml:space="preserve"> </w:t>
      </w:r>
      <w:r>
        <w:rPr>
          <w:rFonts w:ascii="Times New Roman" w:hAnsi="Times New Roman"/>
          <w:b/>
          <w:szCs w:val="24"/>
        </w:rPr>
        <w:t>10</w:t>
      </w:r>
      <w:r w:rsidRPr="0054032F">
        <w:rPr>
          <w:rFonts w:ascii="Times New Roman" w:hAnsi="Times New Roman"/>
          <w:b/>
          <w:szCs w:val="24"/>
        </w:rPr>
        <w:t>)</w:t>
      </w:r>
      <w:r>
        <w:rPr>
          <w:rFonts w:ascii="Times New Roman" w:hAnsi="Times New Roman"/>
          <w:b/>
          <w:szCs w:val="24"/>
        </w:rPr>
        <w:t xml:space="preserve"> </w:t>
      </w:r>
      <w:r w:rsidRPr="004205A3">
        <w:rPr>
          <w:rFonts w:ascii="Times New Roman" w:hAnsi="Times New Roman"/>
          <w:szCs w:val="24"/>
        </w:rPr>
        <w:t xml:space="preserve">and to withdraw proposals for </w:t>
      </w:r>
      <w:r w:rsidRPr="005A7FF3">
        <w:rPr>
          <w:rFonts w:ascii="Times New Roman" w:hAnsi="Times New Roman"/>
          <w:szCs w:val="24"/>
        </w:rPr>
        <w:t>Genetically Modified Organisms</w:t>
      </w:r>
      <w:r>
        <w:rPr>
          <w:sz w:val="23"/>
          <w:szCs w:val="23"/>
        </w:rPr>
        <w:t xml:space="preserve"> (</w:t>
      </w:r>
      <w:r w:rsidRPr="004205A3">
        <w:rPr>
          <w:rFonts w:ascii="Times New Roman" w:hAnsi="Times New Roman"/>
          <w:szCs w:val="24"/>
        </w:rPr>
        <w:t>GMO</w:t>
      </w:r>
      <w:r>
        <w:rPr>
          <w:rFonts w:ascii="Times New Roman" w:hAnsi="Times New Roman"/>
          <w:szCs w:val="24"/>
        </w:rPr>
        <w:t>)</w:t>
      </w:r>
      <w:r w:rsidRPr="004205A3">
        <w:rPr>
          <w:rFonts w:ascii="Times New Roman" w:hAnsi="Times New Roman"/>
          <w:szCs w:val="24"/>
        </w:rPr>
        <w:t xml:space="preserve"> authorisations if no opinion is delivered by the Standing Committee on the Food Chain and Animal Health</w:t>
      </w:r>
      <w:r>
        <w:rPr>
          <w:rFonts w:ascii="Times New Roman" w:hAnsi="Times New Roman"/>
          <w:b/>
          <w:szCs w:val="24"/>
        </w:rPr>
        <w:t xml:space="preserve"> (paragraph 11)</w:t>
      </w:r>
      <w:r w:rsidRPr="0054032F">
        <w:rPr>
          <w:rFonts w:ascii="Times New Roman" w:hAnsi="Times New Roman"/>
          <w:szCs w:val="24"/>
        </w:rPr>
        <w:t xml:space="preserve">. </w:t>
      </w:r>
      <w:r>
        <w:rPr>
          <w:rFonts w:ascii="Times New Roman" w:hAnsi="Times New Roman"/>
          <w:szCs w:val="24"/>
        </w:rPr>
        <w:t>T</w:t>
      </w:r>
      <w:r w:rsidRPr="0054032F">
        <w:rPr>
          <w:rFonts w:ascii="Times New Roman" w:hAnsi="Times New Roman"/>
          <w:szCs w:val="24"/>
        </w:rPr>
        <w:t xml:space="preserve">he </w:t>
      </w:r>
      <w:r>
        <w:rPr>
          <w:rFonts w:ascii="Times New Roman" w:hAnsi="Times New Roman"/>
          <w:szCs w:val="24"/>
        </w:rPr>
        <w:t>r</w:t>
      </w:r>
      <w:r w:rsidRPr="0054032F">
        <w:rPr>
          <w:rFonts w:ascii="Times New Roman" w:hAnsi="Times New Roman"/>
          <w:szCs w:val="24"/>
        </w:rPr>
        <w:t>esolution also reiterates the Parliament</w:t>
      </w:r>
      <w:r>
        <w:rPr>
          <w:rFonts w:ascii="Times New Roman" w:hAnsi="Times New Roman"/>
          <w:szCs w:val="24"/>
        </w:rPr>
        <w:t>’s</w:t>
      </w:r>
      <w:r w:rsidRPr="0054032F">
        <w:rPr>
          <w:rFonts w:ascii="Times New Roman" w:hAnsi="Times New Roman"/>
          <w:szCs w:val="24"/>
        </w:rPr>
        <w:t xml:space="preserve"> commitment to advancing work on the Commission proposal amending Regulation (EU) No 182/2011 </w:t>
      </w:r>
      <w:r>
        <w:rPr>
          <w:rFonts w:ascii="Times New Roman" w:hAnsi="Times New Roman"/>
          <w:szCs w:val="24"/>
        </w:rPr>
        <w:t>and</w:t>
      </w:r>
      <w:r w:rsidRPr="0054032F">
        <w:rPr>
          <w:rFonts w:ascii="Times New Roman" w:hAnsi="Times New Roman"/>
          <w:szCs w:val="24"/>
        </w:rPr>
        <w:t xml:space="preserve"> also calls on the Council to move forward with its work </w:t>
      </w:r>
      <w:r>
        <w:rPr>
          <w:rFonts w:ascii="Times New Roman" w:hAnsi="Times New Roman"/>
          <w:szCs w:val="24"/>
        </w:rPr>
        <w:t xml:space="preserve">in relation to </w:t>
      </w:r>
      <w:r w:rsidRPr="0054032F">
        <w:rPr>
          <w:rFonts w:ascii="Times New Roman" w:hAnsi="Times New Roman"/>
          <w:szCs w:val="24"/>
        </w:rPr>
        <w:t xml:space="preserve">that Commission proposal as a matter of urgency </w:t>
      </w:r>
      <w:r w:rsidRPr="0054032F">
        <w:rPr>
          <w:rFonts w:ascii="Times New Roman" w:hAnsi="Times New Roman"/>
          <w:b/>
          <w:szCs w:val="24"/>
        </w:rPr>
        <w:t>(</w:t>
      </w:r>
      <w:r>
        <w:rPr>
          <w:rFonts w:ascii="Times New Roman" w:hAnsi="Times New Roman"/>
          <w:b/>
          <w:szCs w:val="24"/>
        </w:rPr>
        <w:t>paragraph</w:t>
      </w:r>
      <w:r w:rsidRPr="0054032F">
        <w:rPr>
          <w:rFonts w:ascii="Times New Roman" w:hAnsi="Times New Roman"/>
          <w:b/>
          <w:szCs w:val="24"/>
        </w:rPr>
        <w:t xml:space="preserve"> </w:t>
      </w:r>
      <w:r>
        <w:rPr>
          <w:rFonts w:ascii="Times New Roman" w:hAnsi="Times New Roman"/>
          <w:b/>
          <w:szCs w:val="24"/>
        </w:rPr>
        <w:t>9</w:t>
      </w:r>
      <w:r w:rsidRPr="0054032F">
        <w:rPr>
          <w:rFonts w:ascii="Times New Roman" w:hAnsi="Times New Roman"/>
          <w:b/>
          <w:szCs w:val="24"/>
        </w:rPr>
        <w:t>)</w:t>
      </w:r>
      <w:r w:rsidRPr="0054032F">
        <w:rPr>
          <w:rFonts w:ascii="Times New Roman" w:hAnsi="Times New Roman"/>
          <w:szCs w:val="24"/>
        </w:rPr>
        <w:t>.</w:t>
      </w:r>
    </w:p>
    <w:p w:rsidR="006077D7" w:rsidRDefault="006077D7" w:rsidP="006077D7">
      <w:pPr>
        <w:spacing w:after="120"/>
        <w:rPr>
          <w:rFonts w:ascii="Times New Roman" w:hAnsi="Times New Roman"/>
          <w:szCs w:val="24"/>
        </w:rPr>
      </w:pPr>
      <w:r>
        <w:rPr>
          <w:rFonts w:ascii="Times New Roman" w:hAnsi="Times New Roman"/>
          <w:szCs w:val="24"/>
        </w:rPr>
        <w:t xml:space="preserve">The resolution calls </w:t>
      </w:r>
      <w:r w:rsidRPr="00411359">
        <w:rPr>
          <w:rFonts w:ascii="Times New Roman" w:hAnsi="Times New Roman"/>
          <w:szCs w:val="24"/>
        </w:rPr>
        <w:t xml:space="preserve">on the Commission not to authorise the import for food or feed uses of any genetically modified plant tolerant to a herbicide which is not authorised for use in the </w:t>
      </w:r>
      <w:r>
        <w:rPr>
          <w:rFonts w:ascii="Times New Roman" w:hAnsi="Times New Roman"/>
          <w:szCs w:val="24"/>
        </w:rPr>
        <w:t>Union (in this case glufosinate</w:t>
      </w:r>
      <w:r w:rsidRPr="00411359">
        <w:rPr>
          <w:rFonts w:ascii="Times New Roman" w:hAnsi="Times New Roman"/>
          <w:szCs w:val="24"/>
        </w:rPr>
        <w:t>)</w:t>
      </w:r>
      <w:r>
        <w:rPr>
          <w:rFonts w:ascii="Times New Roman" w:hAnsi="Times New Roman"/>
          <w:szCs w:val="24"/>
        </w:rPr>
        <w:t xml:space="preserve"> </w:t>
      </w:r>
      <w:r w:rsidRPr="00411359">
        <w:rPr>
          <w:rFonts w:ascii="Times New Roman" w:hAnsi="Times New Roman"/>
          <w:b/>
          <w:szCs w:val="24"/>
        </w:rPr>
        <w:t>(</w:t>
      </w:r>
      <w:r>
        <w:rPr>
          <w:rFonts w:ascii="Times New Roman" w:hAnsi="Times New Roman"/>
          <w:b/>
          <w:szCs w:val="24"/>
        </w:rPr>
        <w:t>paragraph</w:t>
      </w:r>
      <w:r w:rsidRPr="00411359">
        <w:rPr>
          <w:rFonts w:ascii="Times New Roman" w:hAnsi="Times New Roman"/>
          <w:b/>
          <w:szCs w:val="24"/>
        </w:rPr>
        <w:t xml:space="preserve"> </w:t>
      </w:r>
      <w:r>
        <w:rPr>
          <w:rFonts w:ascii="Times New Roman" w:hAnsi="Times New Roman"/>
          <w:b/>
          <w:szCs w:val="24"/>
        </w:rPr>
        <w:t>4</w:t>
      </w:r>
      <w:r w:rsidRPr="00411359">
        <w:rPr>
          <w:rFonts w:ascii="Times New Roman" w:hAnsi="Times New Roman"/>
          <w:b/>
          <w:szCs w:val="24"/>
        </w:rPr>
        <w:t>)</w:t>
      </w:r>
      <w:r w:rsidRPr="00411359">
        <w:rPr>
          <w:rFonts w:ascii="Times New Roman" w:hAnsi="Times New Roman"/>
          <w:szCs w:val="24"/>
        </w:rPr>
        <w:t>.</w:t>
      </w:r>
      <w:r>
        <w:rPr>
          <w:rFonts w:ascii="Times New Roman" w:hAnsi="Times New Roman"/>
          <w:szCs w:val="24"/>
        </w:rPr>
        <w:t xml:space="preserve"> </w:t>
      </w:r>
      <w:r w:rsidRPr="0054032F">
        <w:rPr>
          <w:rFonts w:ascii="Times New Roman" w:hAnsi="Times New Roman"/>
          <w:szCs w:val="24"/>
        </w:rPr>
        <w:t xml:space="preserve">Furthermore, the </w:t>
      </w:r>
      <w:r>
        <w:rPr>
          <w:rFonts w:ascii="Times New Roman" w:hAnsi="Times New Roman"/>
          <w:szCs w:val="24"/>
        </w:rPr>
        <w:t>r</w:t>
      </w:r>
      <w:r w:rsidRPr="0054032F">
        <w:rPr>
          <w:rFonts w:ascii="Times New Roman" w:hAnsi="Times New Roman"/>
          <w:szCs w:val="24"/>
        </w:rPr>
        <w:t>esolution calls on the Commission not to authorise any herbicide</w:t>
      </w:r>
      <w:r w:rsidRPr="000E0921">
        <w:rPr>
          <w:rFonts w:ascii="Times New Roman" w:hAnsi="Times New Roman"/>
          <w:szCs w:val="24"/>
        </w:rPr>
        <w:t xml:space="preserve">-tolerant genetically modified plants without full assessment of the residues from spraying with complementary herbicides, </w:t>
      </w:r>
      <w:r>
        <w:rPr>
          <w:rFonts w:ascii="Times New Roman" w:hAnsi="Times New Roman"/>
          <w:szCs w:val="24"/>
        </w:rPr>
        <w:t xml:space="preserve">metabolites </w:t>
      </w:r>
      <w:r w:rsidRPr="000E0921">
        <w:rPr>
          <w:rFonts w:ascii="Times New Roman" w:hAnsi="Times New Roman"/>
          <w:szCs w:val="24"/>
        </w:rPr>
        <w:t>and commercial formulations, as applied in the countries of cultivation</w:t>
      </w:r>
      <w:r w:rsidRPr="000E0921">
        <w:rPr>
          <w:rFonts w:ascii="Times New Roman" w:hAnsi="Times New Roman"/>
          <w:b/>
          <w:szCs w:val="24"/>
        </w:rPr>
        <w:t xml:space="preserve"> (</w:t>
      </w:r>
      <w:r>
        <w:rPr>
          <w:rFonts w:ascii="Times New Roman" w:hAnsi="Times New Roman"/>
          <w:b/>
          <w:szCs w:val="24"/>
        </w:rPr>
        <w:t>paragraph</w:t>
      </w:r>
      <w:r w:rsidRPr="000E0921">
        <w:rPr>
          <w:rFonts w:ascii="Times New Roman" w:hAnsi="Times New Roman"/>
          <w:b/>
          <w:szCs w:val="24"/>
        </w:rPr>
        <w:t xml:space="preserve"> </w:t>
      </w:r>
      <w:r>
        <w:rPr>
          <w:rFonts w:ascii="Times New Roman" w:hAnsi="Times New Roman"/>
          <w:b/>
          <w:szCs w:val="24"/>
        </w:rPr>
        <w:t>5</w:t>
      </w:r>
      <w:r w:rsidRPr="008A4FC4">
        <w:rPr>
          <w:rFonts w:ascii="Times New Roman" w:hAnsi="Times New Roman"/>
          <w:szCs w:val="24"/>
        </w:rPr>
        <w:t>)</w:t>
      </w:r>
      <w:r>
        <w:rPr>
          <w:rFonts w:ascii="Times New Roman" w:hAnsi="Times New Roman"/>
          <w:szCs w:val="24"/>
        </w:rPr>
        <w:t>. Moreover</w:t>
      </w:r>
      <w:r w:rsidRPr="008A4FC4">
        <w:rPr>
          <w:rFonts w:ascii="Times New Roman" w:hAnsi="Times New Roman"/>
          <w:szCs w:val="24"/>
        </w:rPr>
        <w:t xml:space="preserve">, </w:t>
      </w:r>
      <w:r w:rsidRPr="000E0921">
        <w:rPr>
          <w:rFonts w:ascii="Times New Roman" w:hAnsi="Times New Roman"/>
          <w:szCs w:val="24"/>
        </w:rPr>
        <w:t xml:space="preserve">the </w:t>
      </w:r>
      <w:r>
        <w:rPr>
          <w:rFonts w:ascii="Times New Roman" w:hAnsi="Times New Roman"/>
          <w:szCs w:val="24"/>
        </w:rPr>
        <w:t>r</w:t>
      </w:r>
      <w:r w:rsidRPr="000E0921">
        <w:rPr>
          <w:rFonts w:ascii="Times New Roman" w:hAnsi="Times New Roman"/>
          <w:szCs w:val="24"/>
        </w:rPr>
        <w:t>esolution calls on the Commission to integrate the risk assessment of the application of the complementary herbicides and their residues into the risk assessment of herbicide-tolerant genetically modified plants</w:t>
      </w:r>
      <w:r>
        <w:rPr>
          <w:rFonts w:ascii="Times New Roman" w:hAnsi="Times New Roman"/>
          <w:szCs w:val="24"/>
        </w:rPr>
        <w:t xml:space="preserve">, regardless of whether the </w:t>
      </w:r>
      <w:r w:rsidRPr="000E0921">
        <w:rPr>
          <w:rFonts w:ascii="Times New Roman" w:hAnsi="Times New Roman"/>
          <w:szCs w:val="24"/>
        </w:rPr>
        <w:t>genetically modified</w:t>
      </w:r>
      <w:r>
        <w:rPr>
          <w:rFonts w:ascii="Times New Roman" w:hAnsi="Times New Roman"/>
          <w:szCs w:val="24"/>
        </w:rPr>
        <w:t xml:space="preserve"> plant concerned is to be cultivated in the Union or for import for food and feed</w:t>
      </w:r>
      <w:r w:rsidRPr="000E0921">
        <w:rPr>
          <w:rFonts w:ascii="Times New Roman" w:hAnsi="Times New Roman"/>
          <w:szCs w:val="24"/>
        </w:rPr>
        <w:t xml:space="preserve"> </w:t>
      </w:r>
      <w:r>
        <w:rPr>
          <w:rFonts w:ascii="Times New Roman" w:hAnsi="Times New Roman"/>
          <w:szCs w:val="24"/>
        </w:rPr>
        <w:t xml:space="preserve">uses </w:t>
      </w:r>
      <w:r w:rsidRPr="000E0921">
        <w:rPr>
          <w:rFonts w:ascii="Times New Roman" w:hAnsi="Times New Roman"/>
          <w:b/>
          <w:szCs w:val="24"/>
        </w:rPr>
        <w:t>(</w:t>
      </w:r>
      <w:r>
        <w:rPr>
          <w:rFonts w:ascii="Times New Roman" w:hAnsi="Times New Roman"/>
          <w:b/>
          <w:szCs w:val="24"/>
        </w:rPr>
        <w:t>paragraph</w:t>
      </w:r>
      <w:r w:rsidRPr="000E0921">
        <w:rPr>
          <w:rFonts w:ascii="Times New Roman" w:hAnsi="Times New Roman"/>
          <w:b/>
          <w:szCs w:val="24"/>
        </w:rPr>
        <w:t xml:space="preserve"> </w:t>
      </w:r>
      <w:r>
        <w:rPr>
          <w:rFonts w:ascii="Times New Roman" w:hAnsi="Times New Roman"/>
          <w:b/>
          <w:szCs w:val="24"/>
        </w:rPr>
        <w:t>6</w:t>
      </w:r>
      <w:r w:rsidRPr="000E0921">
        <w:rPr>
          <w:rFonts w:ascii="Times New Roman" w:hAnsi="Times New Roman"/>
          <w:b/>
          <w:szCs w:val="24"/>
        </w:rPr>
        <w:t>)</w:t>
      </w:r>
      <w:r>
        <w:rPr>
          <w:rFonts w:ascii="Times New Roman" w:hAnsi="Times New Roman"/>
          <w:szCs w:val="24"/>
        </w:rPr>
        <w:t>.</w:t>
      </w:r>
      <w:r w:rsidRPr="008A4FC4">
        <w:rPr>
          <w:rFonts w:ascii="Times New Roman" w:hAnsi="Times New Roman"/>
          <w:szCs w:val="24"/>
        </w:rPr>
        <w:t xml:space="preserve"> </w:t>
      </w:r>
      <w:r>
        <w:rPr>
          <w:rFonts w:ascii="Times New Roman" w:hAnsi="Times New Roman"/>
          <w:szCs w:val="24"/>
        </w:rPr>
        <w:t xml:space="preserve">Finally, the </w:t>
      </w:r>
      <w:r>
        <w:rPr>
          <w:rFonts w:ascii="Times New Roman" w:hAnsi="Times New Roman"/>
          <w:szCs w:val="24"/>
        </w:rPr>
        <w:lastRenderedPageBreak/>
        <w:t xml:space="preserve">resolution calls on the Commission to not to authorise </w:t>
      </w:r>
      <w:r w:rsidRPr="00A632F3">
        <w:rPr>
          <w:rFonts w:ascii="Times New Roman" w:hAnsi="Times New Roman"/>
          <w:szCs w:val="24"/>
        </w:rPr>
        <w:t xml:space="preserve">any sub-combinations of stacked events unless they have been thoroughly evaluated by </w:t>
      </w:r>
      <w:r>
        <w:rPr>
          <w:rFonts w:ascii="Times New Roman" w:hAnsi="Times New Roman"/>
          <w:szCs w:val="24"/>
        </w:rPr>
        <w:t xml:space="preserve">the </w:t>
      </w:r>
      <w:r w:rsidRPr="007319E7">
        <w:rPr>
          <w:rFonts w:ascii="Times New Roman" w:hAnsi="Times New Roman"/>
          <w:szCs w:val="24"/>
        </w:rPr>
        <w:t>European Food Safety Authority</w:t>
      </w:r>
      <w:r>
        <w:rPr>
          <w:rFonts w:ascii="inherit" w:hAnsi="inherit" w:cs="Arial"/>
          <w:color w:val="666666"/>
          <w:sz w:val="18"/>
          <w:szCs w:val="18"/>
        </w:rPr>
        <w:t xml:space="preserve"> </w:t>
      </w:r>
      <w:r>
        <w:rPr>
          <w:rFonts w:ascii="Times New Roman" w:hAnsi="Times New Roman"/>
          <w:szCs w:val="24"/>
        </w:rPr>
        <w:t>(</w:t>
      </w:r>
      <w:r w:rsidRPr="00A632F3">
        <w:rPr>
          <w:rFonts w:ascii="Times New Roman" w:hAnsi="Times New Roman"/>
          <w:szCs w:val="24"/>
        </w:rPr>
        <w:t>EFSA</w:t>
      </w:r>
      <w:r>
        <w:rPr>
          <w:rFonts w:ascii="Times New Roman" w:hAnsi="Times New Roman"/>
          <w:szCs w:val="24"/>
        </w:rPr>
        <w:t>)</w:t>
      </w:r>
      <w:r w:rsidRPr="00A632F3">
        <w:rPr>
          <w:rFonts w:ascii="Times New Roman" w:hAnsi="Times New Roman"/>
          <w:szCs w:val="24"/>
        </w:rPr>
        <w:t xml:space="preserve"> on the basis of complete data submitted by the applicant</w:t>
      </w:r>
      <w:r>
        <w:rPr>
          <w:rFonts w:ascii="Times New Roman" w:hAnsi="Times New Roman"/>
          <w:szCs w:val="24"/>
        </w:rPr>
        <w:t xml:space="preserve"> (</w:t>
      </w:r>
      <w:r>
        <w:rPr>
          <w:rFonts w:ascii="Times New Roman" w:hAnsi="Times New Roman"/>
          <w:b/>
          <w:szCs w:val="24"/>
        </w:rPr>
        <w:t>paragraph</w:t>
      </w:r>
      <w:r w:rsidRPr="00EE3560">
        <w:rPr>
          <w:rFonts w:ascii="Times New Roman" w:hAnsi="Times New Roman"/>
          <w:b/>
          <w:szCs w:val="24"/>
        </w:rPr>
        <w:t xml:space="preserve"> 7</w:t>
      </w:r>
      <w:r>
        <w:rPr>
          <w:rFonts w:ascii="Times New Roman" w:hAnsi="Times New Roman"/>
          <w:szCs w:val="24"/>
        </w:rPr>
        <w:t>), and c</w:t>
      </w:r>
      <w:r w:rsidRPr="00A632F3">
        <w:rPr>
          <w:rFonts w:ascii="Times New Roman" w:hAnsi="Times New Roman"/>
          <w:szCs w:val="24"/>
        </w:rPr>
        <w:t>alls on EFSA to further develop and systemat</w:t>
      </w:r>
      <w:r>
        <w:rPr>
          <w:rFonts w:ascii="Times New Roman" w:hAnsi="Times New Roman"/>
          <w:szCs w:val="24"/>
        </w:rPr>
        <w:t xml:space="preserve">ically use methods that permit </w:t>
      </w:r>
      <w:r w:rsidRPr="00A632F3">
        <w:rPr>
          <w:rFonts w:ascii="Times New Roman" w:hAnsi="Times New Roman"/>
          <w:szCs w:val="24"/>
        </w:rPr>
        <w:t>identification of unintended effects of stacked GM events which are known and expected, such as in relation to the adjuvant properties of Bt toxins</w:t>
      </w:r>
      <w:r w:rsidRPr="00962F02">
        <w:rPr>
          <w:rFonts w:ascii="Times New Roman" w:hAnsi="Times New Roman"/>
          <w:szCs w:val="24"/>
        </w:rPr>
        <w:t xml:space="preserve"> </w:t>
      </w:r>
      <w:r>
        <w:rPr>
          <w:rFonts w:ascii="Times New Roman" w:hAnsi="Times New Roman"/>
          <w:b/>
          <w:szCs w:val="24"/>
        </w:rPr>
        <w:t>(paragraph</w:t>
      </w:r>
      <w:r w:rsidRPr="00962F02">
        <w:rPr>
          <w:rFonts w:ascii="Times New Roman" w:hAnsi="Times New Roman"/>
          <w:b/>
          <w:szCs w:val="24"/>
        </w:rPr>
        <w:t xml:space="preserve"> </w:t>
      </w:r>
      <w:r>
        <w:rPr>
          <w:rFonts w:ascii="Times New Roman" w:hAnsi="Times New Roman"/>
          <w:b/>
          <w:szCs w:val="24"/>
        </w:rPr>
        <w:t>8</w:t>
      </w:r>
      <w:r w:rsidRPr="00962F02">
        <w:rPr>
          <w:rFonts w:ascii="Times New Roman" w:hAnsi="Times New Roman"/>
          <w:b/>
          <w:szCs w:val="24"/>
        </w:rPr>
        <w:t>)</w:t>
      </w:r>
      <w:r>
        <w:rPr>
          <w:rFonts w:ascii="Times New Roman" w:hAnsi="Times New Roman"/>
          <w:szCs w:val="24"/>
        </w:rPr>
        <w:t>.</w:t>
      </w:r>
    </w:p>
    <w:p w:rsidR="006077D7" w:rsidRDefault="006077D7" w:rsidP="006077D7">
      <w:pPr>
        <w:spacing w:after="120"/>
        <w:rPr>
          <w:rFonts w:ascii="Times New Roman" w:hAnsi="Times New Roman"/>
        </w:rPr>
      </w:pPr>
      <w:r w:rsidRPr="00164FC4">
        <w:rPr>
          <w:rFonts w:ascii="Times New Roman" w:hAnsi="Times New Roman"/>
          <w:szCs w:val="24"/>
        </w:rPr>
        <w:t xml:space="preserve">The </w:t>
      </w:r>
      <w:r>
        <w:rPr>
          <w:rFonts w:ascii="Times New Roman" w:hAnsi="Times New Roman"/>
          <w:szCs w:val="24"/>
        </w:rPr>
        <w:t>r</w:t>
      </w:r>
      <w:r w:rsidRPr="00164FC4">
        <w:rPr>
          <w:rFonts w:ascii="Times New Roman" w:hAnsi="Times New Roman"/>
          <w:szCs w:val="24"/>
        </w:rPr>
        <w:t xml:space="preserve">esolution recalls that </w:t>
      </w:r>
      <w:r w:rsidRPr="004C5070">
        <w:rPr>
          <w:rFonts w:ascii="Times New Roman" w:hAnsi="Times New Roman"/>
          <w:szCs w:val="24"/>
        </w:rPr>
        <w:t xml:space="preserve">the four-event stack maize Bt11 x MIR162 x 1507 x GA21 is made tolerant to glyphosate and </w:t>
      </w:r>
      <w:r w:rsidRPr="0056566A">
        <w:rPr>
          <w:rFonts w:ascii="Times New Roman" w:hAnsi="Times New Roman"/>
        </w:rPr>
        <w:t>glufosinate herbicides, and resistant to insects through the production of two different Bt proteins (</w:t>
      </w:r>
      <w:r>
        <w:rPr>
          <w:rFonts w:ascii="Times New Roman" w:hAnsi="Times New Roman"/>
          <w:b/>
        </w:rPr>
        <w:t>r</w:t>
      </w:r>
      <w:r w:rsidRPr="00320F16">
        <w:rPr>
          <w:rFonts w:ascii="Times New Roman" w:hAnsi="Times New Roman"/>
          <w:b/>
        </w:rPr>
        <w:t>ecital C</w:t>
      </w:r>
      <w:r w:rsidRPr="0056566A">
        <w:rPr>
          <w:rFonts w:ascii="Times New Roman" w:hAnsi="Times New Roman"/>
        </w:rPr>
        <w:t>)</w:t>
      </w:r>
      <w:r>
        <w:rPr>
          <w:rFonts w:ascii="Times New Roman" w:hAnsi="Times New Roman"/>
        </w:rPr>
        <w:t>. It recalls t</w:t>
      </w:r>
      <w:r w:rsidRPr="0056566A">
        <w:rPr>
          <w:rFonts w:ascii="Times New Roman" w:hAnsi="Times New Roman"/>
        </w:rPr>
        <w:t>hat the scope of the application include three sub-combinations</w:t>
      </w:r>
      <w:r>
        <w:rPr>
          <w:rStyle w:val="FootnoteReference"/>
          <w:rFonts w:ascii="Times New Roman" w:hAnsi="Times New Roman"/>
        </w:rPr>
        <w:footnoteReference w:id="1"/>
      </w:r>
      <w:r w:rsidRPr="0056566A">
        <w:rPr>
          <w:rFonts w:ascii="Times New Roman" w:hAnsi="Times New Roman"/>
        </w:rPr>
        <w:t xml:space="preserve"> (</w:t>
      </w:r>
      <w:r>
        <w:rPr>
          <w:rFonts w:ascii="Times New Roman" w:hAnsi="Times New Roman"/>
          <w:b/>
        </w:rPr>
        <w:t>r</w:t>
      </w:r>
      <w:r w:rsidRPr="00320F16">
        <w:rPr>
          <w:rFonts w:ascii="Times New Roman" w:hAnsi="Times New Roman"/>
          <w:b/>
        </w:rPr>
        <w:t>ecital B</w:t>
      </w:r>
      <w:r w:rsidRPr="0056566A">
        <w:rPr>
          <w:rFonts w:ascii="Times New Roman" w:hAnsi="Times New Roman"/>
        </w:rPr>
        <w:t>)</w:t>
      </w:r>
      <w:r>
        <w:rPr>
          <w:rFonts w:ascii="Times New Roman" w:hAnsi="Times New Roman"/>
        </w:rPr>
        <w:t xml:space="preserve"> whereas no data were provided for those sub-combinations by the applicant, and EFSA did not ask for such </w:t>
      </w:r>
      <w:r w:rsidRPr="00895B07">
        <w:rPr>
          <w:rFonts w:ascii="Times New Roman" w:hAnsi="Times New Roman"/>
        </w:rPr>
        <w:t>data (</w:t>
      </w:r>
      <w:r>
        <w:rPr>
          <w:rFonts w:ascii="Times New Roman" w:hAnsi="Times New Roman"/>
          <w:b/>
        </w:rPr>
        <w:t>r</w:t>
      </w:r>
      <w:r w:rsidRPr="00895B07">
        <w:rPr>
          <w:rFonts w:ascii="Times New Roman" w:hAnsi="Times New Roman"/>
          <w:b/>
        </w:rPr>
        <w:t>ecital E</w:t>
      </w:r>
      <w:r w:rsidRPr="00895B07">
        <w:rPr>
          <w:rFonts w:ascii="Times New Roman" w:hAnsi="Times New Roman"/>
        </w:rPr>
        <w:t xml:space="preserve">). The </w:t>
      </w:r>
      <w:r>
        <w:rPr>
          <w:rFonts w:ascii="Times New Roman" w:hAnsi="Times New Roman"/>
        </w:rPr>
        <w:t>r</w:t>
      </w:r>
      <w:r w:rsidRPr="00895B07">
        <w:rPr>
          <w:rFonts w:ascii="Times New Roman" w:hAnsi="Times New Roman"/>
        </w:rPr>
        <w:t>esolution</w:t>
      </w:r>
      <w:r w:rsidRPr="0056566A">
        <w:rPr>
          <w:rFonts w:ascii="Times New Roman" w:hAnsi="Times New Roman"/>
        </w:rPr>
        <w:t xml:space="preserve"> recalls that EFSA adopted a favourable opinion for this GM maize, however a minority opinion was expressed by </w:t>
      </w:r>
      <w:r>
        <w:rPr>
          <w:rFonts w:ascii="Times New Roman" w:hAnsi="Times New Roman"/>
        </w:rPr>
        <w:t>one</w:t>
      </w:r>
      <w:r w:rsidRPr="0056566A">
        <w:rPr>
          <w:rFonts w:ascii="Times New Roman" w:hAnsi="Times New Roman"/>
        </w:rPr>
        <w:t xml:space="preserve"> member of the EFSA GMO Panel (</w:t>
      </w:r>
      <w:r>
        <w:rPr>
          <w:rFonts w:ascii="Times New Roman" w:hAnsi="Times New Roman"/>
          <w:b/>
        </w:rPr>
        <w:t>r</w:t>
      </w:r>
      <w:r w:rsidRPr="004A25D2">
        <w:rPr>
          <w:rFonts w:ascii="Times New Roman" w:hAnsi="Times New Roman"/>
          <w:b/>
        </w:rPr>
        <w:t>ecital D</w:t>
      </w:r>
      <w:r w:rsidRPr="0056566A">
        <w:rPr>
          <w:rFonts w:ascii="Times New Roman" w:hAnsi="Times New Roman"/>
        </w:rPr>
        <w:t xml:space="preserve">). </w:t>
      </w:r>
      <w:r>
        <w:rPr>
          <w:rFonts w:ascii="Times New Roman" w:hAnsi="Times New Roman"/>
        </w:rPr>
        <w:t>The minority opinion is linked to the absence of submitted data for the three sub-combinations (</w:t>
      </w:r>
      <w:r>
        <w:rPr>
          <w:rFonts w:ascii="Times New Roman" w:hAnsi="Times New Roman"/>
          <w:b/>
        </w:rPr>
        <w:t>r</w:t>
      </w:r>
      <w:r w:rsidRPr="00B17250">
        <w:rPr>
          <w:rFonts w:ascii="Times New Roman" w:hAnsi="Times New Roman"/>
          <w:b/>
        </w:rPr>
        <w:t>ecitals F and I</w:t>
      </w:r>
      <w:r>
        <w:rPr>
          <w:rFonts w:ascii="Times New Roman" w:hAnsi="Times New Roman"/>
        </w:rPr>
        <w:t>), lack of appropriate tests for Bt proteins (</w:t>
      </w:r>
      <w:r>
        <w:rPr>
          <w:rFonts w:ascii="Times New Roman" w:hAnsi="Times New Roman"/>
          <w:b/>
        </w:rPr>
        <w:t>r</w:t>
      </w:r>
      <w:r w:rsidRPr="00793825">
        <w:rPr>
          <w:rFonts w:ascii="Times New Roman" w:hAnsi="Times New Roman"/>
          <w:b/>
        </w:rPr>
        <w:t>ecital H</w:t>
      </w:r>
      <w:r>
        <w:rPr>
          <w:rFonts w:ascii="Times New Roman" w:hAnsi="Times New Roman"/>
        </w:rPr>
        <w:t>) and the potential of Bt proteins in these sub-combinations to increase allergenic risk</w:t>
      </w:r>
      <w:r w:rsidRPr="00B17250">
        <w:rPr>
          <w:rFonts w:ascii="Times New Roman" w:hAnsi="Times New Roman"/>
        </w:rPr>
        <w:t xml:space="preserve"> </w:t>
      </w:r>
      <w:r>
        <w:rPr>
          <w:rFonts w:ascii="Times New Roman" w:hAnsi="Times New Roman"/>
        </w:rPr>
        <w:t>(</w:t>
      </w:r>
      <w:r>
        <w:rPr>
          <w:rFonts w:ascii="Times New Roman" w:hAnsi="Times New Roman"/>
          <w:b/>
        </w:rPr>
        <w:t>r</w:t>
      </w:r>
      <w:r w:rsidRPr="00B17250">
        <w:rPr>
          <w:rFonts w:ascii="Times New Roman" w:hAnsi="Times New Roman"/>
          <w:b/>
        </w:rPr>
        <w:t>ecitals G and I</w:t>
      </w:r>
      <w:r>
        <w:rPr>
          <w:rFonts w:ascii="Times New Roman" w:hAnsi="Times New Roman"/>
        </w:rPr>
        <w:t>).</w:t>
      </w:r>
    </w:p>
    <w:p w:rsidR="006077D7" w:rsidRDefault="006077D7" w:rsidP="006077D7">
      <w:pPr>
        <w:spacing w:after="120"/>
        <w:rPr>
          <w:rFonts w:ascii="Times New Roman" w:hAnsi="Times New Roman"/>
          <w:szCs w:val="24"/>
        </w:rPr>
      </w:pPr>
      <w:r w:rsidRPr="00D44B8F">
        <w:rPr>
          <w:rFonts w:ascii="Times New Roman" w:hAnsi="Times New Roman"/>
          <w:szCs w:val="24"/>
          <w:lang w:val="en-US"/>
        </w:rPr>
        <w:t xml:space="preserve">The </w:t>
      </w:r>
      <w:r>
        <w:rPr>
          <w:rFonts w:ascii="Times New Roman" w:hAnsi="Times New Roman"/>
          <w:szCs w:val="24"/>
          <w:lang w:val="en-US"/>
        </w:rPr>
        <w:t>r</w:t>
      </w:r>
      <w:r w:rsidRPr="00D44B8F">
        <w:rPr>
          <w:rFonts w:ascii="Times New Roman" w:hAnsi="Times New Roman"/>
          <w:szCs w:val="24"/>
          <w:lang w:val="en-US"/>
        </w:rPr>
        <w:t xml:space="preserve">esolution mentions that the use of </w:t>
      </w:r>
      <w:r w:rsidRPr="00D44B8F">
        <w:rPr>
          <w:rFonts w:ascii="Times New Roman" w:hAnsi="Times New Roman"/>
          <w:szCs w:val="24"/>
        </w:rPr>
        <w:t>glufosinate is not permitted in the Union, as it has been classified as toxic to reproduction</w:t>
      </w:r>
      <w:r>
        <w:rPr>
          <w:rFonts w:ascii="Times New Roman" w:hAnsi="Times New Roman"/>
          <w:b/>
          <w:szCs w:val="24"/>
        </w:rPr>
        <w:t xml:space="preserve"> (r</w:t>
      </w:r>
      <w:r w:rsidRPr="00D44B8F">
        <w:rPr>
          <w:rFonts w:ascii="Times New Roman" w:hAnsi="Times New Roman"/>
          <w:b/>
          <w:szCs w:val="24"/>
        </w:rPr>
        <w:t>ecital K)</w:t>
      </w:r>
      <w:r>
        <w:rPr>
          <w:rFonts w:ascii="Times New Roman" w:hAnsi="Times New Roman"/>
          <w:b/>
          <w:szCs w:val="24"/>
        </w:rPr>
        <w:t xml:space="preserve"> </w:t>
      </w:r>
      <w:r w:rsidRPr="00D44B8F">
        <w:rPr>
          <w:rFonts w:ascii="Times New Roman" w:hAnsi="Times New Roman"/>
          <w:szCs w:val="24"/>
        </w:rPr>
        <w:t xml:space="preserve">and states that questions concerning the carcinogenicity of glyphosate remain </w:t>
      </w:r>
      <w:r w:rsidRPr="00D44B8F">
        <w:rPr>
          <w:rFonts w:ascii="Times New Roman" w:hAnsi="Times New Roman"/>
          <w:b/>
          <w:szCs w:val="24"/>
        </w:rPr>
        <w:t>(</w:t>
      </w:r>
      <w:r>
        <w:rPr>
          <w:rFonts w:ascii="Times New Roman" w:hAnsi="Times New Roman"/>
          <w:b/>
          <w:szCs w:val="24"/>
        </w:rPr>
        <w:t>r</w:t>
      </w:r>
      <w:r w:rsidRPr="00EE52EF">
        <w:rPr>
          <w:rFonts w:ascii="Times New Roman" w:hAnsi="Times New Roman"/>
          <w:b/>
          <w:szCs w:val="24"/>
        </w:rPr>
        <w:t>ecital L)</w:t>
      </w:r>
      <w:r w:rsidRPr="00EE52EF">
        <w:rPr>
          <w:rFonts w:ascii="Times New Roman" w:hAnsi="Times New Roman"/>
          <w:szCs w:val="24"/>
        </w:rPr>
        <w:t>. The</w:t>
      </w:r>
      <w:r w:rsidRPr="009107BD">
        <w:rPr>
          <w:rFonts w:ascii="Times New Roman" w:hAnsi="Times New Roman"/>
          <w:szCs w:val="24"/>
        </w:rPr>
        <w:t xml:space="preserve"> </w:t>
      </w:r>
      <w:r>
        <w:rPr>
          <w:rFonts w:ascii="Times New Roman" w:hAnsi="Times New Roman"/>
          <w:szCs w:val="24"/>
        </w:rPr>
        <w:t>r</w:t>
      </w:r>
      <w:r w:rsidRPr="009107BD">
        <w:rPr>
          <w:rFonts w:ascii="Times New Roman" w:hAnsi="Times New Roman"/>
          <w:szCs w:val="24"/>
        </w:rPr>
        <w:t xml:space="preserve">esolution </w:t>
      </w:r>
      <w:r>
        <w:rPr>
          <w:rFonts w:ascii="Times New Roman" w:hAnsi="Times New Roman"/>
          <w:szCs w:val="24"/>
        </w:rPr>
        <w:t>states</w:t>
      </w:r>
      <w:r w:rsidRPr="009107BD">
        <w:rPr>
          <w:rFonts w:ascii="Times New Roman" w:hAnsi="Times New Roman"/>
          <w:szCs w:val="24"/>
        </w:rPr>
        <w:t xml:space="preserve"> that conclusions on the safety of residues from spraying </w:t>
      </w:r>
      <w:r w:rsidRPr="006B0D6B">
        <w:rPr>
          <w:rFonts w:ascii="Times New Roman" w:hAnsi="Times New Roman"/>
          <w:szCs w:val="24"/>
        </w:rPr>
        <w:t>genetically modified</w:t>
      </w:r>
      <w:r w:rsidRPr="009107BD">
        <w:rPr>
          <w:rFonts w:ascii="Times New Roman" w:hAnsi="Times New Roman"/>
          <w:szCs w:val="24"/>
        </w:rPr>
        <w:t xml:space="preserve"> crops with glyphosate formulations cannot be drawn, that additive and mixtures used in commercial </w:t>
      </w:r>
      <w:r w:rsidRPr="004F4AD2">
        <w:rPr>
          <w:rFonts w:ascii="Times New Roman" w:hAnsi="Times New Roman"/>
          <w:szCs w:val="24"/>
        </w:rPr>
        <w:t xml:space="preserve">formulations can show a higher toxicity than glyphosate alone </w:t>
      </w:r>
      <w:r>
        <w:rPr>
          <w:rFonts w:ascii="Times New Roman" w:hAnsi="Times New Roman"/>
          <w:b/>
          <w:szCs w:val="24"/>
        </w:rPr>
        <w:t>(recital M</w:t>
      </w:r>
      <w:r w:rsidRPr="00B047DF">
        <w:rPr>
          <w:rFonts w:ascii="Times New Roman" w:hAnsi="Times New Roman"/>
          <w:b/>
          <w:szCs w:val="24"/>
        </w:rPr>
        <w:t>)</w:t>
      </w:r>
      <w:r w:rsidRPr="00B047DF">
        <w:rPr>
          <w:rFonts w:ascii="Times New Roman" w:hAnsi="Times New Roman"/>
          <w:szCs w:val="24"/>
        </w:rPr>
        <w:t>, and that some problematic additives are still permitted in countries where this GM maize is cultivated</w:t>
      </w:r>
      <w:r>
        <w:rPr>
          <w:rFonts w:ascii="Times New Roman" w:hAnsi="Times New Roman"/>
          <w:b/>
          <w:szCs w:val="24"/>
        </w:rPr>
        <w:t xml:space="preserve"> (recital N)</w:t>
      </w:r>
      <w:r w:rsidRPr="004F4AD2">
        <w:rPr>
          <w:rFonts w:ascii="Times New Roman" w:hAnsi="Times New Roman"/>
          <w:szCs w:val="24"/>
        </w:rPr>
        <w:t>.</w:t>
      </w:r>
      <w:r>
        <w:rPr>
          <w:rFonts w:ascii="Times New Roman" w:hAnsi="Times New Roman"/>
          <w:szCs w:val="24"/>
        </w:rPr>
        <w:t xml:space="preserve"> The resolution </w:t>
      </w:r>
      <w:r w:rsidRPr="00FD6D42">
        <w:rPr>
          <w:rFonts w:ascii="Times New Roman" w:hAnsi="Times New Roman"/>
          <w:szCs w:val="24"/>
        </w:rPr>
        <w:t xml:space="preserve">mentions that it </w:t>
      </w:r>
      <w:r>
        <w:rPr>
          <w:rFonts w:ascii="Times New Roman" w:hAnsi="Times New Roman"/>
          <w:szCs w:val="24"/>
        </w:rPr>
        <w:t xml:space="preserve">can be </w:t>
      </w:r>
      <w:r w:rsidRPr="00FD6D42">
        <w:rPr>
          <w:rFonts w:ascii="Times New Roman" w:hAnsi="Times New Roman"/>
          <w:szCs w:val="24"/>
        </w:rPr>
        <w:t>expected that th</w:t>
      </w:r>
      <w:r>
        <w:rPr>
          <w:rFonts w:ascii="Times New Roman" w:hAnsi="Times New Roman"/>
          <w:szCs w:val="24"/>
        </w:rPr>
        <w:t>e</w:t>
      </w:r>
      <w:r w:rsidRPr="00FD6D42">
        <w:rPr>
          <w:rFonts w:ascii="Times New Roman" w:hAnsi="Times New Roman"/>
          <w:szCs w:val="24"/>
        </w:rPr>
        <w:t xml:space="preserve"> maize will be exposed to higher and repeated doses of glyphosate and glufosinate, leading to a higher burden of residues in the harvest, and </w:t>
      </w:r>
      <w:r>
        <w:rPr>
          <w:rFonts w:ascii="Times New Roman" w:hAnsi="Times New Roman"/>
          <w:szCs w:val="24"/>
        </w:rPr>
        <w:t xml:space="preserve">that </w:t>
      </w:r>
      <w:r w:rsidRPr="00FD6D42">
        <w:rPr>
          <w:rFonts w:ascii="Times New Roman" w:hAnsi="Times New Roman"/>
          <w:szCs w:val="24"/>
        </w:rPr>
        <w:t xml:space="preserve">those herbicides may also influence the composition of the plant </w:t>
      </w:r>
      <w:r>
        <w:rPr>
          <w:rFonts w:ascii="Times New Roman" w:hAnsi="Times New Roman"/>
          <w:b/>
          <w:szCs w:val="24"/>
        </w:rPr>
        <w:t>(r</w:t>
      </w:r>
      <w:r w:rsidRPr="00DE0C78">
        <w:rPr>
          <w:rFonts w:ascii="Times New Roman" w:hAnsi="Times New Roman"/>
          <w:b/>
          <w:szCs w:val="24"/>
        </w:rPr>
        <w:t xml:space="preserve">ecital </w:t>
      </w:r>
      <w:r>
        <w:rPr>
          <w:rFonts w:ascii="Times New Roman" w:hAnsi="Times New Roman"/>
          <w:b/>
          <w:szCs w:val="24"/>
        </w:rPr>
        <w:t>J</w:t>
      </w:r>
      <w:r w:rsidRPr="003E3E3A">
        <w:rPr>
          <w:rFonts w:ascii="Times New Roman" w:hAnsi="Times New Roman"/>
          <w:b/>
          <w:szCs w:val="24"/>
        </w:rPr>
        <w:t>)</w:t>
      </w:r>
      <w:r w:rsidRPr="003E3E3A">
        <w:rPr>
          <w:rFonts w:ascii="Times New Roman" w:hAnsi="Times New Roman"/>
          <w:szCs w:val="24"/>
        </w:rPr>
        <w:t>, and that EFSA</w:t>
      </w:r>
      <w:r>
        <w:rPr>
          <w:rFonts w:ascii="Times New Roman" w:hAnsi="Times New Roman"/>
          <w:b/>
          <w:szCs w:val="24"/>
        </w:rPr>
        <w:t xml:space="preserve"> </w:t>
      </w:r>
      <w:r>
        <w:rPr>
          <w:rFonts w:ascii="Times New Roman" w:hAnsi="Times New Roman"/>
        </w:rPr>
        <w:t>did not ask for</w:t>
      </w:r>
      <w:r>
        <w:rPr>
          <w:rFonts w:ascii="Times New Roman" w:hAnsi="Times New Roman"/>
          <w:b/>
          <w:szCs w:val="24"/>
        </w:rPr>
        <w:t xml:space="preserve"> </w:t>
      </w:r>
      <w:r w:rsidRPr="003E3E3A">
        <w:rPr>
          <w:rFonts w:ascii="Times New Roman" w:hAnsi="Times New Roman"/>
        </w:rPr>
        <w:t xml:space="preserve">data from field trials with the highest dosage of herbicides that can be tolerated by the </w:t>
      </w:r>
      <w:r>
        <w:rPr>
          <w:rFonts w:ascii="Times New Roman" w:hAnsi="Times New Roman"/>
        </w:rPr>
        <w:t xml:space="preserve">GM maize </w:t>
      </w:r>
      <w:r w:rsidRPr="003E3E3A">
        <w:rPr>
          <w:rFonts w:ascii="Times New Roman" w:hAnsi="Times New Roman"/>
        </w:rPr>
        <w:t>(</w:t>
      </w:r>
      <w:r>
        <w:rPr>
          <w:rFonts w:ascii="Times New Roman" w:hAnsi="Times New Roman"/>
          <w:b/>
        </w:rPr>
        <w:t>r</w:t>
      </w:r>
      <w:r w:rsidRPr="003E3E3A">
        <w:rPr>
          <w:rFonts w:ascii="Times New Roman" w:hAnsi="Times New Roman"/>
          <w:b/>
        </w:rPr>
        <w:t>ecital Q</w:t>
      </w:r>
      <w:r w:rsidRPr="003E3E3A">
        <w:rPr>
          <w:rFonts w:ascii="Times New Roman" w:hAnsi="Times New Roman"/>
        </w:rPr>
        <w:t>)</w:t>
      </w:r>
      <w:r>
        <w:rPr>
          <w:rFonts w:ascii="Times New Roman" w:hAnsi="Times New Roman"/>
        </w:rPr>
        <w:t xml:space="preserve">. </w:t>
      </w:r>
      <w:r w:rsidRPr="003E3E3A">
        <w:rPr>
          <w:rFonts w:ascii="Times New Roman" w:hAnsi="Times New Roman"/>
          <w:szCs w:val="24"/>
        </w:rPr>
        <w:t xml:space="preserve">The </w:t>
      </w:r>
      <w:r>
        <w:rPr>
          <w:rFonts w:ascii="Times New Roman" w:hAnsi="Times New Roman"/>
          <w:szCs w:val="24"/>
        </w:rPr>
        <w:t>r</w:t>
      </w:r>
      <w:r w:rsidRPr="003E3E3A">
        <w:rPr>
          <w:rFonts w:ascii="Times New Roman" w:hAnsi="Times New Roman"/>
          <w:szCs w:val="24"/>
        </w:rPr>
        <w:t>esolution</w:t>
      </w:r>
      <w:r w:rsidRPr="004F4AD2">
        <w:rPr>
          <w:rFonts w:ascii="Times New Roman" w:hAnsi="Times New Roman"/>
          <w:szCs w:val="24"/>
        </w:rPr>
        <w:t xml:space="preserve"> </w:t>
      </w:r>
      <w:r w:rsidRPr="00EE52EF">
        <w:rPr>
          <w:rFonts w:ascii="Times New Roman" w:hAnsi="Times New Roman"/>
          <w:szCs w:val="24"/>
        </w:rPr>
        <w:t>states</w:t>
      </w:r>
      <w:r>
        <w:rPr>
          <w:rFonts w:ascii="Times New Roman" w:hAnsi="Times New Roman"/>
          <w:b/>
          <w:szCs w:val="24"/>
        </w:rPr>
        <w:t xml:space="preserve"> </w:t>
      </w:r>
      <w:r w:rsidRPr="00554FBA">
        <w:rPr>
          <w:rFonts w:ascii="Times New Roman" w:hAnsi="Times New Roman"/>
          <w:szCs w:val="24"/>
        </w:rPr>
        <w:t>that residues from spraying this GM maize with herbicides have not been assessed</w:t>
      </w:r>
      <w:r>
        <w:rPr>
          <w:rFonts w:ascii="Times New Roman" w:hAnsi="Times New Roman"/>
          <w:b/>
          <w:szCs w:val="24"/>
        </w:rPr>
        <w:t xml:space="preserve"> (recital O), </w:t>
      </w:r>
      <w:r w:rsidRPr="00127332">
        <w:rPr>
          <w:rFonts w:ascii="Times New Roman" w:hAnsi="Times New Roman"/>
          <w:szCs w:val="24"/>
        </w:rPr>
        <w:t xml:space="preserve">nor the metabolites </w:t>
      </w:r>
      <w:r>
        <w:rPr>
          <w:rFonts w:ascii="Times New Roman" w:hAnsi="Times New Roman"/>
          <w:szCs w:val="24"/>
        </w:rPr>
        <w:t xml:space="preserve">of the herbicides, </w:t>
      </w:r>
      <w:r w:rsidRPr="00127332">
        <w:rPr>
          <w:rFonts w:ascii="Times New Roman" w:hAnsi="Times New Roman"/>
          <w:szCs w:val="24"/>
        </w:rPr>
        <w:t>which may differ on stacked plants from those on the parental plant</w:t>
      </w:r>
      <w:r>
        <w:rPr>
          <w:rFonts w:ascii="Times New Roman" w:hAnsi="Times New Roman"/>
          <w:szCs w:val="24"/>
        </w:rPr>
        <w:t>s</w:t>
      </w:r>
      <w:r>
        <w:rPr>
          <w:rFonts w:ascii="Times New Roman" w:hAnsi="Times New Roman"/>
          <w:b/>
          <w:szCs w:val="24"/>
        </w:rPr>
        <w:t xml:space="preserve"> (recital P), </w:t>
      </w:r>
      <w:r w:rsidRPr="005125DD">
        <w:rPr>
          <w:rFonts w:ascii="Times New Roman" w:hAnsi="Times New Roman"/>
          <w:szCs w:val="24"/>
        </w:rPr>
        <w:t xml:space="preserve">nor combinatorial </w:t>
      </w:r>
      <w:r>
        <w:rPr>
          <w:rFonts w:ascii="Times New Roman" w:hAnsi="Times New Roman"/>
          <w:szCs w:val="24"/>
        </w:rPr>
        <w:t>e</w:t>
      </w:r>
      <w:r w:rsidRPr="005125DD">
        <w:rPr>
          <w:rFonts w:ascii="Times New Roman" w:hAnsi="Times New Roman"/>
          <w:szCs w:val="24"/>
        </w:rPr>
        <w:t>ffects with other plant compounds and Bt toxins</w:t>
      </w:r>
      <w:r>
        <w:rPr>
          <w:rFonts w:ascii="Times New Roman" w:hAnsi="Times New Roman"/>
          <w:szCs w:val="24"/>
        </w:rPr>
        <w:t xml:space="preserve"> (</w:t>
      </w:r>
      <w:r>
        <w:rPr>
          <w:rFonts w:ascii="Times New Roman" w:hAnsi="Times New Roman"/>
          <w:b/>
          <w:szCs w:val="24"/>
        </w:rPr>
        <w:t>r</w:t>
      </w:r>
      <w:r w:rsidRPr="0022340F">
        <w:rPr>
          <w:rFonts w:ascii="Times New Roman" w:hAnsi="Times New Roman"/>
          <w:b/>
          <w:szCs w:val="24"/>
        </w:rPr>
        <w:t>ecital Q</w:t>
      </w:r>
      <w:r>
        <w:rPr>
          <w:rFonts w:ascii="Times New Roman" w:hAnsi="Times New Roman"/>
          <w:szCs w:val="24"/>
        </w:rPr>
        <w:t>)</w:t>
      </w:r>
      <w:r w:rsidRPr="005125DD">
        <w:rPr>
          <w:rFonts w:ascii="Times New Roman" w:hAnsi="Times New Roman"/>
          <w:szCs w:val="24"/>
        </w:rPr>
        <w:t>.</w:t>
      </w:r>
      <w:r>
        <w:rPr>
          <w:rFonts w:ascii="Times New Roman" w:hAnsi="Times New Roman"/>
          <w:szCs w:val="24"/>
        </w:rPr>
        <w:t xml:space="preserve"> </w:t>
      </w:r>
      <w:r w:rsidRPr="004F4AD2">
        <w:rPr>
          <w:rFonts w:ascii="Times New Roman" w:hAnsi="Times New Roman"/>
          <w:szCs w:val="24"/>
        </w:rPr>
        <w:t xml:space="preserve">The </w:t>
      </w:r>
      <w:r>
        <w:rPr>
          <w:rFonts w:ascii="Times New Roman" w:hAnsi="Times New Roman"/>
          <w:szCs w:val="24"/>
        </w:rPr>
        <w:t>r</w:t>
      </w:r>
      <w:r w:rsidRPr="004F4AD2">
        <w:rPr>
          <w:rFonts w:ascii="Times New Roman" w:hAnsi="Times New Roman"/>
          <w:szCs w:val="24"/>
        </w:rPr>
        <w:t xml:space="preserve">esolution recalls that </w:t>
      </w:r>
      <w:r>
        <w:rPr>
          <w:rFonts w:ascii="Times New Roman" w:hAnsi="Times New Roman"/>
          <w:szCs w:val="24"/>
        </w:rPr>
        <w:t xml:space="preserve">the </w:t>
      </w:r>
      <w:r w:rsidRPr="004F4AD2">
        <w:rPr>
          <w:rFonts w:ascii="Times New Roman" w:hAnsi="Times New Roman"/>
          <w:szCs w:val="24"/>
        </w:rPr>
        <w:t xml:space="preserve">Member States are not </w:t>
      </w:r>
      <w:r>
        <w:rPr>
          <w:rFonts w:ascii="Times New Roman" w:hAnsi="Times New Roman"/>
          <w:szCs w:val="24"/>
        </w:rPr>
        <w:t>obliged</w:t>
      </w:r>
      <w:r w:rsidRPr="004F4AD2">
        <w:rPr>
          <w:rFonts w:ascii="Times New Roman" w:hAnsi="Times New Roman"/>
          <w:szCs w:val="24"/>
        </w:rPr>
        <w:t xml:space="preserve"> to </w:t>
      </w:r>
      <w:r>
        <w:rPr>
          <w:rFonts w:ascii="Times New Roman" w:hAnsi="Times New Roman"/>
          <w:szCs w:val="24"/>
        </w:rPr>
        <w:t>measure</w:t>
      </w:r>
      <w:r w:rsidRPr="004F4AD2">
        <w:rPr>
          <w:rFonts w:ascii="Times New Roman" w:hAnsi="Times New Roman"/>
          <w:szCs w:val="24"/>
        </w:rPr>
        <w:t xml:space="preserve"> glyphosate </w:t>
      </w:r>
      <w:r>
        <w:rPr>
          <w:rFonts w:ascii="Times New Roman" w:hAnsi="Times New Roman"/>
          <w:szCs w:val="24"/>
        </w:rPr>
        <w:t>nor</w:t>
      </w:r>
      <w:r w:rsidRPr="004F4AD2">
        <w:rPr>
          <w:rFonts w:ascii="Times New Roman" w:hAnsi="Times New Roman"/>
          <w:szCs w:val="24"/>
        </w:rPr>
        <w:t xml:space="preserve"> glufosinate residues on maize imports in order to </w:t>
      </w:r>
      <w:r>
        <w:rPr>
          <w:rFonts w:ascii="Times New Roman" w:hAnsi="Times New Roman"/>
          <w:szCs w:val="24"/>
        </w:rPr>
        <w:t>check</w:t>
      </w:r>
      <w:r w:rsidRPr="004F4AD2">
        <w:rPr>
          <w:rFonts w:ascii="Times New Roman" w:hAnsi="Times New Roman"/>
          <w:szCs w:val="24"/>
        </w:rPr>
        <w:t xml:space="preserve"> compliance with maximum residue levels as part of the coordinated multiannual control programme </w:t>
      </w:r>
      <w:r>
        <w:rPr>
          <w:rFonts w:ascii="Times New Roman" w:hAnsi="Times New Roman"/>
          <w:szCs w:val="24"/>
        </w:rPr>
        <w:t xml:space="preserve">of the Union </w:t>
      </w:r>
      <w:r w:rsidRPr="004F4AD2">
        <w:rPr>
          <w:rFonts w:ascii="Times New Roman" w:hAnsi="Times New Roman"/>
          <w:szCs w:val="24"/>
        </w:rPr>
        <w:t>for 201</w:t>
      </w:r>
      <w:r>
        <w:rPr>
          <w:rFonts w:ascii="Times New Roman" w:hAnsi="Times New Roman"/>
          <w:szCs w:val="24"/>
        </w:rPr>
        <w:t>9</w:t>
      </w:r>
      <w:r w:rsidRPr="004F4AD2">
        <w:rPr>
          <w:rFonts w:ascii="Times New Roman" w:hAnsi="Times New Roman"/>
          <w:szCs w:val="24"/>
        </w:rPr>
        <w:t>, 20</w:t>
      </w:r>
      <w:r>
        <w:rPr>
          <w:rFonts w:ascii="Times New Roman" w:hAnsi="Times New Roman"/>
          <w:szCs w:val="24"/>
        </w:rPr>
        <w:t>20</w:t>
      </w:r>
      <w:r w:rsidRPr="004F4AD2">
        <w:rPr>
          <w:rFonts w:ascii="Times New Roman" w:hAnsi="Times New Roman"/>
          <w:szCs w:val="24"/>
        </w:rPr>
        <w:t xml:space="preserve"> and 202</w:t>
      </w:r>
      <w:r>
        <w:rPr>
          <w:rFonts w:ascii="Times New Roman" w:hAnsi="Times New Roman"/>
          <w:szCs w:val="24"/>
        </w:rPr>
        <w:t>1</w:t>
      </w:r>
      <w:r w:rsidRPr="004F4AD2">
        <w:rPr>
          <w:rFonts w:ascii="Times New Roman" w:hAnsi="Times New Roman"/>
          <w:szCs w:val="24"/>
        </w:rPr>
        <w:t xml:space="preserve"> </w:t>
      </w:r>
      <w:r>
        <w:rPr>
          <w:rFonts w:ascii="Times New Roman" w:hAnsi="Times New Roman"/>
          <w:b/>
          <w:szCs w:val="24"/>
        </w:rPr>
        <w:t>(recital R</w:t>
      </w:r>
      <w:r w:rsidRPr="004F4AD2">
        <w:rPr>
          <w:rFonts w:ascii="Times New Roman" w:hAnsi="Times New Roman"/>
          <w:b/>
          <w:szCs w:val="24"/>
        </w:rPr>
        <w:t>)</w:t>
      </w:r>
      <w:r>
        <w:rPr>
          <w:rFonts w:ascii="Times New Roman" w:hAnsi="Times New Roman"/>
          <w:szCs w:val="24"/>
        </w:rPr>
        <w:t>.</w:t>
      </w:r>
    </w:p>
    <w:p w:rsidR="006077D7" w:rsidRPr="006D1D99" w:rsidRDefault="006077D7" w:rsidP="006077D7">
      <w:pPr>
        <w:spacing w:after="120"/>
        <w:rPr>
          <w:rFonts w:ascii="Times New Roman" w:hAnsi="Times New Roman"/>
          <w:szCs w:val="24"/>
          <w:highlight w:val="red"/>
        </w:rPr>
      </w:pPr>
      <w:r w:rsidRPr="006B0D6B">
        <w:rPr>
          <w:rFonts w:ascii="Times New Roman" w:hAnsi="Times New Roman"/>
          <w:szCs w:val="24"/>
        </w:rPr>
        <w:t xml:space="preserve">The </w:t>
      </w:r>
      <w:r>
        <w:rPr>
          <w:rFonts w:ascii="Times New Roman" w:hAnsi="Times New Roman"/>
          <w:szCs w:val="24"/>
        </w:rPr>
        <w:t>r</w:t>
      </w:r>
      <w:r w:rsidRPr="006B0D6B">
        <w:rPr>
          <w:rFonts w:ascii="Times New Roman" w:hAnsi="Times New Roman"/>
          <w:szCs w:val="24"/>
        </w:rPr>
        <w:t xml:space="preserve">esolution recalls the voting results on the draft </w:t>
      </w:r>
      <w:r>
        <w:rPr>
          <w:rFonts w:ascii="Times New Roman" w:hAnsi="Times New Roman"/>
          <w:szCs w:val="24"/>
        </w:rPr>
        <w:t>i</w:t>
      </w:r>
      <w:r w:rsidRPr="006B0D6B">
        <w:rPr>
          <w:rFonts w:ascii="Times New Roman" w:hAnsi="Times New Roman"/>
          <w:szCs w:val="24"/>
        </w:rPr>
        <w:t xml:space="preserve">mplementing </w:t>
      </w:r>
      <w:r>
        <w:rPr>
          <w:rFonts w:ascii="Times New Roman" w:hAnsi="Times New Roman"/>
          <w:szCs w:val="24"/>
        </w:rPr>
        <w:t>d</w:t>
      </w:r>
      <w:r w:rsidRPr="006B0D6B">
        <w:rPr>
          <w:rFonts w:ascii="Times New Roman" w:hAnsi="Times New Roman"/>
          <w:szCs w:val="24"/>
        </w:rPr>
        <w:t>eci</w:t>
      </w:r>
      <w:r>
        <w:rPr>
          <w:rFonts w:ascii="Times New Roman" w:hAnsi="Times New Roman"/>
          <w:szCs w:val="24"/>
        </w:rPr>
        <w:t>sion in the Standing Committee</w:t>
      </w:r>
      <w:r w:rsidRPr="006B0D6B">
        <w:rPr>
          <w:rFonts w:ascii="Times New Roman" w:hAnsi="Times New Roman"/>
          <w:szCs w:val="24"/>
        </w:rPr>
        <w:t xml:space="preserve"> </w:t>
      </w:r>
      <w:r w:rsidRPr="00A34F86">
        <w:rPr>
          <w:rFonts w:ascii="Times New Roman" w:hAnsi="Times New Roman"/>
          <w:szCs w:val="24"/>
        </w:rPr>
        <w:t>on the Food Chain and Animal Health</w:t>
      </w:r>
      <w:r>
        <w:rPr>
          <w:rFonts w:ascii="Times New Roman" w:hAnsi="Times New Roman"/>
          <w:b/>
          <w:szCs w:val="24"/>
        </w:rPr>
        <w:t xml:space="preserve"> (r</w:t>
      </w:r>
      <w:r w:rsidRPr="006B0D6B">
        <w:rPr>
          <w:rFonts w:ascii="Times New Roman" w:hAnsi="Times New Roman"/>
          <w:b/>
          <w:szCs w:val="24"/>
        </w:rPr>
        <w:t xml:space="preserve">ecital </w:t>
      </w:r>
      <w:r>
        <w:rPr>
          <w:rFonts w:ascii="Times New Roman" w:hAnsi="Times New Roman"/>
          <w:b/>
          <w:szCs w:val="24"/>
        </w:rPr>
        <w:t>S</w:t>
      </w:r>
      <w:r w:rsidRPr="006B0D6B">
        <w:rPr>
          <w:rFonts w:ascii="Times New Roman" w:hAnsi="Times New Roman"/>
          <w:b/>
          <w:szCs w:val="24"/>
        </w:rPr>
        <w:t>)</w:t>
      </w:r>
      <w:r>
        <w:rPr>
          <w:rFonts w:ascii="Times New Roman" w:hAnsi="Times New Roman"/>
          <w:szCs w:val="24"/>
        </w:rPr>
        <w:t xml:space="preserve">. </w:t>
      </w:r>
      <w:r w:rsidRPr="00A34F86">
        <w:rPr>
          <w:rFonts w:ascii="Times New Roman" w:hAnsi="Times New Roman"/>
          <w:szCs w:val="24"/>
        </w:rPr>
        <w:t xml:space="preserve">Furthermore, the </w:t>
      </w:r>
      <w:r>
        <w:rPr>
          <w:rFonts w:ascii="Times New Roman" w:hAnsi="Times New Roman"/>
          <w:szCs w:val="24"/>
        </w:rPr>
        <w:t>r</w:t>
      </w:r>
      <w:r w:rsidRPr="00A34F86">
        <w:rPr>
          <w:rFonts w:ascii="Times New Roman" w:hAnsi="Times New Roman"/>
          <w:szCs w:val="24"/>
        </w:rPr>
        <w:t xml:space="preserve">esolution recalls that the return of the draft authorising decisions to the Commission for final decision, after not being supported by the Standing Committee, has become the norm for decision-making on genetically modified food and feed authorisations and </w:t>
      </w:r>
      <w:r>
        <w:rPr>
          <w:rFonts w:ascii="Times New Roman" w:hAnsi="Times New Roman"/>
          <w:szCs w:val="24"/>
        </w:rPr>
        <w:t xml:space="preserve">it </w:t>
      </w:r>
      <w:r w:rsidRPr="00A34F86">
        <w:rPr>
          <w:rFonts w:ascii="Times New Roman" w:hAnsi="Times New Roman"/>
          <w:szCs w:val="24"/>
        </w:rPr>
        <w:t xml:space="preserve">is not democratic </w:t>
      </w:r>
      <w:r>
        <w:rPr>
          <w:rFonts w:ascii="Times New Roman" w:hAnsi="Times New Roman"/>
          <w:b/>
          <w:szCs w:val="24"/>
        </w:rPr>
        <w:t>(r</w:t>
      </w:r>
      <w:r w:rsidRPr="00BB6DFD">
        <w:rPr>
          <w:rFonts w:ascii="Times New Roman" w:hAnsi="Times New Roman"/>
          <w:b/>
          <w:szCs w:val="24"/>
        </w:rPr>
        <w:t xml:space="preserve">ecital </w:t>
      </w:r>
      <w:r>
        <w:rPr>
          <w:rFonts w:ascii="Times New Roman" w:hAnsi="Times New Roman"/>
          <w:b/>
          <w:szCs w:val="24"/>
        </w:rPr>
        <w:t>T</w:t>
      </w:r>
      <w:r w:rsidRPr="00BB6DFD">
        <w:rPr>
          <w:rFonts w:ascii="Times New Roman" w:hAnsi="Times New Roman"/>
          <w:b/>
          <w:szCs w:val="24"/>
        </w:rPr>
        <w:t>)</w:t>
      </w:r>
      <w:r w:rsidRPr="00A34F86">
        <w:rPr>
          <w:rFonts w:ascii="Times New Roman" w:hAnsi="Times New Roman"/>
          <w:szCs w:val="24"/>
        </w:rPr>
        <w:t xml:space="preserve">. Finally, the </w:t>
      </w:r>
      <w:r>
        <w:rPr>
          <w:rFonts w:ascii="Times New Roman" w:hAnsi="Times New Roman"/>
          <w:szCs w:val="24"/>
        </w:rPr>
        <w:t>r</w:t>
      </w:r>
      <w:r w:rsidRPr="00A34F86">
        <w:rPr>
          <w:rFonts w:ascii="Times New Roman" w:hAnsi="Times New Roman"/>
          <w:szCs w:val="24"/>
        </w:rPr>
        <w:t xml:space="preserve">esolution recalls the rejection by the Parliament of the Commission's legislative proposal of 22 April 2015 amending Regulation (EC) No 1829/2003, and the Parliament's call on the Commission to withdraw that proposal and submit a new one </w:t>
      </w:r>
      <w:r>
        <w:rPr>
          <w:rFonts w:ascii="Times New Roman" w:hAnsi="Times New Roman"/>
          <w:b/>
          <w:szCs w:val="24"/>
        </w:rPr>
        <w:t>(r</w:t>
      </w:r>
      <w:r w:rsidRPr="00BB6DFD">
        <w:rPr>
          <w:rFonts w:ascii="Times New Roman" w:hAnsi="Times New Roman"/>
          <w:b/>
          <w:szCs w:val="24"/>
        </w:rPr>
        <w:t xml:space="preserve">ecital </w:t>
      </w:r>
      <w:r>
        <w:rPr>
          <w:rFonts w:ascii="Times New Roman" w:hAnsi="Times New Roman"/>
          <w:b/>
          <w:szCs w:val="24"/>
        </w:rPr>
        <w:t>U</w:t>
      </w:r>
      <w:r w:rsidRPr="00BB6DFD">
        <w:rPr>
          <w:rFonts w:ascii="Times New Roman" w:hAnsi="Times New Roman"/>
          <w:b/>
          <w:szCs w:val="24"/>
        </w:rPr>
        <w:t>)</w:t>
      </w:r>
      <w:r>
        <w:rPr>
          <w:rFonts w:ascii="Times New Roman" w:hAnsi="Times New Roman"/>
          <w:szCs w:val="24"/>
        </w:rPr>
        <w:t>.</w:t>
      </w:r>
    </w:p>
    <w:p w:rsidR="006077D7" w:rsidRPr="00A34F86" w:rsidRDefault="006077D7" w:rsidP="006077D7">
      <w:pPr>
        <w:ind w:left="567" w:hanging="567"/>
        <w:rPr>
          <w:rFonts w:ascii="Times New Roman" w:hAnsi="Times New Roman"/>
          <w:b/>
          <w:color w:val="000000"/>
          <w:szCs w:val="24"/>
        </w:rPr>
      </w:pPr>
      <w:r>
        <w:rPr>
          <w:rFonts w:ascii="Times New Roman" w:hAnsi="Times New Roman"/>
          <w:b/>
          <w:color w:val="000000"/>
          <w:szCs w:val="24"/>
        </w:rPr>
        <w:t>6</w:t>
      </w:r>
      <w:r w:rsidRPr="00A34F86">
        <w:rPr>
          <w:rFonts w:ascii="Times New Roman" w:hAnsi="Times New Roman"/>
          <w:b/>
          <w:color w:val="000000"/>
          <w:szCs w:val="24"/>
        </w:rPr>
        <w:t>.</w:t>
      </w:r>
      <w:r w:rsidRPr="00A34F86">
        <w:rPr>
          <w:rFonts w:ascii="Times New Roman" w:hAnsi="Times New Roman"/>
          <w:b/>
          <w:color w:val="000000"/>
          <w:szCs w:val="24"/>
        </w:rPr>
        <w:tab/>
        <w:t>Responses to requests and overview of actions taken, or intended to be taken, by the Commission:</w:t>
      </w:r>
    </w:p>
    <w:p w:rsidR="006077D7" w:rsidRPr="006920C1" w:rsidRDefault="006077D7" w:rsidP="006077D7">
      <w:pPr>
        <w:spacing w:after="120"/>
        <w:rPr>
          <w:rFonts w:ascii="Times New Roman" w:hAnsi="Times New Roman"/>
          <w:szCs w:val="24"/>
        </w:rPr>
      </w:pPr>
      <w:r w:rsidRPr="00927307">
        <w:rPr>
          <w:rFonts w:ascii="Times New Roman" w:hAnsi="Times New Roman"/>
          <w:szCs w:val="24"/>
        </w:rPr>
        <w:lastRenderedPageBreak/>
        <w:t xml:space="preserve">The Commission would like to explain that the draft </w:t>
      </w:r>
      <w:r>
        <w:rPr>
          <w:rFonts w:ascii="Times New Roman" w:hAnsi="Times New Roman"/>
          <w:szCs w:val="24"/>
        </w:rPr>
        <w:t>i</w:t>
      </w:r>
      <w:r w:rsidRPr="00927307">
        <w:rPr>
          <w:rFonts w:ascii="Times New Roman" w:hAnsi="Times New Roman"/>
          <w:szCs w:val="24"/>
        </w:rPr>
        <w:t xml:space="preserve">mplementing </w:t>
      </w:r>
      <w:r>
        <w:rPr>
          <w:rFonts w:ascii="Times New Roman" w:hAnsi="Times New Roman"/>
          <w:szCs w:val="24"/>
        </w:rPr>
        <w:t>d</w:t>
      </w:r>
      <w:r w:rsidRPr="00927307">
        <w:rPr>
          <w:rFonts w:ascii="Times New Roman" w:hAnsi="Times New Roman"/>
          <w:szCs w:val="24"/>
        </w:rPr>
        <w:t xml:space="preserve">ecision at stake authorises </w:t>
      </w:r>
      <w:r w:rsidRPr="00883D2C">
        <w:rPr>
          <w:rFonts w:ascii="Times New Roman" w:hAnsi="Times New Roman"/>
          <w:szCs w:val="24"/>
        </w:rPr>
        <w:t xml:space="preserve">the placing on the market of products containing, consisting of or produced </w:t>
      </w:r>
      <w:r w:rsidRPr="006920C1">
        <w:rPr>
          <w:rFonts w:ascii="Times New Roman" w:hAnsi="Times New Roman"/>
          <w:szCs w:val="24"/>
        </w:rPr>
        <w:t>from genetically modified maize Bt11 x MIR162 x 1507 x GA21</w:t>
      </w:r>
      <w:r>
        <w:rPr>
          <w:rFonts w:ascii="Times New Roman" w:hAnsi="Times New Roman"/>
          <w:szCs w:val="24"/>
        </w:rPr>
        <w:t xml:space="preserve"> and three sub-combinations</w:t>
      </w:r>
      <w:r w:rsidRPr="006920C1">
        <w:rPr>
          <w:rFonts w:ascii="Times New Roman" w:hAnsi="Times New Roman"/>
          <w:szCs w:val="24"/>
        </w:rPr>
        <w:t>, but not the cultivation of th</w:t>
      </w:r>
      <w:r>
        <w:rPr>
          <w:rFonts w:ascii="Times New Roman" w:hAnsi="Times New Roman"/>
          <w:szCs w:val="24"/>
        </w:rPr>
        <w:t>ese maize.</w:t>
      </w:r>
    </w:p>
    <w:p w:rsidR="006077D7" w:rsidRPr="00AC775F" w:rsidRDefault="006077D7" w:rsidP="006077D7">
      <w:pPr>
        <w:spacing w:after="120"/>
        <w:rPr>
          <w:rFonts w:ascii="Times New Roman" w:hAnsi="Times New Roman"/>
          <w:szCs w:val="24"/>
        </w:rPr>
      </w:pPr>
      <w:r w:rsidRPr="00843900">
        <w:rPr>
          <w:rFonts w:ascii="Times New Roman" w:hAnsi="Times New Roman"/>
          <w:szCs w:val="24"/>
        </w:rPr>
        <w:t xml:space="preserve">With respect to </w:t>
      </w:r>
      <w:r>
        <w:rPr>
          <w:rFonts w:ascii="Times New Roman" w:hAnsi="Times New Roman"/>
          <w:b/>
          <w:szCs w:val="24"/>
        </w:rPr>
        <w:t>paragraph</w:t>
      </w:r>
      <w:r w:rsidRPr="00843900">
        <w:rPr>
          <w:rFonts w:ascii="Times New Roman" w:hAnsi="Times New Roman"/>
          <w:b/>
          <w:szCs w:val="24"/>
        </w:rPr>
        <w:t xml:space="preserve">s 1 </w:t>
      </w:r>
      <w:r>
        <w:rPr>
          <w:rFonts w:ascii="Times New Roman" w:hAnsi="Times New Roman"/>
          <w:b/>
          <w:szCs w:val="24"/>
        </w:rPr>
        <w:t>to</w:t>
      </w:r>
      <w:r w:rsidRPr="00843900">
        <w:rPr>
          <w:rFonts w:ascii="Times New Roman" w:hAnsi="Times New Roman"/>
          <w:b/>
          <w:szCs w:val="24"/>
        </w:rPr>
        <w:t xml:space="preserve"> </w:t>
      </w:r>
      <w:r>
        <w:rPr>
          <w:rFonts w:ascii="Times New Roman" w:hAnsi="Times New Roman"/>
          <w:b/>
          <w:szCs w:val="24"/>
        </w:rPr>
        <w:t>3</w:t>
      </w:r>
      <w:r w:rsidRPr="00843900">
        <w:rPr>
          <w:rFonts w:ascii="Times New Roman" w:hAnsi="Times New Roman"/>
          <w:szCs w:val="24"/>
        </w:rPr>
        <w:t xml:space="preserve"> of the </w:t>
      </w:r>
      <w:r>
        <w:rPr>
          <w:rFonts w:ascii="Times New Roman" w:hAnsi="Times New Roman"/>
          <w:szCs w:val="24"/>
        </w:rPr>
        <w:t>r</w:t>
      </w:r>
      <w:r w:rsidRPr="00843900">
        <w:rPr>
          <w:rFonts w:ascii="Times New Roman" w:hAnsi="Times New Roman"/>
          <w:szCs w:val="24"/>
        </w:rPr>
        <w:t xml:space="preserve">esolution, the Commission would like to point out that the draft </w:t>
      </w:r>
      <w:r>
        <w:rPr>
          <w:rFonts w:ascii="Times New Roman" w:hAnsi="Times New Roman"/>
          <w:szCs w:val="24"/>
        </w:rPr>
        <w:t>d</w:t>
      </w:r>
      <w:r w:rsidRPr="00843900">
        <w:rPr>
          <w:rFonts w:ascii="Times New Roman" w:hAnsi="Times New Roman"/>
          <w:szCs w:val="24"/>
        </w:rPr>
        <w:t xml:space="preserve">ecision has been processed in line with the procedural steps set out in Regulation (EU) 182/2011 on comitology and Regulation (EC) No 1829/2003 on </w:t>
      </w:r>
      <w:r>
        <w:rPr>
          <w:rFonts w:ascii="Times New Roman" w:hAnsi="Times New Roman"/>
          <w:szCs w:val="24"/>
        </w:rPr>
        <w:t>g</w:t>
      </w:r>
      <w:r w:rsidRPr="00843900">
        <w:rPr>
          <w:rFonts w:ascii="Times New Roman" w:hAnsi="Times New Roman"/>
          <w:szCs w:val="24"/>
        </w:rPr>
        <w:t xml:space="preserve">enetically </w:t>
      </w:r>
      <w:r>
        <w:rPr>
          <w:rFonts w:ascii="Times New Roman" w:hAnsi="Times New Roman"/>
          <w:szCs w:val="24"/>
        </w:rPr>
        <w:t>m</w:t>
      </w:r>
      <w:r w:rsidRPr="00843900">
        <w:rPr>
          <w:rFonts w:ascii="Times New Roman" w:hAnsi="Times New Roman"/>
          <w:szCs w:val="24"/>
        </w:rPr>
        <w:t xml:space="preserve">odified (GM) </w:t>
      </w:r>
      <w:r>
        <w:rPr>
          <w:rFonts w:ascii="Times New Roman" w:hAnsi="Times New Roman"/>
          <w:szCs w:val="24"/>
        </w:rPr>
        <w:t>f</w:t>
      </w:r>
      <w:r w:rsidRPr="00843900">
        <w:rPr>
          <w:rFonts w:ascii="Times New Roman" w:hAnsi="Times New Roman"/>
          <w:szCs w:val="24"/>
        </w:rPr>
        <w:t xml:space="preserve">ood and </w:t>
      </w:r>
      <w:r>
        <w:rPr>
          <w:rFonts w:ascii="Times New Roman" w:hAnsi="Times New Roman"/>
          <w:szCs w:val="24"/>
        </w:rPr>
        <w:t>f</w:t>
      </w:r>
      <w:r w:rsidRPr="00843900">
        <w:rPr>
          <w:rFonts w:ascii="Times New Roman" w:hAnsi="Times New Roman"/>
          <w:szCs w:val="24"/>
        </w:rPr>
        <w:t xml:space="preserve">eed, as </w:t>
      </w:r>
      <w:r w:rsidRPr="00AC775F">
        <w:rPr>
          <w:rFonts w:ascii="Times New Roman" w:hAnsi="Times New Roman"/>
          <w:szCs w:val="24"/>
        </w:rPr>
        <w:t>illustrated below:</w:t>
      </w:r>
    </w:p>
    <w:p w:rsidR="006077D7" w:rsidRPr="00AC775F" w:rsidRDefault="006077D7" w:rsidP="006077D7">
      <w:pPr>
        <w:numPr>
          <w:ilvl w:val="0"/>
          <w:numId w:val="2"/>
        </w:numPr>
        <w:spacing w:after="120"/>
        <w:rPr>
          <w:rFonts w:ascii="Times New Roman" w:hAnsi="Times New Roman"/>
          <w:szCs w:val="24"/>
        </w:rPr>
      </w:pPr>
      <w:r>
        <w:rPr>
          <w:rFonts w:ascii="Times New Roman" w:hAnsi="Times New Roman"/>
          <w:szCs w:val="24"/>
        </w:rPr>
        <w:t>a</w:t>
      </w:r>
      <w:r w:rsidRPr="00AC775F">
        <w:rPr>
          <w:rFonts w:ascii="Times New Roman" w:hAnsi="Times New Roman"/>
          <w:szCs w:val="24"/>
        </w:rPr>
        <w:t xml:space="preserve">pplication for the authorisation of GM </w:t>
      </w:r>
      <w:r w:rsidRPr="00AC775F">
        <w:rPr>
          <w:rFonts w:ascii="Times New Roman" w:hAnsi="Times New Roman"/>
          <w:szCs w:val="24"/>
          <w:lang w:val="en"/>
        </w:rPr>
        <w:t xml:space="preserve">maize </w:t>
      </w:r>
      <w:r w:rsidRPr="00AC775F">
        <w:rPr>
          <w:rFonts w:ascii="Times New Roman" w:hAnsi="Times New Roman"/>
          <w:szCs w:val="24"/>
        </w:rPr>
        <w:t>Bt11 x MIR162 x 1507 x GA21 for food and feed uses in the EU was submitted by Syngenta Crop Protection AG on 10 August 2010. The scope of the application was further updated by the applicant, to cover three sub-combinations</w:t>
      </w:r>
      <w:r w:rsidRPr="00AC775F">
        <w:rPr>
          <w:rStyle w:val="FootnoteReference"/>
          <w:rFonts w:ascii="Times New Roman" w:hAnsi="Times New Roman"/>
          <w:szCs w:val="24"/>
        </w:rPr>
        <w:footnoteReference w:id="2"/>
      </w:r>
      <w:r w:rsidRPr="00AC775F">
        <w:rPr>
          <w:rFonts w:ascii="Times New Roman" w:hAnsi="Times New Roman"/>
          <w:szCs w:val="24"/>
        </w:rPr>
        <w:t xml:space="preserve"> (other sub-combinations were already in the scope of other applications).</w:t>
      </w:r>
    </w:p>
    <w:p w:rsidR="006077D7" w:rsidRPr="00E71916" w:rsidRDefault="006077D7" w:rsidP="006077D7">
      <w:pPr>
        <w:numPr>
          <w:ilvl w:val="0"/>
          <w:numId w:val="2"/>
        </w:numPr>
        <w:tabs>
          <w:tab w:val="left" w:pos="567"/>
        </w:tabs>
        <w:spacing w:after="120"/>
        <w:rPr>
          <w:rFonts w:ascii="Times New Roman" w:hAnsi="Times New Roman"/>
        </w:rPr>
      </w:pPr>
      <w:r w:rsidRPr="00E71916">
        <w:rPr>
          <w:rFonts w:ascii="Times New Roman" w:hAnsi="Times New Roman"/>
          <w:szCs w:val="24"/>
        </w:rPr>
        <w:t xml:space="preserve">EFSA performed a comprehensive risk assessment of the products and published on </w:t>
      </w:r>
      <w:r w:rsidRPr="00E71916">
        <w:rPr>
          <w:rFonts w:ascii="Times New Roman" w:hAnsi="Times New Roman"/>
        </w:rPr>
        <w:t>11 July 2018</w:t>
      </w:r>
      <w:r w:rsidRPr="00E71916">
        <w:rPr>
          <w:rFonts w:ascii="Times New Roman" w:hAnsi="Times New Roman"/>
          <w:szCs w:val="24"/>
        </w:rPr>
        <w:t xml:space="preserve"> a favourable opinion concluding that GM </w:t>
      </w:r>
      <w:r w:rsidRPr="00E71916">
        <w:rPr>
          <w:rFonts w:ascii="Times New Roman" w:hAnsi="Times New Roman"/>
          <w:szCs w:val="24"/>
          <w:lang w:val="en"/>
        </w:rPr>
        <w:t xml:space="preserve">maize </w:t>
      </w:r>
      <w:r w:rsidRPr="00E71916">
        <w:rPr>
          <w:rFonts w:ascii="Times New Roman" w:hAnsi="Times New Roman"/>
          <w:szCs w:val="24"/>
        </w:rPr>
        <w:t xml:space="preserve">Bt11 x MIR162 x 1507 x GA21 is as safe as </w:t>
      </w:r>
      <w:r w:rsidRPr="00E71916">
        <w:rPr>
          <w:rFonts w:ascii="Times New Roman" w:hAnsi="Times New Roman"/>
        </w:rPr>
        <w:t>and nutritionally equivalent to its non-genetically modified comparator. As regards the three</w:t>
      </w:r>
      <w:r w:rsidRPr="00E71916">
        <w:rPr>
          <w:rFonts w:ascii="Times New Roman" w:hAnsi="Times New Roman"/>
          <w:sz w:val="22"/>
        </w:rPr>
        <w:t xml:space="preserve"> </w:t>
      </w:r>
      <w:r w:rsidRPr="00E71916">
        <w:rPr>
          <w:rFonts w:ascii="Times New Roman" w:hAnsi="Times New Roman"/>
        </w:rPr>
        <w:t>sub-combinations, EFSA concluded that they are expected to be as safe as the four single events Bt11, MIR162, 1507 and GA21, the previously assessed sub-combinations and the four-event stack maize Bt11 × MIR162 × 1507 × GA21.</w:t>
      </w:r>
    </w:p>
    <w:p w:rsidR="006077D7" w:rsidRPr="00677DCC" w:rsidRDefault="006077D7" w:rsidP="006077D7">
      <w:pPr>
        <w:numPr>
          <w:ilvl w:val="0"/>
          <w:numId w:val="2"/>
        </w:numPr>
        <w:spacing w:after="120"/>
        <w:rPr>
          <w:rFonts w:ascii="Times New Roman" w:hAnsi="Times New Roman"/>
          <w:szCs w:val="24"/>
        </w:rPr>
      </w:pPr>
      <w:r>
        <w:rPr>
          <w:rFonts w:ascii="Times New Roman" w:hAnsi="Times New Roman"/>
          <w:szCs w:val="24"/>
        </w:rPr>
        <w:t>i</w:t>
      </w:r>
      <w:r w:rsidRPr="00677DCC">
        <w:rPr>
          <w:rFonts w:ascii="Times New Roman" w:hAnsi="Times New Roman"/>
          <w:szCs w:val="24"/>
        </w:rPr>
        <w:t>n its opinion, EFSA considered all the specific questions and concerns raised by the Member States in the context of the consultation of the national competent authorities as provided for by Article 6(4) and Article 18(4) of Regulation (EC) No 1829/2003.</w:t>
      </w:r>
    </w:p>
    <w:p w:rsidR="006077D7" w:rsidRPr="00677DCC" w:rsidRDefault="006077D7" w:rsidP="006077D7">
      <w:pPr>
        <w:numPr>
          <w:ilvl w:val="0"/>
          <w:numId w:val="2"/>
        </w:numPr>
        <w:spacing w:after="120"/>
        <w:rPr>
          <w:rFonts w:ascii="Times New Roman" w:hAnsi="Times New Roman"/>
          <w:szCs w:val="24"/>
        </w:rPr>
      </w:pPr>
      <w:r>
        <w:rPr>
          <w:rFonts w:ascii="Times New Roman" w:hAnsi="Times New Roman"/>
          <w:szCs w:val="24"/>
        </w:rPr>
        <w:t>t</w:t>
      </w:r>
      <w:r w:rsidRPr="00677DCC">
        <w:rPr>
          <w:rFonts w:ascii="Times New Roman" w:hAnsi="Times New Roman"/>
          <w:szCs w:val="24"/>
        </w:rPr>
        <w:t>he public commented on the EFSA opinion and the complementing statement, and all the scientific comments received were scrutinised by EFSA</w:t>
      </w:r>
      <w:r w:rsidRPr="00677DCC">
        <w:rPr>
          <w:rStyle w:val="FootnoteReference"/>
          <w:rFonts w:ascii="Times New Roman" w:hAnsi="Times New Roman"/>
          <w:szCs w:val="24"/>
        </w:rPr>
        <w:footnoteReference w:id="3"/>
      </w:r>
      <w:r w:rsidRPr="00677DCC">
        <w:rPr>
          <w:rFonts w:ascii="Times New Roman" w:hAnsi="Times New Roman"/>
          <w:szCs w:val="24"/>
        </w:rPr>
        <w:t>.</w:t>
      </w:r>
    </w:p>
    <w:p w:rsidR="006077D7" w:rsidRPr="00B06B16" w:rsidRDefault="006077D7" w:rsidP="006077D7">
      <w:pPr>
        <w:numPr>
          <w:ilvl w:val="0"/>
          <w:numId w:val="2"/>
        </w:numPr>
        <w:spacing w:after="120"/>
        <w:rPr>
          <w:rFonts w:ascii="Times New Roman" w:hAnsi="Times New Roman"/>
          <w:szCs w:val="24"/>
        </w:rPr>
      </w:pPr>
      <w:r>
        <w:rPr>
          <w:rFonts w:ascii="Times New Roman" w:hAnsi="Times New Roman"/>
          <w:szCs w:val="24"/>
        </w:rPr>
        <w:t>t</w:t>
      </w:r>
      <w:r w:rsidRPr="00B06B16">
        <w:rPr>
          <w:rFonts w:ascii="Times New Roman" w:hAnsi="Times New Roman"/>
          <w:szCs w:val="24"/>
        </w:rPr>
        <w:t xml:space="preserve">he draft </w:t>
      </w:r>
      <w:r>
        <w:rPr>
          <w:rFonts w:ascii="Times New Roman" w:hAnsi="Times New Roman"/>
          <w:szCs w:val="24"/>
        </w:rPr>
        <w:t>d</w:t>
      </w:r>
      <w:r w:rsidRPr="00B06B16">
        <w:rPr>
          <w:rFonts w:ascii="Times New Roman" w:hAnsi="Times New Roman"/>
          <w:szCs w:val="24"/>
        </w:rPr>
        <w:t xml:space="preserve">ecision was voted on </w:t>
      </w:r>
      <w:r>
        <w:rPr>
          <w:rFonts w:ascii="Times New Roman" w:hAnsi="Times New Roman"/>
          <w:szCs w:val="24"/>
        </w:rPr>
        <w:t xml:space="preserve">14 January 2019 </w:t>
      </w:r>
      <w:r w:rsidRPr="00B06B16">
        <w:rPr>
          <w:rFonts w:ascii="Times New Roman" w:hAnsi="Times New Roman"/>
          <w:szCs w:val="24"/>
        </w:rPr>
        <w:t>in the Standing Committee with no qualified</w:t>
      </w:r>
      <w:r>
        <w:rPr>
          <w:rFonts w:ascii="Times New Roman" w:hAnsi="Times New Roman"/>
          <w:szCs w:val="24"/>
        </w:rPr>
        <w:t xml:space="preserve"> majority against or in favour.</w:t>
      </w:r>
    </w:p>
    <w:p w:rsidR="006077D7" w:rsidRPr="007E7F32" w:rsidRDefault="006077D7" w:rsidP="006077D7">
      <w:pPr>
        <w:numPr>
          <w:ilvl w:val="0"/>
          <w:numId w:val="2"/>
        </w:numPr>
        <w:spacing w:after="120"/>
        <w:rPr>
          <w:rFonts w:ascii="Times New Roman" w:hAnsi="Times New Roman"/>
          <w:szCs w:val="24"/>
        </w:rPr>
      </w:pPr>
      <w:r>
        <w:rPr>
          <w:rFonts w:ascii="Times New Roman" w:hAnsi="Times New Roman"/>
          <w:szCs w:val="24"/>
        </w:rPr>
        <w:t>i</w:t>
      </w:r>
      <w:r w:rsidRPr="007E7F32">
        <w:rPr>
          <w:rFonts w:ascii="Times New Roman" w:hAnsi="Times New Roman"/>
          <w:szCs w:val="24"/>
        </w:rPr>
        <w:t xml:space="preserve">n accordance with the rules set in Regulation (EU) 182/2011 on comitology, the Commission proposed the draft Decision to the Appeal </w:t>
      </w:r>
      <w:r>
        <w:rPr>
          <w:rFonts w:ascii="Times New Roman" w:hAnsi="Times New Roman"/>
          <w:szCs w:val="24"/>
        </w:rPr>
        <w:t>C</w:t>
      </w:r>
      <w:r w:rsidRPr="007E7F32">
        <w:rPr>
          <w:rFonts w:ascii="Times New Roman" w:hAnsi="Times New Roman"/>
          <w:szCs w:val="24"/>
        </w:rPr>
        <w:t xml:space="preserve">ommittee of </w:t>
      </w:r>
      <w:r>
        <w:rPr>
          <w:rFonts w:ascii="Times New Roman" w:hAnsi="Times New Roman"/>
          <w:szCs w:val="24"/>
        </w:rPr>
        <w:t>22 February 2019</w:t>
      </w:r>
      <w:r w:rsidRPr="007E7F32">
        <w:rPr>
          <w:rFonts w:ascii="Times New Roman" w:hAnsi="Times New Roman"/>
          <w:szCs w:val="24"/>
        </w:rPr>
        <w:t>, where no qualified majority against or in favour was obtained either.</w:t>
      </w:r>
    </w:p>
    <w:p w:rsidR="006077D7" w:rsidRPr="00117B46" w:rsidRDefault="006077D7" w:rsidP="006077D7">
      <w:pPr>
        <w:spacing w:after="120"/>
        <w:rPr>
          <w:rFonts w:ascii="Times New Roman" w:hAnsi="Times New Roman"/>
          <w:szCs w:val="24"/>
        </w:rPr>
      </w:pPr>
      <w:r w:rsidRPr="008768F7">
        <w:rPr>
          <w:rFonts w:ascii="Times New Roman" w:hAnsi="Times New Roman"/>
          <w:szCs w:val="24"/>
        </w:rPr>
        <w:t xml:space="preserve">The Commission, therefore, considers that by adopting a </w:t>
      </w:r>
      <w:r>
        <w:rPr>
          <w:rFonts w:ascii="Times New Roman" w:hAnsi="Times New Roman"/>
          <w:szCs w:val="24"/>
        </w:rPr>
        <w:t>d</w:t>
      </w:r>
      <w:r w:rsidRPr="008768F7">
        <w:rPr>
          <w:rFonts w:ascii="Times New Roman" w:hAnsi="Times New Roman"/>
          <w:szCs w:val="24"/>
        </w:rPr>
        <w:t xml:space="preserve">ecision that fully complies with the procedural steps set out by the co-legislators in the GMO legislation, </w:t>
      </w:r>
      <w:r>
        <w:rPr>
          <w:rFonts w:ascii="Times New Roman" w:hAnsi="Times New Roman"/>
          <w:szCs w:val="24"/>
        </w:rPr>
        <w:t>it</w:t>
      </w:r>
      <w:r w:rsidRPr="008768F7">
        <w:rPr>
          <w:rFonts w:ascii="Times New Roman" w:hAnsi="Times New Roman"/>
          <w:szCs w:val="24"/>
        </w:rPr>
        <w:t xml:space="preserve"> does not exceed its implementing powers. Consequently, there are no reasons to withdraw the draft </w:t>
      </w:r>
      <w:r>
        <w:rPr>
          <w:rFonts w:ascii="Times New Roman" w:hAnsi="Times New Roman"/>
          <w:szCs w:val="24"/>
        </w:rPr>
        <w:t>d</w:t>
      </w:r>
      <w:r w:rsidRPr="008768F7">
        <w:rPr>
          <w:rFonts w:ascii="Times New Roman" w:hAnsi="Times New Roman"/>
          <w:szCs w:val="24"/>
        </w:rPr>
        <w:t xml:space="preserve">ecision for authorisation of the GM maize </w:t>
      </w:r>
      <w:r w:rsidRPr="00E71916">
        <w:rPr>
          <w:rFonts w:ascii="Times New Roman" w:hAnsi="Times New Roman"/>
          <w:szCs w:val="24"/>
        </w:rPr>
        <w:t>Bt11 x MIR162 x 1507 x GA21</w:t>
      </w:r>
      <w:r>
        <w:rPr>
          <w:rFonts w:ascii="Times New Roman" w:hAnsi="Times New Roman"/>
          <w:szCs w:val="24"/>
        </w:rPr>
        <w:t xml:space="preserve"> and three sub-combinations</w:t>
      </w:r>
      <w:r w:rsidRPr="008768F7">
        <w:rPr>
          <w:rFonts w:ascii="Times New Roman" w:hAnsi="Times New Roman"/>
          <w:szCs w:val="24"/>
        </w:rPr>
        <w:t xml:space="preserve">. Furthermore, following the submission of an application and the respective opinion of EFSA, Article 7(3) and Article 19(3) of Regulation (EC) No 1829/2003 oblige the Commission to </w:t>
      </w:r>
      <w:r w:rsidRPr="00117B46">
        <w:rPr>
          <w:rFonts w:ascii="Times New Roman" w:hAnsi="Times New Roman"/>
          <w:szCs w:val="24"/>
        </w:rPr>
        <w:t>act, namely to adopt a final decision on the application.</w:t>
      </w:r>
    </w:p>
    <w:p w:rsidR="006077D7" w:rsidRPr="00117B46" w:rsidRDefault="006077D7" w:rsidP="006077D7">
      <w:pPr>
        <w:spacing w:after="120"/>
        <w:rPr>
          <w:rFonts w:ascii="Times New Roman" w:hAnsi="Times New Roman"/>
          <w:szCs w:val="24"/>
        </w:rPr>
      </w:pPr>
      <w:r w:rsidRPr="00117B46">
        <w:rPr>
          <w:rFonts w:ascii="Times New Roman" w:hAnsi="Times New Roman"/>
          <w:szCs w:val="24"/>
        </w:rPr>
        <w:t>At the meeting of the Environment, Public Health and Food Safety Committee of the European Parliament on 20 February 2019, the Commission extensively explained the state of play of the authorisation procedure and why it had not exceeded its implementing powers.</w:t>
      </w:r>
    </w:p>
    <w:p w:rsidR="006077D7" w:rsidRPr="00117B46" w:rsidRDefault="006077D7" w:rsidP="006077D7">
      <w:pPr>
        <w:spacing w:after="120"/>
        <w:rPr>
          <w:rFonts w:ascii="Times New Roman" w:hAnsi="Times New Roman"/>
          <w:szCs w:val="24"/>
        </w:rPr>
      </w:pPr>
      <w:r w:rsidRPr="00117B46">
        <w:rPr>
          <w:rFonts w:ascii="Times New Roman" w:hAnsi="Times New Roman"/>
          <w:szCs w:val="24"/>
        </w:rPr>
        <w:t xml:space="preserve">With respect to the </w:t>
      </w:r>
      <w:r>
        <w:rPr>
          <w:rFonts w:ascii="Times New Roman" w:hAnsi="Times New Roman"/>
          <w:b/>
          <w:szCs w:val="24"/>
        </w:rPr>
        <w:t>other provisions of the r</w:t>
      </w:r>
      <w:r w:rsidRPr="00117B46">
        <w:rPr>
          <w:rFonts w:ascii="Times New Roman" w:hAnsi="Times New Roman"/>
          <w:b/>
          <w:szCs w:val="24"/>
        </w:rPr>
        <w:t>esolution</w:t>
      </w:r>
      <w:r w:rsidRPr="00117B46">
        <w:rPr>
          <w:rFonts w:ascii="Times New Roman" w:hAnsi="Times New Roman"/>
          <w:szCs w:val="24"/>
        </w:rPr>
        <w:t xml:space="preserve">, the Commission considers that they fall outside the remit of the right of scrutiny, which is limited to the question of whether the </w:t>
      </w:r>
      <w:r w:rsidRPr="00117B46">
        <w:rPr>
          <w:rFonts w:ascii="Times New Roman" w:hAnsi="Times New Roman"/>
          <w:szCs w:val="24"/>
        </w:rPr>
        <w:lastRenderedPageBreak/>
        <w:t>draft implementing act exceeds the implementing powers provided for in the basic act. The Commission is not required to justify the draft implementing act as regards these points. Nevertheless, the Commission has carefully considered the positions expressed by the European Parliament and would like to make the following comments:</w:t>
      </w:r>
    </w:p>
    <w:p w:rsidR="006077D7" w:rsidRPr="00470B25" w:rsidRDefault="006077D7" w:rsidP="006077D7">
      <w:pPr>
        <w:pStyle w:val="ListBullet"/>
        <w:numPr>
          <w:ilvl w:val="0"/>
          <w:numId w:val="3"/>
        </w:numPr>
        <w:spacing w:after="120"/>
        <w:ind w:left="1080"/>
        <w:rPr>
          <w:rFonts w:ascii="Times New Roman" w:hAnsi="Times New Roman"/>
          <w:szCs w:val="24"/>
        </w:rPr>
      </w:pPr>
      <w:r>
        <w:rPr>
          <w:rFonts w:ascii="Times New Roman" w:hAnsi="Times New Roman"/>
          <w:szCs w:val="24"/>
        </w:rPr>
        <w:t xml:space="preserve">in relation to </w:t>
      </w:r>
      <w:r>
        <w:rPr>
          <w:rFonts w:ascii="Times New Roman" w:hAnsi="Times New Roman"/>
          <w:b/>
          <w:szCs w:val="24"/>
        </w:rPr>
        <w:t>r</w:t>
      </w:r>
      <w:r w:rsidRPr="00384B45">
        <w:rPr>
          <w:rFonts w:ascii="Times New Roman" w:hAnsi="Times New Roman"/>
          <w:b/>
          <w:szCs w:val="24"/>
        </w:rPr>
        <w:t>ecital D</w:t>
      </w:r>
      <w:r>
        <w:rPr>
          <w:rFonts w:ascii="Times New Roman" w:hAnsi="Times New Roman"/>
          <w:szCs w:val="24"/>
        </w:rPr>
        <w:t xml:space="preserve">, and the concerns about the minority opinion </w:t>
      </w:r>
      <w:r w:rsidRPr="00470B25">
        <w:rPr>
          <w:rFonts w:ascii="Times New Roman" w:hAnsi="Times New Roman"/>
          <w:szCs w:val="24"/>
        </w:rPr>
        <w:t>expressed by one EFSA GMO Panel member</w:t>
      </w:r>
      <w:r>
        <w:rPr>
          <w:rFonts w:ascii="Times New Roman" w:hAnsi="Times New Roman"/>
          <w:szCs w:val="24"/>
        </w:rPr>
        <w:t xml:space="preserve"> (</w:t>
      </w:r>
      <w:r>
        <w:rPr>
          <w:rFonts w:ascii="Times New Roman" w:hAnsi="Times New Roman"/>
          <w:b/>
          <w:szCs w:val="24"/>
        </w:rPr>
        <w:t>r</w:t>
      </w:r>
      <w:r w:rsidRPr="00384B45">
        <w:rPr>
          <w:rFonts w:ascii="Times New Roman" w:hAnsi="Times New Roman"/>
          <w:b/>
          <w:szCs w:val="24"/>
        </w:rPr>
        <w:t>ecitals F to I</w:t>
      </w:r>
      <w:r>
        <w:rPr>
          <w:rFonts w:ascii="Times New Roman" w:hAnsi="Times New Roman"/>
          <w:szCs w:val="24"/>
        </w:rPr>
        <w:t xml:space="preserve">) regarding </w:t>
      </w:r>
      <w:r w:rsidRPr="00470B25">
        <w:rPr>
          <w:rFonts w:ascii="Times New Roman" w:hAnsi="Times New Roman"/>
          <w:szCs w:val="24"/>
        </w:rPr>
        <w:t xml:space="preserve">the </w:t>
      </w:r>
      <w:r>
        <w:rPr>
          <w:rFonts w:ascii="Times New Roman" w:hAnsi="Times New Roman"/>
          <w:szCs w:val="24"/>
        </w:rPr>
        <w:t>three</w:t>
      </w:r>
      <w:r w:rsidRPr="00470B25">
        <w:rPr>
          <w:rFonts w:ascii="Times New Roman" w:hAnsi="Times New Roman"/>
          <w:szCs w:val="24"/>
        </w:rPr>
        <w:t xml:space="preserve"> sub-combinations for which no specific data w</w:t>
      </w:r>
      <w:r>
        <w:rPr>
          <w:rFonts w:ascii="Times New Roman" w:hAnsi="Times New Roman"/>
          <w:szCs w:val="24"/>
        </w:rPr>
        <w:t>as</w:t>
      </w:r>
      <w:r w:rsidRPr="00470B25">
        <w:rPr>
          <w:rFonts w:ascii="Times New Roman" w:hAnsi="Times New Roman"/>
          <w:szCs w:val="24"/>
        </w:rPr>
        <w:t xml:space="preserve"> provided</w:t>
      </w:r>
      <w:r>
        <w:rPr>
          <w:rFonts w:ascii="Times New Roman" w:hAnsi="Times New Roman"/>
          <w:szCs w:val="24"/>
        </w:rPr>
        <w:t xml:space="preserve">, </w:t>
      </w:r>
      <w:r w:rsidRPr="00AB1D20">
        <w:rPr>
          <w:rFonts w:ascii="Times New Roman" w:hAnsi="Times New Roman"/>
          <w:szCs w:val="24"/>
        </w:rPr>
        <w:t xml:space="preserve">all </w:t>
      </w:r>
      <w:r w:rsidRPr="00470B25">
        <w:rPr>
          <w:rFonts w:ascii="Times New Roman" w:hAnsi="Times New Roman"/>
          <w:szCs w:val="24"/>
        </w:rPr>
        <w:t xml:space="preserve">the other </w:t>
      </w:r>
      <w:r>
        <w:rPr>
          <w:rFonts w:ascii="Times New Roman" w:hAnsi="Times New Roman"/>
          <w:szCs w:val="24"/>
        </w:rPr>
        <w:t>members</w:t>
      </w:r>
      <w:r w:rsidRPr="00470B25">
        <w:rPr>
          <w:rFonts w:ascii="Times New Roman" w:hAnsi="Times New Roman"/>
          <w:szCs w:val="24"/>
        </w:rPr>
        <w:t xml:space="preserve"> of the EFSA GMO Panel did not agree with this divergent opinion and concluded positively on those </w:t>
      </w:r>
      <w:r>
        <w:rPr>
          <w:rFonts w:ascii="Times New Roman" w:hAnsi="Times New Roman"/>
          <w:szCs w:val="24"/>
        </w:rPr>
        <w:t>three</w:t>
      </w:r>
      <w:r w:rsidRPr="00470B25">
        <w:rPr>
          <w:rFonts w:ascii="Times New Roman" w:hAnsi="Times New Roman"/>
          <w:szCs w:val="24"/>
        </w:rPr>
        <w:t xml:space="preserve"> sub-combinations, </w:t>
      </w:r>
      <w:r w:rsidRPr="00470B25">
        <w:rPr>
          <w:rFonts w:ascii="Times New Roman" w:hAnsi="Times New Roman"/>
          <w:szCs w:val="24"/>
          <w:lang w:val="en-US"/>
        </w:rPr>
        <w:t>using a weight of evidence approach</w:t>
      </w:r>
      <w:r w:rsidRPr="00470B25">
        <w:rPr>
          <w:rFonts w:ascii="Times New Roman" w:hAnsi="Times New Roman"/>
          <w:szCs w:val="24"/>
        </w:rPr>
        <w:t>, based on the assessment of (i) the 4-event stack (with all proteins), and (ii) other sub-combinations for which no interactions between proteins have been observed.</w:t>
      </w:r>
      <w:r>
        <w:rPr>
          <w:rFonts w:ascii="Times New Roman" w:hAnsi="Times New Roman"/>
          <w:szCs w:val="24"/>
        </w:rPr>
        <w:t xml:space="preserve"> </w:t>
      </w:r>
      <w:r w:rsidRPr="00384B45">
        <w:rPr>
          <w:rFonts w:ascii="Times New Roman" w:hAnsi="Times New Roman"/>
          <w:szCs w:val="24"/>
        </w:rPr>
        <w:t>A comprehensive view of the argume</w:t>
      </w:r>
      <w:r>
        <w:rPr>
          <w:rFonts w:ascii="Times New Roman" w:hAnsi="Times New Roman"/>
          <w:szCs w:val="24"/>
        </w:rPr>
        <w:t>nts and references used by the GMO P</w:t>
      </w:r>
      <w:r w:rsidRPr="00384B45">
        <w:rPr>
          <w:rFonts w:ascii="Times New Roman" w:hAnsi="Times New Roman"/>
          <w:szCs w:val="24"/>
        </w:rPr>
        <w:t xml:space="preserve">anel to conclude on those sub-combinations, and the discussion that took place is reported in the minutes of the GMO Panel plenary meeting when the scientific opinion on this application </w:t>
      </w:r>
      <w:r>
        <w:rPr>
          <w:rFonts w:ascii="Times New Roman" w:hAnsi="Times New Roman"/>
          <w:szCs w:val="24"/>
        </w:rPr>
        <w:t>was</w:t>
      </w:r>
      <w:r w:rsidRPr="00384B45">
        <w:rPr>
          <w:rFonts w:ascii="Times New Roman" w:hAnsi="Times New Roman"/>
          <w:szCs w:val="24"/>
        </w:rPr>
        <w:t xml:space="preserve"> adopted.</w:t>
      </w:r>
    </w:p>
    <w:p w:rsidR="006077D7" w:rsidRDefault="006077D7" w:rsidP="006077D7">
      <w:pPr>
        <w:numPr>
          <w:ilvl w:val="0"/>
          <w:numId w:val="3"/>
        </w:numPr>
        <w:spacing w:after="120"/>
        <w:ind w:left="1080"/>
        <w:rPr>
          <w:rFonts w:ascii="Times New Roman" w:hAnsi="Times New Roman"/>
          <w:szCs w:val="24"/>
        </w:rPr>
      </w:pPr>
      <w:r>
        <w:rPr>
          <w:rFonts w:ascii="Times New Roman" w:hAnsi="Times New Roman"/>
          <w:szCs w:val="24"/>
        </w:rPr>
        <w:t>w</w:t>
      </w:r>
      <w:r w:rsidRPr="00B61ABC">
        <w:rPr>
          <w:rFonts w:ascii="Times New Roman" w:hAnsi="Times New Roman"/>
          <w:szCs w:val="24"/>
        </w:rPr>
        <w:t>ith respect to the specific concern</w:t>
      </w:r>
      <w:r>
        <w:rPr>
          <w:rFonts w:ascii="Times New Roman" w:hAnsi="Times New Roman"/>
          <w:szCs w:val="24"/>
        </w:rPr>
        <w:t>s</w:t>
      </w:r>
      <w:r w:rsidRPr="00B61ABC">
        <w:rPr>
          <w:rFonts w:ascii="Times New Roman" w:hAnsi="Times New Roman"/>
          <w:szCs w:val="24"/>
        </w:rPr>
        <w:t xml:space="preserve"> </w:t>
      </w:r>
      <w:r w:rsidRPr="00E617DD">
        <w:rPr>
          <w:rFonts w:ascii="Times New Roman" w:hAnsi="Times New Roman"/>
          <w:szCs w:val="24"/>
        </w:rPr>
        <w:t xml:space="preserve">raised in </w:t>
      </w:r>
      <w:r>
        <w:rPr>
          <w:rFonts w:ascii="Times New Roman" w:hAnsi="Times New Roman"/>
          <w:b/>
          <w:szCs w:val="24"/>
        </w:rPr>
        <w:t>r</w:t>
      </w:r>
      <w:r w:rsidRPr="00E617DD">
        <w:rPr>
          <w:rFonts w:ascii="Times New Roman" w:hAnsi="Times New Roman"/>
          <w:b/>
          <w:szCs w:val="24"/>
        </w:rPr>
        <w:t xml:space="preserve">ecitals </w:t>
      </w:r>
      <w:r>
        <w:rPr>
          <w:rFonts w:ascii="Times New Roman" w:hAnsi="Times New Roman"/>
          <w:b/>
          <w:szCs w:val="24"/>
        </w:rPr>
        <w:t>K to N</w:t>
      </w:r>
      <w:r w:rsidRPr="00E617DD">
        <w:rPr>
          <w:rFonts w:ascii="Times New Roman" w:hAnsi="Times New Roman"/>
          <w:b/>
          <w:szCs w:val="24"/>
        </w:rPr>
        <w:t xml:space="preserve"> </w:t>
      </w:r>
      <w:r w:rsidRPr="00E617DD">
        <w:rPr>
          <w:rFonts w:ascii="Times New Roman" w:hAnsi="Times New Roman"/>
          <w:szCs w:val="24"/>
        </w:rPr>
        <w:t>of</w:t>
      </w:r>
      <w:r w:rsidRPr="00B61ABC">
        <w:rPr>
          <w:rFonts w:ascii="Times New Roman" w:hAnsi="Times New Roman"/>
          <w:szCs w:val="24"/>
        </w:rPr>
        <w:t xml:space="preserve"> the </w:t>
      </w:r>
      <w:r>
        <w:rPr>
          <w:rFonts w:ascii="Times New Roman" w:hAnsi="Times New Roman"/>
          <w:szCs w:val="24"/>
        </w:rPr>
        <w:t>r</w:t>
      </w:r>
      <w:r w:rsidRPr="00B61ABC">
        <w:rPr>
          <w:rFonts w:ascii="Times New Roman" w:hAnsi="Times New Roman"/>
          <w:szCs w:val="24"/>
        </w:rPr>
        <w:t xml:space="preserve">esolution, the Commission would like to point out that the risk assessment in the context of an application for food and feed uses of a herbicide-tolerant </w:t>
      </w:r>
      <w:r>
        <w:rPr>
          <w:rFonts w:ascii="Times New Roman" w:hAnsi="Times New Roman"/>
          <w:szCs w:val="24"/>
        </w:rPr>
        <w:t xml:space="preserve">GM </w:t>
      </w:r>
      <w:r w:rsidRPr="00B61ABC">
        <w:rPr>
          <w:rFonts w:ascii="Times New Roman" w:hAnsi="Times New Roman"/>
          <w:szCs w:val="24"/>
        </w:rPr>
        <w:t>crop is focused on the potential impact of the genetic modification on human and animal health and on the environment.</w:t>
      </w:r>
      <w:r>
        <w:rPr>
          <w:rFonts w:ascii="Times New Roman" w:hAnsi="Times New Roman"/>
          <w:szCs w:val="24"/>
        </w:rPr>
        <w:t xml:space="preserve"> </w:t>
      </w:r>
      <w:r w:rsidRPr="00B61ABC">
        <w:rPr>
          <w:rFonts w:ascii="Times New Roman" w:hAnsi="Times New Roman"/>
          <w:szCs w:val="24"/>
        </w:rPr>
        <w:t>The risk assessment and authorisation of herbicides is subject to the procedures set out in Regulation</w:t>
      </w:r>
      <w:r>
        <w:rPr>
          <w:rFonts w:ascii="Times New Roman" w:hAnsi="Times New Roman"/>
          <w:szCs w:val="24"/>
        </w:rPr>
        <w:t xml:space="preserve"> </w:t>
      </w:r>
      <w:r w:rsidRPr="00B61ABC">
        <w:rPr>
          <w:rFonts w:ascii="Times New Roman" w:hAnsi="Times New Roman"/>
          <w:szCs w:val="24"/>
        </w:rPr>
        <w:t>(EC)</w:t>
      </w:r>
      <w:r>
        <w:rPr>
          <w:rFonts w:ascii="Times New Roman" w:hAnsi="Times New Roman"/>
          <w:szCs w:val="24"/>
        </w:rPr>
        <w:t xml:space="preserve"> </w:t>
      </w:r>
      <w:r w:rsidRPr="00B61ABC">
        <w:rPr>
          <w:rFonts w:ascii="Times New Roman" w:hAnsi="Times New Roman"/>
          <w:szCs w:val="24"/>
        </w:rPr>
        <w:t>No 1107/2009, and the maximum residue levels (MRLs) are set und</w:t>
      </w:r>
      <w:r>
        <w:rPr>
          <w:rFonts w:ascii="Times New Roman" w:hAnsi="Times New Roman"/>
          <w:szCs w:val="24"/>
        </w:rPr>
        <w:t>er Regulation (EC) No 396/2005.</w:t>
      </w:r>
    </w:p>
    <w:p w:rsidR="006077D7" w:rsidRDefault="006077D7" w:rsidP="006077D7">
      <w:pPr>
        <w:numPr>
          <w:ilvl w:val="0"/>
          <w:numId w:val="3"/>
        </w:numPr>
        <w:spacing w:after="120"/>
        <w:ind w:left="1080"/>
        <w:rPr>
          <w:rFonts w:ascii="Times New Roman" w:hAnsi="Times New Roman"/>
          <w:szCs w:val="24"/>
        </w:rPr>
      </w:pPr>
      <w:r>
        <w:rPr>
          <w:rFonts w:ascii="Times New Roman" w:hAnsi="Times New Roman"/>
          <w:szCs w:val="24"/>
          <w:lang w:val="en-US"/>
        </w:rPr>
        <w:t>r</w:t>
      </w:r>
      <w:r w:rsidRPr="00B61ABC">
        <w:rPr>
          <w:rFonts w:ascii="Times New Roman" w:hAnsi="Times New Roman"/>
          <w:szCs w:val="24"/>
          <w:lang w:val="en-US"/>
        </w:rPr>
        <w:t xml:space="preserve">egarding </w:t>
      </w:r>
      <w:r>
        <w:rPr>
          <w:rFonts w:ascii="Times New Roman" w:hAnsi="Times New Roman"/>
          <w:b/>
          <w:szCs w:val="24"/>
          <w:lang w:val="en-US"/>
        </w:rPr>
        <w:t>r</w:t>
      </w:r>
      <w:r w:rsidRPr="00B61ABC">
        <w:rPr>
          <w:rFonts w:ascii="Times New Roman" w:hAnsi="Times New Roman"/>
          <w:b/>
          <w:szCs w:val="24"/>
          <w:lang w:val="en-US"/>
        </w:rPr>
        <w:t>ecital</w:t>
      </w:r>
      <w:r>
        <w:rPr>
          <w:rFonts w:ascii="Times New Roman" w:hAnsi="Times New Roman"/>
          <w:b/>
          <w:szCs w:val="24"/>
          <w:lang w:val="en-US"/>
        </w:rPr>
        <w:t>s O, P and Q</w:t>
      </w:r>
      <w:r w:rsidRPr="00B61ABC">
        <w:rPr>
          <w:rFonts w:ascii="Times New Roman" w:hAnsi="Times New Roman"/>
          <w:szCs w:val="24"/>
          <w:lang w:val="en-US"/>
        </w:rPr>
        <w:t>, the Commission would like to stress that</w:t>
      </w:r>
      <w:r>
        <w:rPr>
          <w:rFonts w:ascii="Times New Roman" w:hAnsi="Times New Roman"/>
          <w:szCs w:val="24"/>
          <w:lang w:val="en-US"/>
        </w:rPr>
        <w:t>,</w:t>
      </w:r>
      <w:r w:rsidRPr="00B61ABC">
        <w:rPr>
          <w:rFonts w:ascii="Times New Roman" w:hAnsi="Times New Roman"/>
          <w:szCs w:val="24"/>
          <w:lang w:val="en-US"/>
        </w:rPr>
        <w:t xml:space="preserve"> </w:t>
      </w:r>
      <w:r w:rsidRPr="00B61ABC">
        <w:rPr>
          <w:rFonts w:ascii="Times New Roman" w:hAnsi="Times New Roman"/>
          <w:szCs w:val="24"/>
        </w:rPr>
        <w:t>during the risk assessment</w:t>
      </w:r>
      <w:r>
        <w:rPr>
          <w:rFonts w:ascii="Times New Roman" w:hAnsi="Times New Roman"/>
          <w:szCs w:val="24"/>
        </w:rPr>
        <w:t>,</w:t>
      </w:r>
      <w:r w:rsidRPr="00B61ABC">
        <w:rPr>
          <w:rFonts w:ascii="Times New Roman" w:hAnsi="Times New Roman"/>
          <w:szCs w:val="24"/>
        </w:rPr>
        <w:t xml:space="preserve"> herbicide-tolerant </w:t>
      </w:r>
      <w:r>
        <w:rPr>
          <w:rFonts w:ascii="Times New Roman" w:hAnsi="Times New Roman"/>
          <w:szCs w:val="24"/>
        </w:rPr>
        <w:t>GM</w:t>
      </w:r>
      <w:r w:rsidRPr="00B61ABC">
        <w:rPr>
          <w:rFonts w:ascii="Times New Roman" w:hAnsi="Times New Roman"/>
          <w:szCs w:val="24"/>
        </w:rPr>
        <w:t xml:space="preserve"> crops sprayed with the intended herbicide</w:t>
      </w:r>
      <w:r>
        <w:rPr>
          <w:rFonts w:ascii="Times New Roman" w:hAnsi="Times New Roman"/>
          <w:szCs w:val="24"/>
        </w:rPr>
        <w:t>(s)</w:t>
      </w:r>
      <w:r w:rsidRPr="00B61ABC">
        <w:rPr>
          <w:rFonts w:ascii="Times New Roman" w:hAnsi="Times New Roman"/>
          <w:szCs w:val="24"/>
        </w:rPr>
        <w:t xml:space="preserve"> are assessed and checked for intended and unintended effects regarding composition, agronomic and phenotypic characteristics.</w:t>
      </w:r>
    </w:p>
    <w:p w:rsidR="006077D7" w:rsidRPr="00503B3B" w:rsidRDefault="006077D7" w:rsidP="006077D7">
      <w:pPr>
        <w:numPr>
          <w:ilvl w:val="0"/>
          <w:numId w:val="3"/>
        </w:numPr>
        <w:spacing w:after="120"/>
        <w:ind w:left="1080"/>
        <w:rPr>
          <w:rFonts w:ascii="Times New Roman" w:hAnsi="Times New Roman"/>
          <w:sz w:val="22"/>
          <w:lang w:val="en-US" w:eastAsia="fr-BE"/>
        </w:rPr>
      </w:pPr>
      <w:r>
        <w:rPr>
          <w:rFonts w:ascii="Times New Roman" w:hAnsi="Times New Roman"/>
          <w:lang w:val="en-US"/>
        </w:rPr>
        <w:t>w</w:t>
      </w:r>
      <w:r w:rsidRPr="00503B3B">
        <w:rPr>
          <w:rFonts w:ascii="Times New Roman" w:hAnsi="Times New Roman"/>
          <w:lang w:val="en-US"/>
        </w:rPr>
        <w:t xml:space="preserve">ith respect to the specific concern raised in </w:t>
      </w:r>
      <w:r>
        <w:rPr>
          <w:rFonts w:ascii="Times New Roman" w:hAnsi="Times New Roman"/>
          <w:b/>
          <w:bCs/>
          <w:lang w:val="en-US"/>
        </w:rPr>
        <w:t>r</w:t>
      </w:r>
      <w:r w:rsidRPr="00503B3B">
        <w:rPr>
          <w:rFonts w:ascii="Times New Roman" w:hAnsi="Times New Roman"/>
          <w:b/>
          <w:bCs/>
          <w:lang w:val="en-US"/>
        </w:rPr>
        <w:t xml:space="preserve">ecital </w:t>
      </w:r>
      <w:r>
        <w:rPr>
          <w:rFonts w:ascii="Times New Roman" w:hAnsi="Times New Roman"/>
          <w:b/>
          <w:bCs/>
          <w:lang w:val="en-US"/>
        </w:rPr>
        <w:t>R</w:t>
      </w:r>
      <w:r w:rsidRPr="00503B3B">
        <w:rPr>
          <w:rFonts w:ascii="Times New Roman" w:hAnsi="Times New Roman"/>
          <w:lang w:val="en-US"/>
        </w:rPr>
        <w:t xml:space="preserve">, the Commission would like to mention that, in addition to Multi-Annual Control </w:t>
      </w:r>
      <w:r w:rsidRPr="007319E7">
        <w:rPr>
          <w:rFonts w:ascii="Times New Roman" w:hAnsi="Times New Roman"/>
        </w:rPr>
        <w:t xml:space="preserve">Programme </w:t>
      </w:r>
      <w:r w:rsidRPr="00503B3B">
        <w:rPr>
          <w:rFonts w:ascii="Times New Roman" w:hAnsi="Times New Roman"/>
          <w:lang w:val="en-US"/>
        </w:rPr>
        <w:t xml:space="preserve">of the Union for pesticide residues required by Article 29 of Regulation (EC) 396/2005, and as provided for by Article 15(1) of Regulation 882/2004, Member States are also obliged to establish multi-annual National Control Plans. It is therefore </w:t>
      </w:r>
      <w:r>
        <w:rPr>
          <w:rFonts w:ascii="Times New Roman" w:hAnsi="Times New Roman"/>
          <w:lang w:val="en-US"/>
        </w:rPr>
        <w:t xml:space="preserve">the </w:t>
      </w:r>
      <w:r w:rsidRPr="00503B3B">
        <w:rPr>
          <w:rFonts w:ascii="Times New Roman" w:hAnsi="Times New Roman"/>
          <w:lang w:val="en-US"/>
        </w:rPr>
        <w:t xml:space="preserve">Member States’ responsibility to evaluate the potential risk of those herbicides on imported </w:t>
      </w:r>
      <w:r>
        <w:rPr>
          <w:rFonts w:ascii="Times New Roman" w:hAnsi="Times New Roman"/>
          <w:lang w:val="en-US"/>
        </w:rPr>
        <w:t>maize</w:t>
      </w:r>
      <w:r w:rsidRPr="00503B3B">
        <w:rPr>
          <w:rFonts w:ascii="Times New Roman" w:hAnsi="Times New Roman"/>
          <w:lang w:val="en-US"/>
        </w:rPr>
        <w:t>, and to define their National Control Plan accordingly.</w:t>
      </w:r>
    </w:p>
    <w:p w:rsidR="006077D7" w:rsidRPr="0073278F" w:rsidRDefault="006077D7" w:rsidP="006077D7">
      <w:pPr>
        <w:numPr>
          <w:ilvl w:val="0"/>
          <w:numId w:val="3"/>
        </w:numPr>
        <w:spacing w:after="120"/>
        <w:ind w:left="1080"/>
        <w:rPr>
          <w:rFonts w:ascii="Times New Roman" w:hAnsi="Times New Roman"/>
          <w:szCs w:val="24"/>
        </w:rPr>
      </w:pPr>
      <w:r>
        <w:rPr>
          <w:rFonts w:ascii="Times New Roman" w:hAnsi="Times New Roman"/>
          <w:szCs w:val="24"/>
        </w:rPr>
        <w:t>w</w:t>
      </w:r>
      <w:r w:rsidRPr="0073278F">
        <w:rPr>
          <w:rFonts w:ascii="Times New Roman" w:hAnsi="Times New Roman"/>
          <w:szCs w:val="24"/>
        </w:rPr>
        <w:t xml:space="preserve">ith regards to the comments in </w:t>
      </w:r>
      <w:r>
        <w:rPr>
          <w:rFonts w:ascii="Times New Roman" w:hAnsi="Times New Roman"/>
          <w:b/>
          <w:szCs w:val="24"/>
        </w:rPr>
        <w:t>r</w:t>
      </w:r>
      <w:r w:rsidRPr="0073278F">
        <w:rPr>
          <w:rFonts w:ascii="Times New Roman" w:hAnsi="Times New Roman"/>
          <w:b/>
          <w:szCs w:val="24"/>
        </w:rPr>
        <w:t xml:space="preserve">ecital U </w:t>
      </w:r>
      <w:r w:rsidRPr="0073278F">
        <w:rPr>
          <w:rFonts w:ascii="Times New Roman" w:hAnsi="Times New Roman"/>
          <w:szCs w:val="24"/>
        </w:rPr>
        <w:t xml:space="preserve">on the Commission legislative proposal for a </w:t>
      </w:r>
      <w:r>
        <w:rPr>
          <w:rFonts w:ascii="Times New Roman" w:hAnsi="Times New Roman"/>
          <w:szCs w:val="24"/>
        </w:rPr>
        <w:t>r</w:t>
      </w:r>
      <w:r w:rsidRPr="0073278F">
        <w:rPr>
          <w:rFonts w:ascii="Times New Roman" w:hAnsi="Times New Roman"/>
          <w:szCs w:val="24"/>
        </w:rPr>
        <w:t xml:space="preserve">egulation amending Regulation (EC) No 1829/2003 as regards the possibility for the Member States to restrict or prohibit the use of genetically modified food and feed on their territory, the Commission would like to recall that it regrets the decision of the European Parliament of 28 October 2015 to reject the proposal. The Commission maintains its original proposal, which, if adopted, would enable Member States to address at national level considerations </w:t>
      </w:r>
      <w:r>
        <w:rPr>
          <w:rFonts w:ascii="Times New Roman" w:hAnsi="Times New Roman"/>
          <w:szCs w:val="24"/>
        </w:rPr>
        <w:t>that</w:t>
      </w:r>
      <w:r w:rsidRPr="0073278F">
        <w:rPr>
          <w:rFonts w:ascii="Times New Roman" w:hAnsi="Times New Roman"/>
          <w:szCs w:val="24"/>
        </w:rPr>
        <w:t xml:space="preserve"> are not covered by the EU decision</w:t>
      </w:r>
      <w:r>
        <w:rPr>
          <w:rFonts w:ascii="Times New Roman" w:hAnsi="Times New Roman"/>
          <w:szCs w:val="24"/>
        </w:rPr>
        <w:t>-</w:t>
      </w:r>
      <w:r w:rsidRPr="0073278F">
        <w:rPr>
          <w:rFonts w:ascii="Times New Roman" w:hAnsi="Times New Roman"/>
          <w:szCs w:val="24"/>
        </w:rPr>
        <w:t>making process.</w:t>
      </w:r>
    </w:p>
    <w:p w:rsidR="006077D7" w:rsidRPr="0073278F" w:rsidRDefault="006077D7" w:rsidP="006077D7">
      <w:pPr>
        <w:numPr>
          <w:ilvl w:val="0"/>
          <w:numId w:val="3"/>
        </w:numPr>
        <w:spacing w:after="120"/>
        <w:ind w:left="1080"/>
        <w:rPr>
          <w:rFonts w:ascii="Times New Roman" w:hAnsi="Times New Roman"/>
          <w:szCs w:val="24"/>
        </w:rPr>
      </w:pPr>
      <w:r>
        <w:rPr>
          <w:rFonts w:ascii="Times New Roman" w:hAnsi="Times New Roman"/>
          <w:szCs w:val="24"/>
        </w:rPr>
        <w:t>f</w:t>
      </w:r>
      <w:r w:rsidRPr="0073278F">
        <w:rPr>
          <w:rFonts w:ascii="Times New Roman" w:hAnsi="Times New Roman"/>
          <w:szCs w:val="24"/>
        </w:rPr>
        <w:t xml:space="preserve">urthermore, with regards to the lacking support of </w:t>
      </w:r>
      <w:r>
        <w:rPr>
          <w:rFonts w:ascii="Times New Roman" w:hAnsi="Times New Roman"/>
          <w:szCs w:val="24"/>
        </w:rPr>
        <w:t xml:space="preserve">the </w:t>
      </w:r>
      <w:r w:rsidRPr="0073278F">
        <w:rPr>
          <w:rFonts w:ascii="Times New Roman" w:hAnsi="Times New Roman"/>
          <w:szCs w:val="24"/>
        </w:rPr>
        <w:t xml:space="preserve">Members States for any authorising decision of GMOs for food and feed uses </w:t>
      </w:r>
      <w:r>
        <w:rPr>
          <w:rFonts w:ascii="Times New Roman" w:hAnsi="Times New Roman"/>
          <w:b/>
          <w:szCs w:val="24"/>
        </w:rPr>
        <w:t>(r</w:t>
      </w:r>
      <w:r w:rsidRPr="0073278F">
        <w:rPr>
          <w:rFonts w:ascii="Times New Roman" w:hAnsi="Times New Roman"/>
          <w:b/>
          <w:szCs w:val="24"/>
        </w:rPr>
        <w:t>ecital T)</w:t>
      </w:r>
      <w:r w:rsidRPr="0073278F">
        <w:rPr>
          <w:rFonts w:ascii="Times New Roman" w:hAnsi="Times New Roman"/>
          <w:szCs w:val="24"/>
        </w:rPr>
        <w:t xml:space="preserve">, the Commission submitted a proposal to the Council and the European Parliament on 14 February 2017 to change the voting rules at the Appeal Committee, which if adopted by co-legislators, would increase transparency and accountability </w:t>
      </w:r>
      <w:r>
        <w:rPr>
          <w:rFonts w:ascii="Times New Roman" w:hAnsi="Times New Roman"/>
          <w:szCs w:val="24"/>
        </w:rPr>
        <w:t>in GMO decision-making process.</w:t>
      </w:r>
    </w:p>
    <w:p w:rsidR="006077D7" w:rsidRPr="0073278F" w:rsidRDefault="006077D7" w:rsidP="006077D7">
      <w:pPr>
        <w:pStyle w:val="ListBullet"/>
        <w:numPr>
          <w:ilvl w:val="0"/>
          <w:numId w:val="3"/>
        </w:numPr>
        <w:spacing w:after="120"/>
        <w:ind w:left="1080"/>
        <w:rPr>
          <w:rFonts w:ascii="Times New Roman" w:hAnsi="Times New Roman"/>
          <w:szCs w:val="24"/>
        </w:rPr>
      </w:pPr>
      <w:r>
        <w:rPr>
          <w:rFonts w:ascii="Times New Roman" w:hAnsi="Times New Roman"/>
          <w:szCs w:val="24"/>
        </w:rPr>
        <w:lastRenderedPageBreak/>
        <w:t>i</w:t>
      </w:r>
      <w:r w:rsidRPr="0073278F">
        <w:rPr>
          <w:rFonts w:ascii="Times New Roman" w:hAnsi="Times New Roman"/>
          <w:szCs w:val="24"/>
        </w:rPr>
        <w:t>n conclusion, the Commission would like to stress that as for any legislative procedure submitted under the ordinary legislative procedure, the rules in place continue to apply during the negotiations between the co-legislators and until a final agreement is found. Consequently, the Commission has to continue processing the applications for GM food and feed.</w:t>
      </w:r>
    </w:p>
    <w:p w:rsidR="00680EFD" w:rsidRDefault="00680EFD"/>
    <w:sectPr w:rsidR="00680E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7D7" w:rsidRDefault="006077D7" w:rsidP="006077D7">
      <w:pPr>
        <w:spacing w:after="0"/>
      </w:pPr>
      <w:r>
        <w:separator/>
      </w:r>
    </w:p>
  </w:endnote>
  <w:endnote w:type="continuationSeparator" w:id="0">
    <w:p w:rsidR="006077D7" w:rsidRDefault="006077D7" w:rsidP="006077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7D7" w:rsidRDefault="006077D7" w:rsidP="006077D7">
      <w:pPr>
        <w:spacing w:after="0"/>
      </w:pPr>
      <w:r>
        <w:separator/>
      </w:r>
    </w:p>
  </w:footnote>
  <w:footnote w:type="continuationSeparator" w:id="0">
    <w:p w:rsidR="006077D7" w:rsidRDefault="006077D7" w:rsidP="006077D7">
      <w:pPr>
        <w:spacing w:after="0"/>
      </w:pPr>
      <w:r>
        <w:continuationSeparator/>
      </w:r>
    </w:p>
  </w:footnote>
  <w:footnote w:id="1">
    <w:p w:rsidR="006077D7" w:rsidRPr="0031309B" w:rsidRDefault="006077D7" w:rsidP="006077D7">
      <w:pPr>
        <w:pStyle w:val="FootnoteText"/>
        <w:rPr>
          <w:rFonts w:ascii="Times New Roman" w:hAnsi="Times New Roman"/>
          <w:lang w:val="de-DE"/>
        </w:rPr>
      </w:pPr>
      <w:r w:rsidRPr="000E0C1C">
        <w:rPr>
          <w:rStyle w:val="FootnoteReference"/>
          <w:rFonts w:ascii="Times New Roman" w:hAnsi="Times New Roman"/>
        </w:rPr>
        <w:footnoteRef/>
      </w:r>
      <w:r w:rsidRPr="0031309B">
        <w:rPr>
          <w:rFonts w:ascii="Times New Roman" w:hAnsi="Times New Roman"/>
          <w:lang w:val="de-DE"/>
        </w:rPr>
        <w:t xml:space="preserve"> </w:t>
      </w:r>
      <w:r w:rsidRPr="0031309B">
        <w:rPr>
          <w:rFonts w:ascii="Times New Roman" w:hAnsi="Times New Roman"/>
          <w:lang w:val="de-DE"/>
        </w:rPr>
        <w:tab/>
        <w:t>Maize Bt11 x MIR162 x 1507, maize MIR162 x 1507 x GA21 and maize MIR162 x 1507</w:t>
      </w:r>
    </w:p>
  </w:footnote>
  <w:footnote w:id="2">
    <w:p w:rsidR="006077D7" w:rsidRPr="006077D7" w:rsidRDefault="006077D7" w:rsidP="006077D7">
      <w:pPr>
        <w:pStyle w:val="FootnoteText"/>
        <w:spacing w:after="0"/>
        <w:rPr>
          <w:rFonts w:ascii="Times New Roman" w:hAnsi="Times New Roman"/>
          <w:lang w:val="de-DE"/>
        </w:rPr>
      </w:pPr>
      <w:r w:rsidRPr="006077D7">
        <w:rPr>
          <w:rStyle w:val="FootnoteReference"/>
          <w:rFonts w:ascii="Times New Roman" w:hAnsi="Times New Roman"/>
        </w:rPr>
        <w:footnoteRef/>
      </w:r>
      <w:r w:rsidRPr="006077D7">
        <w:rPr>
          <w:rFonts w:ascii="Times New Roman" w:hAnsi="Times New Roman"/>
          <w:lang w:val="de-DE"/>
        </w:rPr>
        <w:t xml:space="preserve"> </w:t>
      </w:r>
      <w:r w:rsidRPr="006077D7">
        <w:rPr>
          <w:rFonts w:ascii="Times New Roman" w:hAnsi="Times New Roman"/>
          <w:lang w:val="de-DE"/>
        </w:rPr>
        <w:tab/>
        <w:t>Maize Bt11 x MIR162 x 1507, maize MIR162 x 1507 x GA21 and maize MIR162 x 1507</w:t>
      </w:r>
    </w:p>
  </w:footnote>
  <w:footnote w:id="3">
    <w:p w:rsidR="006077D7" w:rsidRPr="006077D7" w:rsidRDefault="006077D7" w:rsidP="006077D7">
      <w:pPr>
        <w:pStyle w:val="FootnoteText"/>
        <w:spacing w:after="0"/>
        <w:rPr>
          <w:rFonts w:ascii="Times New Roman" w:hAnsi="Times New Roman"/>
          <w:lang w:val="de-DE"/>
        </w:rPr>
      </w:pPr>
      <w:r w:rsidRPr="006077D7">
        <w:rPr>
          <w:rStyle w:val="FootnoteReference"/>
          <w:rFonts w:ascii="Times New Roman" w:hAnsi="Times New Roman"/>
        </w:rPr>
        <w:footnoteRef/>
      </w:r>
      <w:r w:rsidRPr="006077D7">
        <w:rPr>
          <w:rStyle w:val="FootnoteReference"/>
          <w:rFonts w:ascii="Times New Roman" w:hAnsi="Times New Roman"/>
          <w:lang w:val="de-DE"/>
        </w:rPr>
        <w:t xml:space="preserve"> </w:t>
      </w:r>
      <w:r w:rsidRPr="006077D7">
        <w:rPr>
          <w:rFonts w:ascii="Times New Roman" w:hAnsi="Times New Roman"/>
          <w:lang w:val="de-DE"/>
        </w:rPr>
        <w:tab/>
      </w:r>
      <w:hyperlink r:id="rId1" w:history="1">
        <w:r w:rsidRPr="006077D7">
          <w:rPr>
            <w:rStyle w:val="Hyperlink"/>
            <w:rFonts w:ascii="Times New Roman" w:hAnsi="Times New Roman"/>
            <w:color w:val="auto"/>
            <w:lang w:val="de-DE"/>
          </w:rPr>
          <w:t>http://ec.europa.eu/food/plant/gmo/public_consultations/index_en.htm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1" w15:restartNumberingAfterBreak="0">
    <w:nsid w:val="05681E82"/>
    <w:multiLevelType w:val="hybridMultilevel"/>
    <w:tmpl w:val="0316D07C"/>
    <w:lvl w:ilvl="0" w:tplc="010A3310">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ED2C08"/>
    <w:multiLevelType w:val="hybridMultilevel"/>
    <w:tmpl w:val="424A86AA"/>
    <w:lvl w:ilvl="0" w:tplc="90B27698">
      <w:start w:val="1"/>
      <w:numFmt w:val="decimal"/>
      <w:lvlText w:val="%1."/>
      <w:lvlJc w:val="left"/>
      <w:pPr>
        <w:ind w:left="1145" w:hanging="720"/>
      </w:pPr>
      <w:rPr>
        <w:rFonts w:hint="default"/>
        <w:b/>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3" w15:restartNumberingAfterBreak="0">
    <w:nsid w:val="5C3073F9"/>
    <w:multiLevelType w:val="hybridMultilevel"/>
    <w:tmpl w:val="DA8A5DBE"/>
    <w:lvl w:ilvl="0" w:tplc="010A331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7D7"/>
    <w:rsid w:val="0007238C"/>
    <w:rsid w:val="000A1623"/>
    <w:rsid w:val="000D6EB1"/>
    <w:rsid w:val="00110BA4"/>
    <w:rsid w:val="001262BB"/>
    <w:rsid w:val="00131AC6"/>
    <w:rsid w:val="001855CC"/>
    <w:rsid w:val="001C3806"/>
    <w:rsid w:val="002871F7"/>
    <w:rsid w:val="006077D7"/>
    <w:rsid w:val="00643679"/>
    <w:rsid w:val="00680EFD"/>
    <w:rsid w:val="006843AE"/>
    <w:rsid w:val="00AD10AA"/>
    <w:rsid w:val="00B24044"/>
    <w:rsid w:val="00B34A98"/>
    <w:rsid w:val="00B65AA4"/>
    <w:rsid w:val="00D60BB2"/>
    <w:rsid w:val="00ED700E"/>
    <w:rsid w:val="00F709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DF6914-6B41-4A65-8338-4C228EE82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7D7"/>
    <w:pPr>
      <w:spacing w:after="240" w:line="240" w:lineRule="auto"/>
      <w:jc w:val="both"/>
    </w:pPr>
    <w:rPr>
      <w:rFonts w:ascii="Courier New" w:eastAsia="Times New Roman" w:hAnsi="Courier New"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DGName">
    <w:name w:val="Z_DGName"/>
    <w:basedOn w:val="Normal"/>
    <w:uiPriority w:val="99"/>
    <w:rsid w:val="000A1623"/>
    <w:pPr>
      <w:ind w:right="85"/>
    </w:pPr>
    <w:rPr>
      <w:rFonts w:ascii="Arial" w:hAnsi="Arial" w:cs="Arial"/>
      <w:color w:val="000000"/>
      <w:sz w:val="16"/>
      <w:szCs w:val="16"/>
      <w:lang w:val="fr-FR" w:eastAsia="fr-BE"/>
    </w:rPr>
  </w:style>
  <w:style w:type="paragraph" w:customStyle="1" w:styleId="NoSpacingGray-80">
    <w:name w:val="No Spacing + Gray-80%"/>
    <w:aliases w:val="Justified,Left:  0,5 cm + Left:  0,5 cm,Right:  0,08 cm"/>
    <w:basedOn w:val="NoSpacing"/>
    <w:rsid w:val="000A1623"/>
    <w:pPr>
      <w:ind w:right="707"/>
    </w:pPr>
    <w:rPr>
      <w:rFonts w:eastAsia="Times New Roman" w:cs="Times New Roman"/>
      <w:color w:val="000000"/>
    </w:rPr>
  </w:style>
  <w:style w:type="paragraph" w:styleId="NoSpacing">
    <w:name w:val="No Spacing"/>
    <w:link w:val="NoSpacingChar"/>
    <w:autoRedefine/>
    <w:uiPriority w:val="1"/>
    <w:qFormat/>
    <w:rsid w:val="000A1623"/>
    <w:pPr>
      <w:keepLines/>
      <w:spacing w:after="0" w:line="240" w:lineRule="auto"/>
      <w:jc w:val="both"/>
    </w:pPr>
    <w:rPr>
      <w:rFonts w:ascii="Times New Roman" w:hAnsi="Times New Roman"/>
      <w:color w:val="333333"/>
      <w:sz w:val="20"/>
      <w:szCs w:val="20"/>
      <w:lang w:val="fr-BE" w:eastAsia="en-GB"/>
    </w:rPr>
  </w:style>
  <w:style w:type="paragraph" w:styleId="Header">
    <w:name w:val="header"/>
    <w:basedOn w:val="Normal"/>
    <w:link w:val="HeaderChar"/>
    <w:uiPriority w:val="99"/>
    <w:unhideWhenUsed/>
    <w:rsid w:val="000A1623"/>
    <w:pPr>
      <w:tabs>
        <w:tab w:val="center" w:pos="4513"/>
        <w:tab w:val="right" w:pos="9026"/>
      </w:tabs>
      <w:spacing w:after="0"/>
    </w:pPr>
  </w:style>
  <w:style w:type="character" w:customStyle="1" w:styleId="HeaderChar">
    <w:name w:val="Header Char"/>
    <w:basedOn w:val="DefaultParagraphFont"/>
    <w:link w:val="Header"/>
    <w:uiPriority w:val="99"/>
    <w:rsid w:val="000A1623"/>
  </w:style>
  <w:style w:type="paragraph" w:styleId="Footer">
    <w:name w:val="footer"/>
    <w:basedOn w:val="Normal"/>
    <w:link w:val="FooterChar"/>
    <w:uiPriority w:val="99"/>
    <w:unhideWhenUsed/>
    <w:rsid w:val="000A1623"/>
    <w:pPr>
      <w:tabs>
        <w:tab w:val="center" w:pos="4513"/>
        <w:tab w:val="right" w:pos="9026"/>
      </w:tabs>
      <w:spacing w:after="0"/>
    </w:pPr>
  </w:style>
  <w:style w:type="character" w:customStyle="1" w:styleId="FooterChar">
    <w:name w:val="Footer Char"/>
    <w:basedOn w:val="DefaultParagraphFont"/>
    <w:link w:val="Footer"/>
    <w:uiPriority w:val="99"/>
    <w:rsid w:val="000A1623"/>
  </w:style>
  <w:style w:type="character" w:customStyle="1" w:styleId="NoSpacingChar">
    <w:name w:val="No Spacing Char"/>
    <w:link w:val="NoSpacing"/>
    <w:uiPriority w:val="1"/>
    <w:locked/>
    <w:rsid w:val="000A1623"/>
    <w:rPr>
      <w:rFonts w:ascii="Times New Roman" w:hAnsi="Times New Roman"/>
      <w:color w:val="333333"/>
      <w:sz w:val="20"/>
      <w:szCs w:val="20"/>
      <w:lang w:val="fr-BE" w:eastAsia="en-GB"/>
    </w:rPr>
  </w:style>
  <w:style w:type="paragraph" w:styleId="ListParagraph">
    <w:name w:val="List Paragraph"/>
    <w:basedOn w:val="Normal"/>
    <w:uiPriority w:val="34"/>
    <w:qFormat/>
    <w:rsid w:val="000A1623"/>
    <w:pPr>
      <w:ind w:left="720"/>
      <w:contextualSpacing/>
    </w:pPr>
  </w:style>
  <w:style w:type="paragraph" w:customStyle="1" w:styleId="Heading2capitalletters">
    <w:name w:val="Heading 2 (capital letters)"/>
    <w:basedOn w:val="Normal"/>
    <w:link w:val="Heading2capitallettersChar"/>
    <w:qFormat/>
    <w:rsid w:val="000A1623"/>
    <w:rPr>
      <w:rFonts w:ascii="Times New Roman" w:hAnsi="Times New Roman"/>
      <w:b/>
      <w:szCs w:val="24"/>
      <w:u w:val="single"/>
      <w:lang w:val="fr-BE"/>
    </w:rPr>
  </w:style>
  <w:style w:type="character" w:customStyle="1" w:styleId="Heading2capitallettersChar">
    <w:name w:val="Heading 2 (capital letters) Char"/>
    <w:basedOn w:val="DefaultParagraphFont"/>
    <w:link w:val="Heading2capitalletters"/>
    <w:rsid w:val="000A1623"/>
    <w:rPr>
      <w:rFonts w:ascii="Times New Roman" w:hAnsi="Times New Roman" w:cs="Times New Roman"/>
      <w:b/>
      <w:sz w:val="24"/>
      <w:szCs w:val="24"/>
      <w:u w:val="single"/>
      <w:lang w:val="fr-BE"/>
    </w:rPr>
  </w:style>
  <w:style w:type="paragraph" w:customStyle="1" w:styleId="Heading3number">
    <w:name w:val="Heading 3 (number)"/>
    <w:basedOn w:val="Normal"/>
    <w:link w:val="Heading3numberChar"/>
    <w:qFormat/>
    <w:rsid w:val="000A1623"/>
    <w:pPr>
      <w:ind w:left="284"/>
    </w:pPr>
    <w:rPr>
      <w:rFonts w:ascii="Times New Roman" w:hAnsi="Times New Roman"/>
      <w:b/>
      <w:szCs w:val="24"/>
      <w:u w:val="single"/>
      <w:lang w:val="fr-BE"/>
    </w:rPr>
  </w:style>
  <w:style w:type="character" w:customStyle="1" w:styleId="Heading3numberChar">
    <w:name w:val="Heading 3 (number) Char"/>
    <w:basedOn w:val="DefaultParagraphFont"/>
    <w:link w:val="Heading3number"/>
    <w:rsid w:val="000A1623"/>
    <w:rPr>
      <w:rFonts w:ascii="Times New Roman" w:hAnsi="Times New Roman" w:cs="Times New Roman"/>
      <w:b/>
      <w:sz w:val="24"/>
      <w:szCs w:val="24"/>
      <w:u w:val="single"/>
      <w:lang w:val="fr-BE"/>
    </w:rPr>
  </w:style>
  <w:style w:type="paragraph" w:customStyle="1" w:styleId="ParagraphNr">
    <w:name w:val="Paragraph Nr"/>
    <w:basedOn w:val="Normal"/>
    <w:link w:val="ParagraphNrChar"/>
    <w:autoRedefine/>
    <w:qFormat/>
    <w:rsid w:val="00B24044"/>
    <w:pPr>
      <w:keepNext/>
      <w:spacing w:after="120"/>
      <w:ind w:left="567" w:right="-28" w:hanging="567"/>
    </w:pPr>
    <w:rPr>
      <w:b/>
      <w:szCs w:val="24"/>
    </w:rPr>
  </w:style>
  <w:style w:type="character" w:customStyle="1" w:styleId="ParagraphNrChar">
    <w:name w:val="Paragraph Nr Char"/>
    <w:basedOn w:val="DefaultParagraphFont"/>
    <w:link w:val="ParagraphNr"/>
    <w:rsid w:val="00B24044"/>
    <w:rPr>
      <w:b/>
      <w:sz w:val="24"/>
      <w:szCs w:val="24"/>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rsid w:val="006077D7"/>
    <w:pPr>
      <w:ind w:left="357" w:hanging="357"/>
    </w:pPr>
    <w:rPr>
      <w:sz w:val="20"/>
    </w:rPr>
  </w:style>
  <w:style w:type="character" w:customStyle="1" w:styleId="FootnoteTextChar">
    <w:name w:val="Footnote Text Char"/>
    <w:basedOn w:val="DefaultParagraphFont"/>
    <w:uiPriority w:val="99"/>
    <w:semiHidden/>
    <w:rsid w:val="006077D7"/>
    <w:rPr>
      <w:rFonts w:ascii="Courier New" w:eastAsia="Times New Roman" w:hAnsi="Courier New" w:cs="Times New Roman"/>
      <w:sz w:val="20"/>
      <w:szCs w:val="20"/>
      <w:lang w:eastAsia="en-GB"/>
    </w:rPr>
  </w:style>
  <w:style w:type="paragraph" w:styleId="ListBullet">
    <w:name w:val="List Bullet"/>
    <w:basedOn w:val="Normal"/>
    <w:link w:val="ListBulletChar"/>
    <w:uiPriority w:val="99"/>
    <w:rsid w:val="006077D7"/>
    <w:pPr>
      <w:numPr>
        <w:numId w:val="1"/>
      </w:numPr>
    </w:p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6077D7"/>
    <w:rPr>
      <w:vertAlign w:val="superscript"/>
    </w:rPr>
  </w:style>
  <w:style w:type="character" w:styleId="Hyperlink">
    <w:name w:val="Hyperlink"/>
    <w:aliases w:val="Char1"/>
    <w:uiPriority w:val="99"/>
    <w:rsid w:val="006077D7"/>
    <w:rPr>
      <w:color w:val="0000FF"/>
      <w:u w:val="single"/>
    </w:rPr>
  </w:style>
  <w:style w:type="paragraph" w:styleId="NormalWeb">
    <w:name w:val="Normal (Web)"/>
    <w:aliases w:val=" webb,webb"/>
    <w:basedOn w:val="Normal"/>
    <w:link w:val="NormalWebChar"/>
    <w:uiPriority w:val="99"/>
    <w:rsid w:val="006077D7"/>
    <w:pPr>
      <w:spacing w:before="100" w:beforeAutospacing="1" w:after="100" w:afterAutospacing="1"/>
      <w:jc w:val="left"/>
    </w:pPr>
    <w:rPr>
      <w:rFonts w:ascii="Times New Roman" w:hAnsi="Times New Roman"/>
      <w:szCs w:val="24"/>
    </w:rPr>
  </w:style>
  <w:style w:type="character" w:customStyle="1" w:styleId="NormalWebChar">
    <w:name w:val="Normal (Web) Char"/>
    <w:aliases w:val=" webb Char,webb Char"/>
    <w:link w:val="NormalWeb"/>
    <w:uiPriority w:val="99"/>
    <w:rsid w:val="006077D7"/>
    <w:rPr>
      <w:rFonts w:ascii="Times New Roman" w:eastAsia="Times New Roman" w:hAnsi="Times New Roman" w:cs="Times New Roman"/>
      <w:sz w:val="24"/>
      <w:szCs w:val="24"/>
      <w:lang w:eastAsia="en-GB"/>
    </w:rPr>
  </w:style>
  <w:style w:type="paragraph" w:customStyle="1" w:styleId="CoverNormal">
    <w:name w:val="CoverNormal"/>
    <w:basedOn w:val="Normal"/>
    <w:rsid w:val="006077D7"/>
    <w:pPr>
      <w:widowControl w:val="0"/>
      <w:spacing w:after="0"/>
      <w:ind w:left="1418"/>
      <w:jc w:val="left"/>
    </w:pPr>
    <w:rPr>
      <w:rFonts w:ascii="Times New Roman" w:hAnsi="Times New Roman"/>
    </w:rPr>
  </w:style>
  <w:style w:type="character" w:customStyle="1" w:styleId="ListBulletChar">
    <w:name w:val="List Bullet Char"/>
    <w:link w:val="ListBullet"/>
    <w:uiPriority w:val="99"/>
    <w:rsid w:val="006077D7"/>
    <w:rPr>
      <w:rFonts w:ascii="Courier New" w:eastAsia="Times New Roman" w:hAnsi="Courier New" w:cs="Times New Roman"/>
      <w:sz w:val="24"/>
      <w:szCs w:val="20"/>
      <w:lang w:eastAsia="en-GB"/>
    </w:rPr>
  </w:style>
  <w:style w:type="character" w:customStyle="1" w:styleId="FootnoteTextChar2">
    <w:name w:val="Footnote Text Char2"/>
    <w:aliases w:val="Footnote Text Char1 Char Char,Footnote Text Char Char Char Char,Fußnotentext Char Char1 Char Char Char,Fußnotentext Char1 Char1 Char Char Char Char,Fußnotentext Char Char Char Char Char Char Char1 Char,Footnote Text Char1 Char1"/>
    <w:link w:val="FootnoteText"/>
    <w:uiPriority w:val="99"/>
    <w:rsid w:val="006077D7"/>
    <w:rPr>
      <w:rFonts w:ascii="Courier New" w:eastAsia="Times New Roman" w:hAnsi="Courier New" w:cs="Times New Roman"/>
      <w:sz w:val="20"/>
      <w:szCs w:val="20"/>
      <w:lang w:eastAsia="en-GB"/>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6077D7"/>
    <w:pPr>
      <w:spacing w:after="160" w:line="240" w:lineRule="exact"/>
      <w:jc w:val="left"/>
    </w:pPr>
    <w:rPr>
      <w:rFonts w:asciiTheme="minorHAnsi" w:eastAsiaTheme="minorHAnsi" w:hAnsiTheme="minorHAnsi" w:cstheme="minorBidi"/>
      <w:sz w:val="22"/>
      <w:szCs w:val="22"/>
      <w:vertAlign w:val="superscript"/>
      <w:lang w:eastAsia="en-US"/>
    </w:rPr>
  </w:style>
  <w:style w:type="paragraph" w:customStyle="1" w:styleId="ZnakZnak">
    <w:name w:val="Znak Znak"/>
    <w:basedOn w:val="Normal"/>
    <w:uiPriority w:val="99"/>
    <w:rsid w:val="006077D7"/>
    <w:pPr>
      <w:spacing w:after="0" w:line="360" w:lineRule="auto"/>
    </w:pPr>
    <w:rPr>
      <w:rFonts w:ascii="Verdana" w:hAnsi="Verdana"/>
      <w:sz w:val="20"/>
      <w:lang w:val="pl-PL" w:eastAsia="pl-PL"/>
    </w:rPr>
  </w:style>
  <w:style w:type="paragraph" w:styleId="BalloonText">
    <w:name w:val="Balloon Text"/>
    <w:basedOn w:val="Normal"/>
    <w:link w:val="BalloonTextChar"/>
    <w:uiPriority w:val="99"/>
    <w:semiHidden/>
    <w:unhideWhenUsed/>
    <w:rsid w:val="00D60BB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BB2"/>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food/plant/gmo/public_consultations/index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2148</Words>
  <Characters>12250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Veronique (SG)</dc:creator>
  <cp:keywords/>
  <dc:description/>
  <cp:lastModifiedBy>RUS Ales</cp:lastModifiedBy>
  <cp:revision>2</cp:revision>
  <dcterms:created xsi:type="dcterms:W3CDTF">2019-08-09T08:37:00Z</dcterms:created>
  <dcterms:modified xsi:type="dcterms:W3CDTF">2019-10-15T12:12:00Z</dcterms:modified>
</cp:coreProperties>
</file>