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F52" w:rsidRPr="00AD0B60" w:rsidRDefault="00353F52" w:rsidP="00353F52">
      <w:pPr>
        <w:pStyle w:val="CoverNormal"/>
        <w:spacing w:after="120"/>
        <w:ind w:left="0"/>
        <w:jc w:val="center"/>
        <w:rPr>
          <w:b/>
          <w:szCs w:val="24"/>
          <w:lang w:val="fr-BE"/>
        </w:rPr>
      </w:pPr>
      <w:r w:rsidRPr="00AD0B60">
        <w:rPr>
          <w:b/>
          <w:lang w:val="fr-BE"/>
        </w:rPr>
        <w:t>Suite donnée à la résolution non législative du Parlement européen sur le projet de décision d’exécution de la Commission autorisant la mise sur le marché de produits contenant du maïs génétiquement modifié Bt</w:t>
      </w:r>
      <w:r w:rsidRPr="00B70F74">
        <w:rPr>
          <w:b/>
          <w:lang w:val="fr-BE"/>
        </w:rPr>
        <w:t>11</w:t>
      </w:r>
      <w:r w:rsidRPr="00AD0B60">
        <w:rPr>
          <w:b/>
          <w:lang w:val="fr-BE"/>
        </w:rPr>
        <w:t> × MIR</w:t>
      </w:r>
      <w:r w:rsidRPr="00B70F74">
        <w:rPr>
          <w:b/>
          <w:lang w:val="fr-BE"/>
        </w:rPr>
        <w:t>162</w:t>
      </w:r>
      <w:r w:rsidRPr="00AD0B60">
        <w:rPr>
          <w:b/>
          <w:lang w:val="fr-BE"/>
        </w:rPr>
        <w:t> × </w:t>
      </w:r>
      <w:r w:rsidRPr="00B70F74">
        <w:rPr>
          <w:b/>
          <w:lang w:val="fr-BE"/>
        </w:rPr>
        <w:t>1507</w:t>
      </w:r>
      <w:r w:rsidRPr="00AD0B60">
        <w:rPr>
          <w:b/>
          <w:lang w:val="fr-BE"/>
        </w:rPr>
        <w:t> × GA</w:t>
      </w:r>
      <w:r w:rsidRPr="00B70F74">
        <w:rPr>
          <w:b/>
          <w:lang w:val="fr-BE"/>
        </w:rPr>
        <w:t>21</w:t>
      </w:r>
      <w:r w:rsidRPr="00AD0B60">
        <w:rPr>
          <w:b/>
          <w:lang w:val="fr-BE"/>
        </w:rPr>
        <w:t xml:space="preserve"> et les sous-combinaisons Bt</w:t>
      </w:r>
      <w:r w:rsidRPr="00B70F74">
        <w:rPr>
          <w:b/>
          <w:lang w:val="fr-BE"/>
        </w:rPr>
        <w:t>11</w:t>
      </w:r>
      <w:r w:rsidRPr="00AD0B60">
        <w:rPr>
          <w:b/>
          <w:lang w:val="fr-BE"/>
        </w:rPr>
        <w:t> × MIR</w:t>
      </w:r>
      <w:r w:rsidRPr="00B70F74">
        <w:rPr>
          <w:b/>
          <w:lang w:val="fr-BE"/>
        </w:rPr>
        <w:t>162</w:t>
      </w:r>
      <w:r w:rsidRPr="00AD0B60">
        <w:rPr>
          <w:b/>
          <w:lang w:val="fr-BE"/>
        </w:rPr>
        <w:t> × </w:t>
      </w:r>
      <w:r w:rsidRPr="00B70F74">
        <w:rPr>
          <w:b/>
          <w:lang w:val="fr-BE"/>
        </w:rPr>
        <w:t>1507</w:t>
      </w:r>
      <w:r w:rsidRPr="00AD0B60">
        <w:rPr>
          <w:b/>
          <w:lang w:val="fr-BE"/>
        </w:rPr>
        <w:t>, MIR</w:t>
      </w:r>
      <w:r w:rsidRPr="00B70F74">
        <w:rPr>
          <w:b/>
          <w:lang w:val="fr-BE"/>
        </w:rPr>
        <w:t>162</w:t>
      </w:r>
      <w:r w:rsidRPr="00AD0B60">
        <w:rPr>
          <w:b/>
          <w:lang w:val="fr-BE"/>
        </w:rPr>
        <w:t> × </w:t>
      </w:r>
      <w:r w:rsidRPr="00B70F74">
        <w:rPr>
          <w:b/>
          <w:lang w:val="fr-BE"/>
        </w:rPr>
        <w:t>1507</w:t>
      </w:r>
      <w:r w:rsidRPr="00AD0B60">
        <w:rPr>
          <w:b/>
          <w:lang w:val="fr-BE"/>
        </w:rPr>
        <w:t> × GA</w:t>
      </w:r>
      <w:r w:rsidRPr="00B70F74">
        <w:rPr>
          <w:b/>
          <w:lang w:val="fr-BE"/>
        </w:rPr>
        <w:t>21</w:t>
      </w:r>
      <w:r w:rsidRPr="00AD0B60">
        <w:rPr>
          <w:b/>
          <w:lang w:val="fr-BE"/>
        </w:rPr>
        <w:t xml:space="preserve"> et MIR</w:t>
      </w:r>
      <w:r w:rsidRPr="00B70F74">
        <w:rPr>
          <w:b/>
          <w:lang w:val="fr-BE"/>
        </w:rPr>
        <w:t>162</w:t>
      </w:r>
      <w:r w:rsidRPr="00AD0B60">
        <w:rPr>
          <w:b/>
          <w:lang w:val="fr-BE"/>
        </w:rPr>
        <w:t> × </w:t>
      </w:r>
      <w:r w:rsidRPr="00B70F74">
        <w:rPr>
          <w:b/>
          <w:lang w:val="fr-BE"/>
        </w:rPr>
        <w:t>1507</w:t>
      </w:r>
      <w:r w:rsidRPr="00AD0B60">
        <w:rPr>
          <w:b/>
          <w:lang w:val="fr-BE"/>
        </w:rPr>
        <w:t>, consistant en ce maïs ou produits à partir de celui-ci, en application du règlement (CE) nº </w:t>
      </w:r>
      <w:r w:rsidRPr="00B70F74">
        <w:rPr>
          <w:b/>
          <w:lang w:val="fr-BE"/>
        </w:rPr>
        <w:t>1829</w:t>
      </w:r>
      <w:r w:rsidRPr="00AD0B60">
        <w:rPr>
          <w:b/>
          <w:lang w:val="fr-BE"/>
        </w:rPr>
        <w:t>/</w:t>
      </w:r>
      <w:r w:rsidRPr="00B70F74">
        <w:rPr>
          <w:b/>
          <w:lang w:val="fr-BE"/>
        </w:rPr>
        <w:t>2003</w:t>
      </w:r>
      <w:r w:rsidRPr="00AD0B60">
        <w:rPr>
          <w:b/>
          <w:lang w:val="fr-BE"/>
        </w:rPr>
        <w:t xml:space="preserve"> du Parlement européen et du Conseil</w:t>
      </w:r>
    </w:p>
    <w:p w:rsidR="00353F52" w:rsidRPr="00AD0B60" w:rsidRDefault="00353F52" w:rsidP="00353F52">
      <w:pPr>
        <w:pStyle w:val="CoverNormal"/>
        <w:spacing w:after="720"/>
        <w:ind w:left="0"/>
        <w:jc w:val="center"/>
        <w:rPr>
          <w:b/>
          <w:szCs w:val="24"/>
          <w:lang w:val="fr-BE"/>
        </w:rPr>
      </w:pPr>
      <w:r w:rsidRPr="00AD0B60">
        <w:rPr>
          <w:lang w:val="fr-BE"/>
        </w:rPr>
        <w:t>(Résolution sur le projet de décision d’exécution de la Commission autorisant la mise sur le marché de produits contenant du maïs génétiquement modifié Bt</w:t>
      </w:r>
      <w:r w:rsidRPr="00B70F74">
        <w:rPr>
          <w:lang w:val="fr-BE"/>
        </w:rPr>
        <w:t>11</w:t>
      </w:r>
      <w:r w:rsidRPr="00AD0B60">
        <w:rPr>
          <w:lang w:val="fr-BE"/>
        </w:rPr>
        <w:t> × MIR</w:t>
      </w:r>
      <w:r w:rsidRPr="00B70F74">
        <w:rPr>
          <w:lang w:val="fr-BE"/>
        </w:rPr>
        <w:t>162</w:t>
      </w:r>
      <w:r w:rsidRPr="00AD0B60">
        <w:rPr>
          <w:lang w:val="fr-BE"/>
        </w:rPr>
        <w:t> × </w:t>
      </w:r>
      <w:r w:rsidRPr="00B70F74">
        <w:rPr>
          <w:lang w:val="fr-BE"/>
        </w:rPr>
        <w:t>1507</w:t>
      </w:r>
      <w:r w:rsidRPr="00AD0B60">
        <w:rPr>
          <w:lang w:val="fr-BE"/>
        </w:rPr>
        <w:t> × GA</w:t>
      </w:r>
      <w:r w:rsidRPr="00B70F74">
        <w:rPr>
          <w:lang w:val="fr-BE"/>
        </w:rPr>
        <w:t>21</w:t>
      </w:r>
      <w:r w:rsidRPr="00AD0B60">
        <w:rPr>
          <w:lang w:val="fr-BE"/>
        </w:rPr>
        <w:t xml:space="preserve"> et les sous-combinaisons Bt</w:t>
      </w:r>
      <w:r w:rsidRPr="00B70F74">
        <w:rPr>
          <w:lang w:val="fr-BE"/>
        </w:rPr>
        <w:t>11</w:t>
      </w:r>
      <w:r w:rsidRPr="00AD0B60">
        <w:rPr>
          <w:lang w:val="fr-BE"/>
        </w:rPr>
        <w:t> × MIR</w:t>
      </w:r>
      <w:r w:rsidRPr="00B70F74">
        <w:rPr>
          <w:lang w:val="fr-BE"/>
        </w:rPr>
        <w:t>162</w:t>
      </w:r>
      <w:r w:rsidRPr="00AD0B60">
        <w:rPr>
          <w:lang w:val="fr-BE"/>
        </w:rPr>
        <w:t> × </w:t>
      </w:r>
      <w:r w:rsidRPr="00B70F74">
        <w:rPr>
          <w:lang w:val="fr-BE"/>
        </w:rPr>
        <w:t>1507</w:t>
      </w:r>
      <w:r w:rsidRPr="00AD0B60">
        <w:rPr>
          <w:lang w:val="fr-BE"/>
        </w:rPr>
        <w:t>, MIR</w:t>
      </w:r>
      <w:r w:rsidRPr="00B70F74">
        <w:rPr>
          <w:lang w:val="fr-BE"/>
        </w:rPr>
        <w:t>162</w:t>
      </w:r>
      <w:r w:rsidRPr="00AD0B60">
        <w:rPr>
          <w:lang w:val="fr-BE"/>
        </w:rPr>
        <w:t> × </w:t>
      </w:r>
      <w:r w:rsidRPr="00B70F74">
        <w:rPr>
          <w:lang w:val="fr-BE"/>
        </w:rPr>
        <w:t>1507</w:t>
      </w:r>
      <w:r w:rsidRPr="00AD0B60">
        <w:rPr>
          <w:lang w:val="fr-BE"/>
        </w:rPr>
        <w:t> × GA</w:t>
      </w:r>
      <w:r w:rsidRPr="00B70F74">
        <w:rPr>
          <w:lang w:val="fr-BE"/>
        </w:rPr>
        <w:t>21</w:t>
      </w:r>
      <w:r w:rsidRPr="00AD0B60">
        <w:rPr>
          <w:lang w:val="fr-BE"/>
        </w:rPr>
        <w:t xml:space="preserve"> et MIR</w:t>
      </w:r>
      <w:r w:rsidRPr="00B70F74">
        <w:rPr>
          <w:lang w:val="fr-BE"/>
        </w:rPr>
        <w:t>162</w:t>
      </w:r>
      <w:r w:rsidRPr="00AD0B60">
        <w:rPr>
          <w:lang w:val="fr-BE"/>
        </w:rPr>
        <w:t> × </w:t>
      </w:r>
      <w:r w:rsidRPr="00B70F74">
        <w:rPr>
          <w:lang w:val="fr-BE"/>
        </w:rPr>
        <w:t>1507</w:t>
      </w:r>
      <w:r w:rsidRPr="00AD0B60">
        <w:rPr>
          <w:lang w:val="fr-BE"/>
        </w:rPr>
        <w:t>, consistant en ce maïs ou produits à partir de celui-ci)</w:t>
      </w:r>
    </w:p>
    <w:p w:rsidR="00353F52" w:rsidRPr="00AD0B60" w:rsidRDefault="00353F52" w:rsidP="00353F52">
      <w:pPr>
        <w:widowControl w:val="0"/>
        <w:numPr>
          <w:ilvl w:val="0"/>
          <w:numId w:val="4"/>
        </w:numPr>
        <w:ind w:left="567" w:hanging="567"/>
        <w:outlineLvl w:val="0"/>
        <w:rPr>
          <w:rFonts w:ascii="Times New Roman" w:hAnsi="Times New Roman"/>
          <w:szCs w:val="24"/>
          <w:lang w:val="fr-BE"/>
        </w:rPr>
      </w:pPr>
      <w:r w:rsidRPr="00AD0B60">
        <w:rPr>
          <w:rFonts w:ascii="Times New Roman" w:hAnsi="Times New Roman"/>
          <w:b/>
          <w:lang w:val="fr-BE"/>
        </w:rPr>
        <w:t>Résolution présentée conformément à l’article </w:t>
      </w:r>
      <w:r w:rsidRPr="00B70F74">
        <w:rPr>
          <w:rFonts w:ascii="Times New Roman" w:hAnsi="Times New Roman"/>
          <w:b/>
          <w:lang w:val="fr-BE"/>
        </w:rPr>
        <w:t>106</w:t>
      </w:r>
      <w:r w:rsidRPr="00AD0B60">
        <w:rPr>
          <w:rFonts w:ascii="Times New Roman" w:hAnsi="Times New Roman"/>
          <w:b/>
          <w:lang w:val="fr-BE"/>
        </w:rPr>
        <w:t>, paragraphes </w:t>
      </w:r>
      <w:r w:rsidRPr="00B70F74">
        <w:rPr>
          <w:rFonts w:ascii="Times New Roman" w:hAnsi="Times New Roman"/>
          <w:b/>
          <w:lang w:val="fr-BE"/>
        </w:rPr>
        <w:t>2</w:t>
      </w:r>
      <w:r w:rsidRPr="00AD0B60">
        <w:rPr>
          <w:rFonts w:ascii="Times New Roman" w:hAnsi="Times New Roman"/>
          <w:b/>
          <w:lang w:val="fr-BE"/>
        </w:rPr>
        <w:t xml:space="preserve"> et </w:t>
      </w:r>
      <w:r w:rsidRPr="00B70F74">
        <w:rPr>
          <w:rFonts w:ascii="Times New Roman" w:hAnsi="Times New Roman"/>
          <w:b/>
          <w:lang w:val="fr-BE"/>
        </w:rPr>
        <w:t>3</w:t>
      </w:r>
      <w:r w:rsidRPr="00AD0B60">
        <w:rPr>
          <w:rFonts w:ascii="Times New Roman" w:hAnsi="Times New Roman"/>
          <w:b/>
          <w:lang w:val="fr-BE"/>
        </w:rPr>
        <w:t>, du règlement intérieur du Parlement européen</w:t>
      </w:r>
    </w:p>
    <w:p w:rsidR="00353F52" w:rsidRPr="00AD0B60" w:rsidRDefault="00353F52" w:rsidP="00353F52">
      <w:pPr>
        <w:widowControl w:val="0"/>
        <w:ind w:left="567" w:hanging="567"/>
        <w:outlineLvl w:val="0"/>
        <w:rPr>
          <w:rFonts w:ascii="Times New Roman" w:hAnsi="Times New Roman"/>
          <w:smallCaps/>
          <w:szCs w:val="24"/>
          <w:lang w:val="fr-BE"/>
        </w:rPr>
      </w:pPr>
      <w:r w:rsidRPr="00B70F74">
        <w:rPr>
          <w:rFonts w:ascii="Times New Roman" w:hAnsi="Times New Roman"/>
          <w:b/>
          <w:lang w:val="fr-BE"/>
        </w:rPr>
        <w:t>2</w:t>
      </w:r>
      <w:r w:rsidRPr="00AD0B60">
        <w:rPr>
          <w:rFonts w:ascii="Times New Roman" w:hAnsi="Times New Roman"/>
          <w:b/>
          <w:lang w:val="fr-BE"/>
        </w:rPr>
        <w:t>.</w:t>
      </w:r>
      <w:r w:rsidRPr="00AD0B60">
        <w:rPr>
          <w:lang w:val="fr-BE"/>
        </w:rPr>
        <w:tab/>
      </w:r>
      <w:r w:rsidRPr="00AD0B60">
        <w:rPr>
          <w:rFonts w:ascii="Times New Roman" w:hAnsi="Times New Roman"/>
          <w:b/>
          <w:lang w:val="fr-BE"/>
        </w:rPr>
        <w:t>Numéros de référence</w:t>
      </w:r>
      <w:r w:rsidRPr="00AD0B60">
        <w:rPr>
          <w:rFonts w:ascii="Times New Roman" w:hAnsi="Times New Roman"/>
          <w:lang w:val="fr-BE"/>
        </w:rPr>
        <w:t xml:space="preserve">: </w:t>
      </w:r>
      <w:r w:rsidRPr="00B70F74">
        <w:rPr>
          <w:rFonts w:ascii="Times New Roman" w:hAnsi="Times New Roman"/>
          <w:lang w:val="fr-BE"/>
        </w:rPr>
        <w:t>2019</w:t>
      </w:r>
      <w:r w:rsidRPr="00AD0B60">
        <w:rPr>
          <w:rFonts w:ascii="Times New Roman" w:hAnsi="Times New Roman"/>
          <w:lang w:val="fr-BE"/>
        </w:rPr>
        <w:t>/</w:t>
      </w:r>
      <w:r w:rsidRPr="00B70F74">
        <w:rPr>
          <w:rFonts w:ascii="Times New Roman" w:hAnsi="Times New Roman"/>
          <w:lang w:val="fr-BE"/>
        </w:rPr>
        <w:t>2553</w:t>
      </w:r>
      <w:r w:rsidRPr="00AD0B60">
        <w:rPr>
          <w:rFonts w:ascii="Times New Roman" w:hAnsi="Times New Roman"/>
          <w:lang w:val="fr-BE"/>
        </w:rPr>
        <w:t xml:space="preserve"> (RSP) / B</w:t>
      </w:r>
      <w:r w:rsidRPr="00B70F74">
        <w:rPr>
          <w:rFonts w:ascii="Times New Roman" w:hAnsi="Times New Roman"/>
          <w:lang w:val="fr-BE"/>
        </w:rPr>
        <w:t>8</w:t>
      </w:r>
      <w:r w:rsidRPr="00AD0B60">
        <w:rPr>
          <w:rFonts w:ascii="Times New Roman" w:hAnsi="Times New Roman"/>
          <w:lang w:val="fr-BE"/>
        </w:rPr>
        <w:t>-</w:t>
      </w:r>
      <w:r w:rsidRPr="00B70F74">
        <w:rPr>
          <w:rFonts w:ascii="Times New Roman" w:hAnsi="Times New Roman"/>
          <w:lang w:val="fr-BE"/>
        </w:rPr>
        <w:t>0142</w:t>
      </w:r>
      <w:r w:rsidRPr="00AD0B60">
        <w:rPr>
          <w:rFonts w:ascii="Times New Roman" w:hAnsi="Times New Roman"/>
          <w:lang w:val="fr-BE"/>
        </w:rPr>
        <w:t>/</w:t>
      </w:r>
      <w:r w:rsidRPr="00B70F74">
        <w:rPr>
          <w:rFonts w:ascii="Times New Roman" w:hAnsi="Times New Roman"/>
          <w:lang w:val="fr-BE"/>
        </w:rPr>
        <w:t>2019</w:t>
      </w:r>
      <w:r w:rsidRPr="00AD0B60">
        <w:rPr>
          <w:rFonts w:ascii="Times New Roman" w:hAnsi="Times New Roman"/>
          <w:lang w:val="fr-BE"/>
        </w:rPr>
        <w:t xml:space="preserve"> / P</w:t>
      </w:r>
      <w:r w:rsidRPr="00B70F74">
        <w:rPr>
          <w:rFonts w:ascii="Times New Roman" w:hAnsi="Times New Roman"/>
          <w:lang w:val="fr-BE"/>
        </w:rPr>
        <w:t>8</w:t>
      </w:r>
      <w:r w:rsidRPr="00AD0B60">
        <w:rPr>
          <w:rFonts w:ascii="Times New Roman" w:hAnsi="Times New Roman"/>
          <w:lang w:val="fr-BE"/>
        </w:rPr>
        <w:t>_TA-</w:t>
      </w:r>
      <w:proofErr w:type="gramStart"/>
      <w:r w:rsidRPr="00AD0B60">
        <w:rPr>
          <w:rFonts w:ascii="Times New Roman" w:hAnsi="Times New Roman"/>
          <w:lang w:val="fr-BE"/>
        </w:rPr>
        <w:t>PROV(</w:t>
      </w:r>
      <w:proofErr w:type="gramEnd"/>
      <w:r w:rsidRPr="00B70F74">
        <w:rPr>
          <w:rFonts w:ascii="Times New Roman" w:hAnsi="Times New Roman"/>
          <w:lang w:val="fr-BE"/>
        </w:rPr>
        <w:t>2019</w:t>
      </w:r>
      <w:r w:rsidRPr="00AD0B60">
        <w:rPr>
          <w:rFonts w:ascii="Times New Roman" w:hAnsi="Times New Roman"/>
          <w:lang w:val="fr-BE"/>
        </w:rPr>
        <w:t>)</w:t>
      </w:r>
      <w:r w:rsidRPr="00B70F74">
        <w:rPr>
          <w:rFonts w:ascii="Times New Roman" w:hAnsi="Times New Roman"/>
          <w:lang w:val="fr-BE"/>
        </w:rPr>
        <w:t>0198</w:t>
      </w:r>
    </w:p>
    <w:p w:rsidR="00353F52" w:rsidRPr="00AD0B60" w:rsidRDefault="00353F52" w:rsidP="00353F52">
      <w:pPr>
        <w:widowControl w:val="0"/>
        <w:ind w:left="567" w:hanging="567"/>
        <w:outlineLvl w:val="0"/>
        <w:rPr>
          <w:rFonts w:ascii="Times New Roman" w:hAnsi="Times New Roman"/>
          <w:lang w:val="fr-BE"/>
        </w:rPr>
      </w:pPr>
      <w:r w:rsidRPr="00B70F74">
        <w:rPr>
          <w:rFonts w:ascii="Times New Roman" w:hAnsi="Times New Roman"/>
          <w:b/>
          <w:lang w:val="fr-BE"/>
        </w:rPr>
        <w:t>3</w:t>
      </w:r>
      <w:r w:rsidRPr="00AD0B60">
        <w:rPr>
          <w:rFonts w:ascii="Times New Roman" w:hAnsi="Times New Roman"/>
          <w:b/>
          <w:lang w:val="fr-BE"/>
        </w:rPr>
        <w:t>.</w:t>
      </w:r>
      <w:r w:rsidRPr="00AD0B60">
        <w:rPr>
          <w:lang w:val="fr-BE"/>
        </w:rPr>
        <w:tab/>
      </w:r>
      <w:r w:rsidRPr="00AD0B60">
        <w:rPr>
          <w:rFonts w:ascii="Times New Roman" w:hAnsi="Times New Roman"/>
          <w:b/>
          <w:lang w:val="fr-BE"/>
        </w:rPr>
        <w:t xml:space="preserve">Date d’adoption de la résolution: </w:t>
      </w:r>
      <w:r w:rsidRPr="00B70F74">
        <w:rPr>
          <w:rFonts w:ascii="Times New Roman" w:hAnsi="Times New Roman"/>
          <w:lang w:val="fr-BE"/>
        </w:rPr>
        <w:t>13</w:t>
      </w:r>
      <w:r w:rsidRPr="00AD0B60">
        <w:rPr>
          <w:rFonts w:ascii="Times New Roman" w:hAnsi="Times New Roman"/>
          <w:lang w:val="fr-BE"/>
        </w:rPr>
        <w:t> mars </w:t>
      </w:r>
      <w:r w:rsidRPr="00B70F74">
        <w:rPr>
          <w:rFonts w:ascii="Times New Roman" w:hAnsi="Times New Roman"/>
          <w:lang w:val="fr-BE"/>
        </w:rPr>
        <w:t>2019</w:t>
      </w:r>
    </w:p>
    <w:p w:rsidR="00353F52" w:rsidRPr="00AD0B60" w:rsidRDefault="00353F52" w:rsidP="00353F52">
      <w:pPr>
        <w:pStyle w:val="NormalWeb"/>
        <w:spacing w:before="0" w:beforeAutospacing="0" w:after="240" w:afterAutospacing="0"/>
        <w:ind w:left="567" w:hanging="567"/>
        <w:rPr>
          <w:b/>
          <w:bCs/>
          <w:color w:val="000000"/>
          <w:lang w:val="fr-BE"/>
        </w:rPr>
      </w:pPr>
      <w:r w:rsidRPr="00B70F74">
        <w:rPr>
          <w:b/>
          <w:color w:val="000000"/>
          <w:lang w:val="fr-BE"/>
        </w:rPr>
        <w:t>4</w:t>
      </w:r>
      <w:r w:rsidRPr="00AD0B60">
        <w:rPr>
          <w:b/>
          <w:color w:val="000000"/>
          <w:lang w:val="fr-BE"/>
        </w:rPr>
        <w:t>.</w:t>
      </w:r>
      <w:r w:rsidRPr="00AD0B60">
        <w:rPr>
          <w:lang w:val="fr-BE"/>
        </w:rPr>
        <w:tab/>
      </w:r>
      <w:r w:rsidRPr="00AD0B60">
        <w:rPr>
          <w:b/>
          <w:lang w:val="fr-BE"/>
        </w:rPr>
        <w:t>Commission parlementaire compétente:</w:t>
      </w:r>
      <w:r w:rsidRPr="00AD0B60">
        <w:rPr>
          <w:lang w:val="fr-BE"/>
        </w:rPr>
        <w:t xml:space="preserve"> commission de l’environnement, de la santé publique et de la sécurité alimentaire (ENVI</w:t>
      </w:r>
      <w:r w:rsidRPr="00AD0B60">
        <w:rPr>
          <w:color w:val="000000"/>
          <w:lang w:val="fr-BE"/>
        </w:rPr>
        <w:t>)</w:t>
      </w:r>
    </w:p>
    <w:p w:rsidR="00353F52" w:rsidRPr="00AD0B60" w:rsidRDefault="00353F52" w:rsidP="00353F52">
      <w:pPr>
        <w:ind w:left="567" w:hanging="567"/>
        <w:rPr>
          <w:rFonts w:ascii="Times New Roman" w:hAnsi="Times New Roman"/>
          <w:b/>
          <w:color w:val="000000"/>
          <w:szCs w:val="24"/>
          <w:lang w:val="fr-BE"/>
        </w:rPr>
      </w:pPr>
      <w:r w:rsidRPr="00B70F74">
        <w:rPr>
          <w:rFonts w:ascii="Times New Roman" w:hAnsi="Times New Roman"/>
          <w:b/>
          <w:color w:val="000000"/>
          <w:lang w:val="fr-BE"/>
        </w:rPr>
        <w:t>5</w:t>
      </w:r>
      <w:r w:rsidRPr="00AD0B60">
        <w:rPr>
          <w:rFonts w:ascii="Times New Roman" w:hAnsi="Times New Roman"/>
          <w:b/>
          <w:color w:val="000000"/>
          <w:lang w:val="fr-BE"/>
        </w:rPr>
        <w:t>.</w:t>
      </w:r>
      <w:r w:rsidRPr="00AD0B60">
        <w:rPr>
          <w:lang w:val="fr-BE"/>
        </w:rPr>
        <w:tab/>
      </w:r>
      <w:r w:rsidRPr="00AD0B60">
        <w:rPr>
          <w:rFonts w:ascii="Times New Roman" w:hAnsi="Times New Roman"/>
          <w:b/>
          <w:color w:val="000000"/>
          <w:lang w:val="fr-BE"/>
        </w:rPr>
        <w:t>Analyse/évaluation succincte de la résolution et des demandes qu’elle contient:</w:t>
      </w:r>
    </w:p>
    <w:p w:rsidR="00353F52" w:rsidRPr="00AD0B60" w:rsidRDefault="00353F52" w:rsidP="00353F52">
      <w:pPr>
        <w:spacing w:after="120"/>
        <w:rPr>
          <w:rFonts w:ascii="Times New Roman" w:hAnsi="Times New Roman"/>
          <w:szCs w:val="24"/>
          <w:lang w:val="fr-BE"/>
        </w:rPr>
      </w:pPr>
      <w:r w:rsidRPr="00AD0B60">
        <w:rPr>
          <w:rFonts w:ascii="Times New Roman" w:hAnsi="Times New Roman"/>
          <w:lang w:val="fr-BE"/>
        </w:rPr>
        <w:t xml:space="preserve">La résolution demande le retrait du projet de décision d’exécution de la Commission </w:t>
      </w:r>
      <w:r w:rsidRPr="00AD0B60">
        <w:rPr>
          <w:rFonts w:ascii="Times New Roman" w:hAnsi="Times New Roman"/>
          <w:b/>
          <w:lang w:val="fr-BE"/>
        </w:rPr>
        <w:t>(paragraphe </w:t>
      </w:r>
      <w:r w:rsidRPr="00B70F74">
        <w:rPr>
          <w:rFonts w:ascii="Times New Roman" w:hAnsi="Times New Roman"/>
          <w:b/>
          <w:lang w:val="fr-BE"/>
        </w:rPr>
        <w:t>3</w:t>
      </w:r>
      <w:r w:rsidRPr="00AD0B60">
        <w:rPr>
          <w:rFonts w:ascii="Times New Roman" w:hAnsi="Times New Roman"/>
          <w:b/>
          <w:lang w:val="fr-BE"/>
        </w:rPr>
        <w:t>)</w:t>
      </w:r>
      <w:r w:rsidRPr="00AD0B60">
        <w:rPr>
          <w:rFonts w:ascii="Times New Roman" w:hAnsi="Times New Roman"/>
          <w:lang w:val="fr-BE"/>
        </w:rPr>
        <w:t>, au motif que ce projet de décision d’exécution de la Commission excède les compétences d’exécution prévues au règlement (CE) nº </w:t>
      </w:r>
      <w:r w:rsidRPr="00B70F74">
        <w:rPr>
          <w:rFonts w:ascii="Times New Roman" w:hAnsi="Times New Roman"/>
          <w:lang w:val="fr-BE"/>
        </w:rPr>
        <w:t>1829</w:t>
      </w:r>
      <w:r w:rsidRPr="00AD0B60">
        <w:rPr>
          <w:rFonts w:ascii="Times New Roman" w:hAnsi="Times New Roman"/>
          <w:lang w:val="fr-BE"/>
        </w:rPr>
        <w:t>/</w:t>
      </w:r>
      <w:r w:rsidRPr="00B70F74">
        <w:rPr>
          <w:rFonts w:ascii="Times New Roman" w:hAnsi="Times New Roman"/>
          <w:lang w:val="fr-BE"/>
        </w:rPr>
        <w:t>2003</w:t>
      </w:r>
      <w:r w:rsidRPr="00AD0B60">
        <w:rPr>
          <w:rFonts w:ascii="Times New Roman" w:hAnsi="Times New Roman"/>
          <w:lang w:val="fr-BE"/>
        </w:rPr>
        <w:t xml:space="preserve"> </w:t>
      </w:r>
      <w:r w:rsidRPr="00AD0B60">
        <w:rPr>
          <w:rFonts w:ascii="Times New Roman" w:hAnsi="Times New Roman"/>
          <w:b/>
          <w:lang w:val="fr-BE"/>
        </w:rPr>
        <w:t>(paragraphe </w:t>
      </w:r>
      <w:r w:rsidRPr="00B70F74">
        <w:rPr>
          <w:rFonts w:ascii="Times New Roman" w:hAnsi="Times New Roman"/>
          <w:b/>
          <w:lang w:val="fr-BE"/>
        </w:rPr>
        <w:t>1</w:t>
      </w:r>
      <w:r w:rsidRPr="00AD0B60">
        <w:rPr>
          <w:rFonts w:ascii="Times New Roman" w:hAnsi="Times New Roman"/>
          <w:b/>
          <w:lang w:val="fr-BE"/>
        </w:rPr>
        <w:t>)</w:t>
      </w:r>
      <w:r w:rsidRPr="00AD0B60">
        <w:rPr>
          <w:rFonts w:ascii="Times New Roman" w:hAnsi="Times New Roman"/>
          <w:lang w:val="fr-BE"/>
        </w:rPr>
        <w:t xml:space="preserve"> et qu’il n’est pas compatible avec l’objectif du règlement (CE) nº </w:t>
      </w:r>
      <w:r w:rsidRPr="00B70F74">
        <w:rPr>
          <w:rFonts w:ascii="Times New Roman" w:hAnsi="Times New Roman"/>
          <w:lang w:val="fr-BE"/>
        </w:rPr>
        <w:t>1829</w:t>
      </w:r>
      <w:r w:rsidRPr="00AD0B60">
        <w:rPr>
          <w:rFonts w:ascii="Times New Roman" w:hAnsi="Times New Roman"/>
          <w:lang w:val="fr-BE"/>
        </w:rPr>
        <w:t>/</w:t>
      </w:r>
      <w:r w:rsidRPr="00B70F74">
        <w:rPr>
          <w:rFonts w:ascii="Times New Roman" w:hAnsi="Times New Roman"/>
          <w:lang w:val="fr-BE"/>
        </w:rPr>
        <w:t>2003</w:t>
      </w:r>
      <w:r w:rsidRPr="00AD0B60">
        <w:rPr>
          <w:rFonts w:ascii="Times New Roman" w:hAnsi="Times New Roman"/>
          <w:lang w:val="fr-BE"/>
        </w:rPr>
        <w:t xml:space="preserve"> ni avec les principes généraux prévus au règlement (CE) nº </w:t>
      </w:r>
      <w:r w:rsidRPr="00B70F74">
        <w:rPr>
          <w:rFonts w:ascii="Times New Roman" w:hAnsi="Times New Roman"/>
          <w:lang w:val="fr-BE"/>
        </w:rPr>
        <w:t>178</w:t>
      </w:r>
      <w:r w:rsidRPr="00AD0B60">
        <w:rPr>
          <w:rFonts w:ascii="Times New Roman" w:hAnsi="Times New Roman"/>
          <w:lang w:val="fr-BE"/>
        </w:rPr>
        <w:t>/</w:t>
      </w:r>
      <w:r w:rsidRPr="00B70F74">
        <w:rPr>
          <w:rFonts w:ascii="Times New Roman" w:hAnsi="Times New Roman"/>
          <w:lang w:val="fr-BE"/>
        </w:rPr>
        <w:t>2002</w:t>
      </w:r>
      <w:r w:rsidRPr="00AD0B60">
        <w:rPr>
          <w:rFonts w:ascii="Times New Roman" w:hAnsi="Times New Roman"/>
          <w:lang w:val="fr-BE"/>
        </w:rPr>
        <w:t xml:space="preserve">, à savoir la protection de la vie et de la santé des personnes, de la santé et du bien-être des animaux, de l’environnement et des intérêts des consommateurs </w:t>
      </w:r>
      <w:r w:rsidRPr="00AD0B60">
        <w:rPr>
          <w:rFonts w:ascii="Times New Roman" w:hAnsi="Times New Roman"/>
          <w:b/>
          <w:lang w:val="fr-BE"/>
        </w:rPr>
        <w:t>(paragraphe </w:t>
      </w:r>
      <w:r w:rsidRPr="00B70F74">
        <w:rPr>
          <w:rFonts w:ascii="Times New Roman" w:hAnsi="Times New Roman"/>
          <w:b/>
          <w:lang w:val="fr-BE"/>
        </w:rPr>
        <w:t>2</w:t>
      </w:r>
      <w:r w:rsidRPr="00AD0B60">
        <w:rPr>
          <w:rFonts w:ascii="Times New Roman" w:hAnsi="Times New Roman"/>
          <w:b/>
          <w:lang w:val="fr-BE"/>
        </w:rPr>
        <w:t>)</w:t>
      </w:r>
      <w:r w:rsidRPr="00AD0B60">
        <w:rPr>
          <w:rFonts w:ascii="Times New Roman" w:hAnsi="Times New Roman"/>
          <w:lang w:val="fr-BE"/>
        </w:rPr>
        <w:t xml:space="preserve">. En outre, elle invite la Commission à suspendre toute décision d’exécution relative à l’autorisation d’organismes génétiquement modifiés jusqu’à ce que la procédure d’autorisation ait été révisée de manière à remédier aux lacunes de la procédure actuelle, qui s’est révélée inadéquate </w:t>
      </w:r>
      <w:r w:rsidRPr="00AD0B60">
        <w:rPr>
          <w:rFonts w:ascii="Times New Roman" w:hAnsi="Times New Roman"/>
          <w:b/>
          <w:lang w:val="fr-BE"/>
        </w:rPr>
        <w:t>(paragraphe </w:t>
      </w:r>
      <w:r w:rsidRPr="00B70F74">
        <w:rPr>
          <w:rFonts w:ascii="Times New Roman" w:hAnsi="Times New Roman"/>
          <w:b/>
          <w:lang w:val="fr-BE"/>
        </w:rPr>
        <w:t>10</w:t>
      </w:r>
      <w:r w:rsidRPr="00AD0B60">
        <w:rPr>
          <w:rFonts w:ascii="Times New Roman" w:hAnsi="Times New Roman"/>
          <w:b/>
          <w:lang w:val="fr-BE"/>
        </w:rPr>
        <w:t>)</w:t>
      </w:r>
      <w:r w:rsidRPr="00AD0B60">
        <w:rPr>
          <w:rFonts w:ascii="Times New Roman" w:hAnsi="Times New Roman"/>
          <w:lang w:val="fr-BE"/>
        </w:rPr>
        <w:t>, et à retirer les propositions relatives aux autorisations d’OGM si le comité permanent de la chaîne alimentaire et de la santé animale ne rend pas d’avis</w:t>
      </w:r>
      <w:r w:rsidRPr="00AD0B60">
        <w:rPr>
          <w:rFonts w:ascii="Times New Roman" w:hAnsi="Times New Roman"/>
          <w:b/>
          <w:lang w:val="fr-BE"/>
        </w:rPr>
        <w:t xml:space="preserve"> (paragraphe </w:t>
      </w:r>
      <w:r w:rsidRPr="00B70F74">
        <w:rPr>
          <w:rFonts w:ascii="Times New Roman" w:hAnsi="Times New Roman"/>
          <w:b/>
          <w:lang w:val="fr-BE"/>
        </w:rPr>
        <w:t>11</w:t>
      </w:r>
      <w:r w:rsidRPr="00AD0B60">
        <w:rPr>
          <w:rFonts w:ascii="Times New Roman" w:hAnsi="Times New Roman"/>
          <w:b/>
          <w:lang w:val="fr-BE"/>
        </w:rPr>
        <w:t>)</w:t>
      </w:r>
      <w:r w:rsidRPr="00AD0B60">
        <w:rPr>
          <w:rFonts w:ascii="Times New Roman" w:hAnsi="Times New Roman"/>
          <w:lang w:val="fr-BE"/>
        </w:rPr>
        <w:t>. Elle réaffirme également l’engagement du Parlement à faire avancer les travaux sur la proposition de la Commission modifiant le règlement (UE) nº </w:t>
      </w:r>
      <w:r w:rsidRPr="00B70F74">
        <w:rPr>
          <w:rFonts w:ascii="Times New Roman" w:hAnsi="Times New Roman"/>
          <w:lang w:val="fr-BE"/>
        </w:rPr>
        <w:t>182</w:t>
      </w:r>
      <w:r w:rsidRPr="00AD0B60">
        <w:rPr>
          <w:rFonts w:ascii="Times New Roman" w:hAnsi="Times New Roman"/>
          <w:lang w:val="fr-BE"/>
        </w:rPr>
        <w:t>/</w:t>
      </w:r>
      <w:r w:rsidRPr="00B70F74">
        <w:rPr>
          <w:rFonts w:ascii="Times New Roman" w:hAnsi="Times New Roman"/>
          <w:lang w:val="fr-BE"/>
        </w:rPr>
        <w:t>2011</w:t>
      </w:r>
      <w:r w:rsidRPr="00AD0B60">
        <w:rPr>
          <w:rFonts w:ascii="Times New Roman" w:hAnsi="Times New Roman"/>
          <w:lang w:val="fr-BE"/>
        </w:rPr>
        <w:t xml:space="preserve"> et demande de plus au Conseil de s’attacher d’urgence à mener à bien ses travaux sur cette proposition de la Commission </w:t>
      </w:r>
      <w:r w:rsidRPr="00AD0B60">
        <w:rPr>
          <w:rFonts w:ascii="Times New Roman" w:hAnsi="Times New Roman"/>
          <w:b/>
          <w:lang w:val="fr-BE"/>
        </w:rPr>
        <w:t>(paragraphe </w:t>
      </w:r>
      <w:r w:rsidRPr="00B70F74">
        <w:rPr>
          <w:rFonts w:ascii="Times New Roman" w:hAnsi="Times New Roman"/>
          <w:b/>
          <w:lang w:val="fr-BE"/>
        </w:rPr>
        <w:t>9</w:t>
      </w:r>
      <w:r w:rsidRPr="00AD0B60">
        <w:rPr>
          <w:rFonts w:ascii="Times New Roman" w:hAnsi="Times New Roman"/>
          <w:b/>
          <w:lang w:val="fr-BE"/>
        </w:rPr>
        <w:t>)</w:t>
      </w:r>
      <w:r w:rsidRPr="00AD0B60">
        <w:rPr>
          <w:rFonts w:ascii="Times New Roman" w:hAnsi="Times New Roman"/>
          <w:lang w:val="fr-BE"/>
        </w:rPr>
        <w:t>.</w:t>
      </w:r>
    </w:p>
    <w:p w:rsidR="00353F52" w:rsidRPr="00AD0B60" w:rsidRDefault="00353F52" w:rsidP="00353F52">
      <w:pPr>
        <w:spacing w:after="120"/>
        <w:rPr>
          <w:rFonts w:ascii="Times New Roman" w:hAnsi="Times New Roman"/>
          <w:szCs w:val="24"/>
          <w:lang w:val="fr-BE"/>
        </w:rPr>
      </w:pPr>
      <w:r w:rsidRPr="00AD0B60">
        <w:rPr>
          <w:rFonts w:ascii="Times New Roman" w:hAnsi="Times New Roman"/>
          <w:lang w:val="fr-BE"/>
        </w:rPr>
        <w:t xml:space="preserve">La résolution prie la Commission de ne pas autoriser l’importation de plantes génétiquement modifiées destinées à l’alimentation humaine ou animale qui ont été rendues tolérantes à un herbicide non autorisé dans l’Union (en l’espèce le </w:t>
      </w:r>
      <w:proofErr w:type="spellStart"/>
      <w:r w:rsidRPr="00AD0B60">
        <w:rPr>
          <w:rFonts w:ascii="Times New Roman" w:hAnsi="Times New Roman"/>
          <w:lang w:val="fr-BE"/>
        </w:rPr>
        <w:t>glufosinate</w:t>
      </w:r>
      <w:proofErr w:type="spellEnd"/>
      <w:r w:rsidRPr="00AD0B60">
        <w:rPr>
          <w:rFonts w:ascii="Times New Roman" w:hAnsi="Times New Roman"/>
          <w:lang w:val="fr-BE"/>
        </w:rPr>
        <w:t xml:space="preserve">) </w:t>
      </w:r>
      <w:r w:rsidRPr="00AD0B60">
        <w:rPr>
          <w:rFonts w:ascii="Times New Roman" w:hAnsi="Times New Roman"/>
          <w:b/>
          <w:lang w:val="fr-BE"/>
        </w:rPr>
        <w:t>(paragraphe </w:t>
      </w:r>
      <w:r w:rsidRPr="00B70F74">
        <w:rPr>
          <w:rFonts w:ascii="Times New Roman" w:hAnsi="Times New Roman"/>
          <w:b/>
          <w:lang w:val="fr-BE"/>
        </w:rPr>
        <w:t>4</w:t>
      </w:r>
      <w:r w:rsidRPr="00AD0B60">
        <w:rPr>
          <w:rFonts w:ascii="Times New Roman" w:hAnsi="Times New Roman"/>
          <w:b/>
          <w:lang w:val="fr-BE"/>
        </w:rPr>
        <w:t>)</w:t>
      </w:r>
      <w:r w:rsidRPr="00AD0B60">
        <w:rPr>
          <w:rFonts w:ascii="Times New Roman" w:hAnsi="Times New Roman"/>
          <w:lang w:val="fr-BE"/>
        </w:rPr>
        <w:t xml:space="preserve">. De plus, elle invite la Commission à ne pas autoriser de plantes génétiquement modifiées tolérantes aux herbicides sans évaluation complète des résidus de la pulvérisation d’herbicides complémentaires, de leurs métabolites et de leurs formules commerciales telles qu’elles sont utilisées dans les pays où ces plantes sont cultivées </w:t>
      </w:r>
      <w:r w:rsidRPr="00AD0B60">
        <w:rPr>
          <w:rFonts w:ascii="Times New Roman" w:hAnsi="Times New Roman"/>
          <w:b/>
          <w:lang w:val="fr-BE"/>
        </w:rPr>
        <w:t>(paragraphe </w:t>
      </w:r>
      <w:r w:rsidRPr="00B70F74">
        <w:rPr>
          <w:rFonts w:ascii="Times New Roman" w:hAnsi="Times New Roman"/>
          <w:b/>
          <w:lang w:val="fr-BE"/>
        </w:rPr>
        <w:t>5</w:t>
      </w:r>
      <w:r w:rsidRPr="00AD0B60">
        <w:rPr>
          <w:rFonts w:ascii="Times New Roman" w:hAnsi="Times New Roman"/>
          <w:lang w:val="fr-BE"/>
        </w:rPr>
        <w:t xml:space="preserve">). Elle appelle également la Commission à tenir pleinement compte de l’évaluation des risques liés à l’utilisation d’herbicides complémentaires et à leurs résidus dans l’évaluation des risques relatifs aux </w:t>
      </w:r>
      <w:r w:rsidRPr="00AD0B60">
        <w:rPr>
          <w:rFonts w:ascii="Times New Roman" w:hAnsi="Times New Roman"/>
          <w:lang w:val="fr-BE"/>
        </w:rPr>
        <w:lastRenderedPageBreak/>
        <w:t xml:space="preserve">plantes génétiquement modifiées tolérantes aux herbicides, que la plante concernée soit destinée à être cultivée dans l’Union ou qu’elle y soit importée comme denrée alimentaire ou aliment pour animaux </w:t>
      </w:r>
      <w:r w:rsidRPr="00AD0B60">
        <w:rPr>
          <w:rFonts w:ascii="Times New Roman" w:hAnsi="Times New Roman"/>
          <w:b/>
          <w:lang w:val="fr-BE"/>
        </w:rPr>
        <w:t>(paragraphe </w:t>
      </w:r>
      <w:r w:rsidRPr="00B70F74">
        <w:rPr>
          <w:rFonts w:ascii="Times New Roman" w:hAnsi="Times New Roman"/>
          <w:b/>
          <w:lang w:val="fr-BE"/>
        </w:rPr>
        <w:t>6</w:t>
      </w:r>
      <w:r w:rsidRPr="00AD0B60">
        <w:rPr>
          <w:rFonts w:ascii="Times New Roman" w:hAnsi="Times New Roman"/>
          <w:b/>
          <w:lang w:val="fr-BE"/>
        </w:rPr>
        <w:t>)</w:t>
      </w:r>
      <w:r w:rsidRPr="00AD0B60">
        <w:rPr>
          <w:rFonts w:ascii="Times New Roman" w:hAnsi="Times New Roman"/>
          <w:lang w:val="fr-BE"/>
        </w:rPr>
        <w:t>. Enfin, elle demande à la Commission de n’autoriser des sous-combinaisons d’événements empilés que si elles ont été évaluées de manière approfondie par l’EFSA sur la base de données complètes présentées par le demandeur (</w:t>
      </w:r>
      <w:r w:rsidRPr="00AD0B60">
        <w:rPr>
          <w:rFonts w:ascii="Times New Roman" w:hAnsi="Times New Roman"/>
          <w:b/>
          <w:lang w:val="fr-BE"/>
        </w:rPr>
        <w:t>paragraphe </w:t>
      </w:r>
      <w:r w:rsidRPr="00B70F74">
        <w:rPr>
          <w:rFonts w:ascii="Times New Roman" w:hAnsi="Times New Roman"/>
          <w:b/>
          <w:lang w:val="fr-BE"/>
        </w:rPr>
        <w:t>7</w:t>
      </w:r>
      <w:r w:rsidRPr="00AD0B60">
        <w:rPr>
          <w:rFonts w:ascii="Times New Roman" w:hAnsi="Times New Roman"/>
          <w:lang w:val="fr-BE"/>
        </w:rPr>
        <w:t xml:space="preserve">), et à l’EFSA de mettre au point et d’utiliser systématiquement des méthodes permettant l’identification des effets non désirés d’événements génétiquement modifiés empilés qui sont connus et attendus, par exemple par rapport aux propriétés adjuvantes des toxines </w:t>
      </w:r>
      <w:proofErr w:type="spellStart"/>
      <w:r w:rsidRPr="00AD0B60">
        <w:rPr>
          <w:rFonts w:ascii="Times New Roman" w:hAnsi="Times New Roman"/>
          <w:lang w:val="fr-BE"/>
        </w:rPr>
        <w:t>Bt</w:t>
      </w:r>
      <w:proofErr w:type="spellEnd"/>
      <w:r w:rsidRPr="00AD0B60">
        <w:rPr>
          <w:rFonts w:ascii="Times New Roman" w:hAnsi="Times New Roman"/>
          <w:lang w:val="fr-BE"/>
        </w:rPr>
        <w:t xml:space="preserve"> </w:t>
      </w:r>
      <w:r w:rsidRPr="00AD0B60">
        <w:rPr>
          <w:rFonts w:ascii="Times New Roman" w:hAnsi="Times New Roman"/>
          <w:b/>
          <w:lang w:val="fr-BE"/>
        </w:rPr>
        <w:t>(paragraphe </w:t>
      </w:r>
      <w:r w:rsidRPr="00B70F74">
        <w:rPr>
          <w:rFonts w:ascii="Times New Roman" w:hAnsi="Times New Roman"/>
          <w:b/>
          <w:lang w:val="fr-BE"/>
        </w:rPr>
        <w:t>8</w:t>
      </w:r>
      <w:r w:rsidRPr="00AD0B60">
        <w:rPr>
          <w:rFonts w:ascii="Times New Roman" w:hAnsi="Times New Roman"/>
          <w:b/>
          <w:lang w:val="fr-BE"/>
        </w:rPr>
        <w:t>)</w:t>
      </w:r>
      <w:r w:rsidRPr="00AD0B60">
        <w:rPr>
          <w:rFonts w:ascii="Times New Roman" w:hAnsi="Times New Roman"/>
          <w:lang w:val="fr-BE"/>
        </w:rPr>
        <w:t>.</w:t>
      </w:r>
    </w:p>
    <w:p w:rsidR="00353F52" w:rsidRPr="00AD0B60" w:rsidRDefault="00353F52" w:rsidP="00353F52">
      <w:pPr>
        <w:spacing w:after="120"/>
        <w:rPr>
          <w:rFonts w:ascii="Times New Roman" w:hAnsi="Times New Roman"/>
          <w:lang w:val="fr-BE"/>
        </w:rPr>
      </w:pPr>
      <w:r w:rsidRPr="00AD0B60">
        <w:rPr>
          <w:rFonts w:ascii="Times New Roman" w:hAnsi="Times New Roman"/>
          <w:lang w:val="fr-BE"/>
        </w:rPr>
        <w:t>La résolution rappelle que le maïs issu des quatre événements empilés Bt</w:t>
      </w:r>
      <w:r w:rsidRPr="00B70F74">
        <w:rPr>
          <w:rFonts w:ascii="Times New Roman" w:hAnsi="Times New Roman"/>
          <w:lang w:val="fr-BE"/>
        </w:rPr>
        <w:t>11</w:t>
      </w:r>
      <w:r w:rsidRPr="00AD0B60">
        <w:rPr>
          <w:rFonts w:ascii="Times New Roman" w:hAnsi="Times New Roman"/>
          <w:lang w:val="fr-BE"/>
        </w:rPr>
        <w:t> x MIR</w:t>
      </w:r>
      <w:r w:rsidRPr="00B70F74">
        <w:rPr>
          <w:rFonts w:ascii="Times New Roman" w:hAnsi="Times New Roman"/>
          <w:lang w:val="fr-BE"/>
        </w:rPr>
        <w:t>162</w:t>
      </w:r>
      <w:r w:rsidRPr="00AD0B60">
        <w:rPr>
          <w:rFonts w:ascii="Times New Roman" w:hAnsi="Times New Roman"/>
          <w:lang w:val="fr-BE"/>
        </w:rPr>
        <w:t> x </w:t>
      </w:r>
      <w:r w:rsidRPr="00B70F74">
        <w:rPr>
          <w:rFonts w:ascii="Times New Roman" w:hAnsi="Times New Roman"/>
          <w:lang w:val="fr-BE"/>
        </w:rPr>
        <w:t>1507</w:t>
      </w:r>
      <w:r w:rsidRPr="00AD0B60">
        <w:rPr>
          <w:rFonts w:ascii="Times New Roman" w:hAnsi="Times New Roman"/>
          <w:lang w:val="fr-BE"/>
        </w:rPr>
        <w:t> x GA</w:t>
      </w:r>
      <w:r w:rsidRPr="00B70F74">
        <w:rPr>
          <w:rFonts w:ascii="Times New Roman" w:hAnsi="Times New Roman"/>
          <w:lang w:val="fr-BE"/>
        </w:rPr>
        <w:t>21</w:t>
      </w:r>
      <w:r w:rsidRPr="00AD0B60">
        <w:rPr>
          <w:rFonts w:ascii="Times New Roman" w:hAnsi="Times New Roman"/>
          <w:lang w:val="fr-BE"/>
        </w:rPr>
        <w:t xml:space="preserve"> est rendu tolérant aux herbicides à base de glyphosate et de </w:t>
      </w:r>
      <w:proofErr w:type="spellStart"/>
      <w:r w:rsidRPr="00AD0B60">
        <w:rPr>
          <w:rFonts w:ascii="Times New Roman" w:hAnsi="Times New Roman"/>
          <w:lang w:val="fr-BE"/>
        </w:rPr>
        <w:t>glufosinate</w:t>
      </w:r>
      <w:proofErr w:type="spellEnd"/>
      <w:r w:rsidRPr="00AD0B60">
        <w:rPr>
          <w:rFonts w:ascii="Times New Roman" w:hAnsi="Times New Roman"/>
          <w:lang w:val="fr-BE"/>
        </w:rPr>
        <w:t xml:space="preserve"> d’ammonium et résistant aux insectes par la production de deux protéines </w:t>
      </w:r>
      <w:proofErr w:type="spellStart"/>
      <w:r w:rsidRPr="00AD0B60">
        <w:rPr>
          <w:rFonts w:ascii="Times New Roman" w:hAnsi="Times New Roman"/>
          <w:lang w:val="fr-BE"/>
        </w:rPr>
        <w:t>Bt</w:t>
      </w:r>
      <w:proofErr w:type="spellEnd"/>
      <w:r w:rsidRPr="00AD0B60">
        <w:rPr>
          <w:rFonts w:ascii="Times New Roman" w:hAnsi="Times New Roman"/>
          <w:lang w:val="fr-BE"/>
        </w:rPr>
        <w:t xml:space="preserve"> différentes (</w:t>
      </w:r>
      <w:r w:rsidRPr="00AD0B60">
        <w:rPr>
          <w:rFonts w:ascii="Times New Roman" w:hAnsi="Times New Roman"/>
          <w:b/>
          <w:lang w:val="fr-BE"/>
        </w:rPr>
        <w:t>considérant C</w:t>
      </w:r>
      <w:r w:rsidRPr="00AD0B60">
        <w:rPr>
          <w:rFonts w:ascii="Times New Roman" w:hAnsi="Times New Roman"/>
          <w:lang w:val="fr-BE"/>
        </w:rPr>
        <w:t>). Elle rappelle que le champ d’application de la demande comporte trois sous-combinaisons</w:t>
      </w:r>
      <w:r>
        <w:rPr>
          <w:rStyle w:val="FootnoteReference"/>
          <w:rFonts w:ascii="Times New Roman" w:hAnsi="Times New Roman"/>
        </w:rPr>
        <w:footnoteReference w:id="1"/>
      </w:r>
      <w:r w:rsidRPr="00AD0B60">
        <w:rPr>
          <w:rFonts w:ascii="Times New Roman" w:hAnsi="Times New Roman"/>
          <w:lang w:val="fr-BE"/>
        </w:rPr>
        <w:t xml:space="preserve"> (</w:t>
      </w:r>
      <w:r w:rsidRPr="00AD0B60">
        <w:rPr>
          <w:rFonts w:ascii="Times New Roman" w:hAnsi="Times New Roman"/>
          <w:b/>
          <w:lang w:val="fr-BE"/>
        </w:rPr>
        <w:t>considérant B</w:t>
      </w:r>
      <w:r w:rsidRPr="00AD0B60">
        <w:rPr>
          <w:rFonts w:ascii="Times New Roman" w:hAnsi="Times New Roman"/>
          <w:lang w:val="fr-BE"/>
        </w:rPr>
        <w:t>) alors qu’aucune donnée n’a été fournie par le demandeur pour ces sous-combinaisons et que l’EFSA n’en a pas non plus fait la demande (</w:t>
      </w:r>
      <w:r w:rsidRPr="00AD0B60">
        <w:rPr>
          <w:rFonts w:ascii="Times New Roman" w:hAnsi="Times New Roman"/>
          <w:b/>
          <w:lang w:val="fr-BE"/>
        </w:rPr>
        <w:t>considérant E</w:t>
      </w:r>
      <w:r w:rsidRPr="00AD0B60">
        <w:rPr>
          <w:rFonts w:ascii="Times New Roman" w:hAnsi="Times New Roman"/>
          <w:lang w:val="fr-BE"/>
        </w:rPr>
        <w:t>). Elle rappelle également que l’EFSA a adopté un avis favorable pour ce maïs génétiquement modifié, mais qu’un avis minoritaire a été exprimé par un membre du groupe scientifique de l’EFSA sur les organismes génétiquement modifiés (</w:t>
      </w:r>
      <w:r w:rsidRPr="00AD0B60">
        <w:rPr>
          <w:rFonts w:ascii="Times New Roman" w:hAnsi="Times New Roman"/>
          <w:b/>
          <w:lang w:val="fr-BE"/>
        </w:rPr>
        <w:t>considérant D</w:t>
      </w:r>
      <w:r w:rsidRPr="00AD0B60">
        <w:rPr>
          <w:rFonts w:ascii="Times New Roman" w:hAnsi="Times New Roman"/>
          <w:lang w:val="fr-BE"/>
        </w:rPr>
        <w:t>). L’avis minoritaire est lié à l’absence de données fournies pour les trois sous-combinaisons (</w:t>
      </w:r>
      <w:r w:rsidRPr="00AD0B60">
        <w:rPr>
          <w:rFonts w:ascii="Times New Roman" w:hAnsi="Times New Roman"/>
          <w:b/>
          <w:lang w:val="fr-BE"/>
        </w:rPr>
        <w:t>considérants F et I</w:t>
      </w:r>
      <w:r w:rsidRPr="00AD0B60">
        <w:rPr>
          <w:rFonts w:ascii="Times New Roman" w:hAnsi="Times New Roman"/>
          <w:lang w:val="fr-BE"/>
        </w:rPr>
        <w:t xml:space="preserve">), au manque d’essais appropriés pour les protéines </w:t>
      </w:r>
      <w:proofErr w:type="spellStart"/>
      <w:r w:rsidRPr="00AD0B60">
        <w:rPr>
          <w:rFonts w:ascii="Times New Roman" w:hAnsi="Times New Roman"/>
          <w:lang w:val="fr-BE"/>
        </w:rPr>
        <w:t>Bt</w:t>
      </w:r>
      <w:proofErr w:type="spellEnd"/>
      <w:r w:rsidRPr="00AD0B60">
        <w:rPr>
          <w:rFonts w:ascii="Times New Roman" w:hAnsi="Times New Roman"/>
          <w:lang w:val="fr-BE"/>
        </w:rPr>
        <w:t xml:space="preserve"> (</w:t>
      </w:r>
      <w:r w:rsidRPr="00AD0B60">
        <w:rPr>
          <w:rFonts w:ascii="Times New Roman" w:hAnsi="Times New Roman"/>
          <w:b/>
          <w:lang w:val="fr-BE"/>
        </w:rPr>
        <w:t>considérant H</w:t>
      </w:r>
      <w:r w:rsidRPr="00AD0B60">
        <w:rPr>
          <w:rFonts w:ascii="Times New Roman" w:hAnsi="Times New Roman"/>
          <w:lang w:val="fr-BE"/>
        </w:rPr>
        <w:t xml:space="preserve">) et à la possibilité pour les protéines </w:t>
      </w:r>
      <w:proofErr w:type="spellStart"/>
      <w:r w:rsidRPr="00AD0B60">
        <w:rPr>
          <w:rFonts w:ascii="Times New Roman" w:hAnsi="Times New Roman"/>
          <w:lang w:val="fr-BE"/>
        </w:rPr>
        <w:t>Bt</w:t>
      </w:r>
      <w:proofErr w:type="spellEnd"/>
      <w:r w:rsidRPr="00AD0B60">
        <w:rPr>
          <w:rFonts w:ascii="Times New Roman" w:hAnsi="Times New Roman"/>
          <w:lang w:val="fr-BE"/>
        </w:rPr>
        <w:t xml:space="preserve"> contenues dans ces sous-combinaisons de renforcer les risques d’allergies (</w:t>
      </w:r>
      <w:r w:rsidRPr="00AD0B60">
        <w:rPr>
          <w:rFonts w:ascii="Times New Roman" w:hAnsi="Times New Roman"/>
          <w:b/>
          <w:lang w:val="fr-BE"/>
        </w:rPr>
        <w:t>considérants G et I</w:t>
      </w:r>
      <w:r w:rsidRPr="00AD0B60">
        <w:rPr>
          <w:rFonts w:ascii="Times New Roman" w:hAnsi="Times New Roman"/>
          <w:lang w:val="fr-BE"/>
        </w:rPr>
        <w:t>).</w:t>
      </w:r>
    </w:p>
    <w:p w:rsidR="00353F52" w:rsidRPr="00AD0B60" w:rsidRDefault="00353F52" w:rsidP="00353F52">
      <w:pPr>
        <w:spacing w:after="120"/>
        <w:rPr>
          <w:rFonts w:ascii="Times New Roman" w:hAnsi="Times New Roman"/>
          <w:szCs w:val="24"/>
          <w:lang w:val="fr-BE"/>
        </w:rPr>
      </w:pPr>
      <w:r w:rsidRPr="00AD0B60">
        <w:rPr>
          <w:rFonts w:ascii="Times New Roman" w:hAnsi="Times New Roman"/>
          <w:lang w:val="fr-BE"/>
        </w:rPr>
        <w:t xml:space="preserve">La résolution souligne que l’utilisation du </w:t>
      </w:r>
      <w:proofErr w:type="spellStart"/>
      <w:r w:rsidRPr="00AD0B60">
        <w:rPr>
          <w:rFonts w:ascii="Times New Roman" w:hAnsi="Times New Roman"/>
          <w:lang w:val="fr-BE"/>
        </w:rPr>
        <w:t>glufosinate</w:t>
      </w:r>
      <w:proofErr w:type="spellEnd"/>
      <w:r w:rsidRPr="00AD0B60">
        <w:rPr>
          <w:rFonts w:ascii="Times New Roman" w:hAnsi="Times New Roman"/>
          <w:lang w:val="fr-BE"/>
        </w:rPr>
        <w:t xml:space="preserve"> n’est pas autorisée dans l’Union, puisqu’il a été classé comme substance toxique pour la reproduction</w:t>
      </w:r>
      <w:r w:rsidRPr="00AD0B60">
        <w:rPr>
          <w:rFonts w:ascii="Times New Roman" w:hAnsi="Times New Roman"/>
          <w:b/>
          <w:lang w:val="fr-BE"/>
        </w:rPr>
        <w:t xml:space="preserve"> (considérant K)</w:t>
      </w:r>
      <w:r w:rsidRPr="00AD0B60">
        <w:rPr>
          <w:rFonts w:ascii="Times New Roman" w:hAnsi="Times New Roman"/>
          <w:lang w:val="fr-BE"/>
        </w:rPr>
        <w:t xml:space="preserve">, et que des questions se posent encore sur le caractère carcinogène du glyphosate </w:t>
      </w:r>
      <w:r w:rsidRPr="00AD0B60">
        <w:rPr>
          <w:rFonts w:ascii="Times New Roman" w:hAnsi="Times New Roman"/>
          <w:b/>
          <w:lang w:val="fr-BE"/>
        </w:rPr>
        <w:t>(considérant L)</w:t>
      </w:r>
      <w:r w:rsidRPr="00AD0B60">
        <w:rPr>
          <w:rFonts w:ascii="Times New Roman" w:hAnsi="Times New Roman"/>
          <w:lang w:val="fr-BE"/>
        </w:rPr>
        <w:t>. Elle indique qu’aucune conclusion sur l’innocuité des résidus de la pulvérisation de cultures génétiquement modifiées avec des formulations de glyphosate ne peut être tirée, que les additifs et leur combinaison dans les formulations commerciales peuvent être plus toxiques que le glyphosate seul (</w:t>
      </w:r>
      <w:r w:rsidRPr="00AD0B60">
        <w:rPr>
          <w:rFonts w:ascii="Times New Roman" w:hAnsi="Times New Roman"/>
          <w:b/>
          <w:lang w:val="fr-BE"/>
        </w:rPr>
        <w:t>considérant M</w:t>
      </w:r>
      <w:r w:rsidRPr="00AD0B60">
        <w:rPr>
          <w:rFonts w:ascii="Times New Roman" w:hAnsi="Times New Roman"/>
          <w:lang w:val="fr-BE"/>
        </w:rPr>
        <w:t xml:space="preserve">) et que certains additifs qui posent problème sont toutefois encore autorisés dans les pays où ce maïs génétiquement modifié est cultivé </w:t>
      </w:r>
      <w:r w:rsidRPr="00AD0B60">
        <w:rPr>
          <w:rFonts w:ascii="Times New Roman" w:hAnsi="Times New Roman"/>
          <w:b/>
          <w:lang w:val="fr-BE"/>
        </w:rPr>
        <w:t>(considérant N)</w:t>
      </w:r>
      <w:r w:rsidRPr="00AD0B60">
        <w:rPr>
          <w:rFonts w:ascii="Times New Roman" w:hAnsi="Times New Roman"/>
          <w:lang w:val="fr-BE"/>
        </w:rPr>
        <w:t xml:space="preserve">. Elle précise que l’on peut s’attendre à ce que le maïs soit exposé de façon répétée à de plus fortes concentrations de glyphosate et de </w:t>
      </w:r>
      <w:proofErr w:type="spellStart"/>
      <w:r w:rsidRPr="00AD0B60">
        <w:rPr>
          <w:rFonts w:ascii="Times New Roman" w:hAnsi="Times New Roman"/>
          <w:lang w:val="fr-BE"/>
        </w:rPr>
        <w:t>glufosinate</w:t>
      </w:r>
      <w:proofErr w:type="spellEnd"/>
      <w:r w:rsidRPr="00AD0B60">
        <w:rPr>
          <w:rFonts w:ascii="Times New Roman" w:hAnsi="Times New Roman"/>
          <w:lang w:val="fr-BE"/>
        </w:rPr>
        <w:t xml:space="preserve">, ce qui conduira à une accumulation des résidus dans la récolte, et que ces herbicides pourraient également avoir une incidence sur la composition de la plante </w:t>
      </w:r>
      <w:r w:rsidRPr="00AD0B60">
        <w:rPr>
          <w:rFonts w:ascii="Times New Roman" w:hAnsi="Times New Roman"/>
          <w:b/>
          <w:lang w:val="fr-BE"/>
        </w:rPr>
        <w:t>(considérant J)</w:t>
      </w:r>
      <w:r w:rsidRPr="00AD0B60">
        <w:rPr>
          <w:rFonts w:ascii="Times New Roman" w:hAnsi="Times New Roman"/>
          <w:lang w:val="fr-BE"/>
        </w:rPr>
        <w:t xml:space="preserve"> et que l’EFSA</w:t>
      </w:r>
      <w:r w:rsidRPr="00AD0B60">
        <w:rPr>
          <w:rFonts w:ascii="Times New Roman" w:hAnsi="Times New Roman"/>
          <w:b/>
          <w:lang w:val="fr-BE"/>
        </w:rPr>
        <w:t xml:space="preserve"> </w:t>
      </w:r>
      <w:r w:rsidRPr="00AD0B60">
        <w:rPr>
          <w:rFonts w:ascii="Times New Roman" w:hAnsi="Times New Roman"/>
          <w:lang w:val="fr-BE"/>
        </w:rPr>
        <w:t>n’a pas demandé</w:t>
      </w:r>
      <w:r w:rsidRPr="00AD0B60">
        <w:rPr>
          <w:rFonts w:ascii="Times New Roman" w:hAnsi="Times New Roman"/>
          <w:b/>
          <w:lang w:val="fr-BE"/>
        </w:rPr>
        <w:t xml:space="preserve"> </w:t>
      </w:r>
      <w:r w:rsidRPr="00AD0B60">
        <w:rPr>
          <w:rFonts w:ascii="Times New Roman" w:hAnsi="Times New Roman"/>
          <w:lang w:val="fr-BE"/>
        </w:rPr>
        <w:t>de données provenant d’essais en champ avec le dosage d’herbicides le plus élevé qui puisse être toléré par le maïs génétiquement modifié (</w:t>
      </w:r>
      <w:r w:rsidRPr="00AD0B60">
        <w:rPr>
          <w:rFonts w:ascii="Times New Roman" w:hAnsi="Times New Roman"/>
          <w:b/>
          <w:lang w:val="fr-BE"/>
        </w:rPr>
        <w:t>considérant Q</w:t>
      </w:r>
      <w:r w:rsidRPr="00AD0B60">
        <w:rPr>
          <w:rFonts w:ascii="Times New Roman" w:hAnsi="Times New Roman"/>
          <w:lang w:val="fr-BE"/>
        </w:rPr>
        <w:t>). Elle souligne</w:t>
      </w:r>
      <w:r w:rsidRPr="00AD0B60">
        <w:rPr>
          <w:rFonts w:ascii="Times New Roman" w:hAnsi="Times New Roman"/>
          <w:b/>
          <w:lang w:val="fr-BE"/>
        </w:rPr>
        <w:t xml:space="preserve"> </w:t>
      </w:r>
      <w:r w:rsidRPr="00AD0B60">
        <w:rPr>
          <w:rFonts w:ascii="Times New Roman" w:hAnsi="Times New Roman"/>
          <w:lang w:val="fr-BE"/>
        </w:rPr>
        <w:t xml:space="preserve">que l’on n’a pas évalué les résidus de la pulvérisation d’herbicides sur ce maïs génétiquement modifié </w:t>
      </w:r>
      <w:r w:rsidRPr="00AD0B60">
        <w:rPr>
          <w:rFonts w:ascii="Times New Roman" w:hAnsi="Times New Roman"/>
          <w:b/>
          <w:lang w:val="fr-BE"/>
        </w:rPr>
        <w:t>(considérant O)</w:t>
      </w:r>
      <w:r w:rsidRPr="00AD0B60">
        <w:rPr>
          <w:rFonts w:ascii="Times New Roman" w:hAnsi="Times New Roman"/>
          <w:lang w:val="fr-BE"/>
        </w:rPr>
        <w:t xml:space="preserve">, ni les métabolites des herbicides, qui peuvent différer selon qu’ils se manifestent sur des plantes empilées ou sur la plante mère </w:t>
      </w:r>
      <w:r w:rsidRPr="00AD0B60">
        <w:rPr>
          <w:rFonts w:ascii="Times New Roman" w:hAnsi="Times New Roman"/>
          <w:b/>
          <w:lang w:val="fr-BE"/>
        </w:rPr>
        <w:t>(considérant P)</w:t>
      </w:r>
      <w:r w:rsidRPr="00AD0B60">
        <w:rPr>
          <w:rFonts w:ascii="Times New Roman" w:hAnsi="Times New Roman"/>
          <w:lang w:val="fr-BE"/>
        </w:rPr>
        <w:t>, pas plus que les effets combinés avec d’autres composés végétaux et toxines BT (</w:t>
      </w:r>
      <w:r w:rsidRPr="00AD0B60">
        <w:rPr>
          <w:rFonts w:ascii="Times New Roman" w:hAnsi="Times New Roman"/>
          <w:b/>
          <w:lang w:val="fr-BE"/>
        </w:rPr>
        <w:t>considérant Q</w:t>
      </w:r>
      <w:r w:rsidRPr="00AD0B60">
        <w:rPr>
          <w:rFonts w:ascii="Times New Roman" w:hAnsi="Times New Roman"/>
          <w:lang w:val="fr-BE"/>
        </w:rPr>
        <w:t xml:space="preserve">). Elle rappelle que les États membres ne sont pas tenus d’analyser les résidus de glyphosate ou de </w:t>
      </w:r>
      <w:proofErr w:type="spellStart"/>
      <w:r w:rsidRPr="00AD0B60">
        <w:rPr>
          <w:rFonts w:ascii="Times New Roman" w:hAnsi="Times New Roman"/>
          <w:lang w:val="fr-BE"/>
        </w:rPr>
        <w:t>glufosinate</w:t>
      </w:r>
      <w:proofErr w:type="spellEnd"/>
      <w:r w:rsidRPr="00AD0B60">
        <w:rPr>
          <w:rFonts w:ascii="Times New Roman" w:hAnsi="Times New Roman"/>
          <w:lang w:val="fr-BE"/>
        </w:rPr>
        <w:t xml:space="preserve"> dans le maïs importé afin de s’assurer du respect des limites maximales de résidus dans le cadre du programme pluriannuel de contrôle coordonné de l’Union pour </w:t>
      </w:r>
      <w:r w:rsidRPr="00B70F74">
        <w:rPr>
          <w:rFonts w:ascii="Times New Roman" w:hAnsi="Times New Roman"/>
          <w:lang w:val="fr-BE"/>
        </w:rPr>
        <w:t>2019</w:t>
      </w:r>
      <w:r w:rsidRPr="00AD0B60">
        <w:rPr>
          <w:rFonts w:ascii="Times New Roman" w:hAnsi="Times New Roman"/>
          <w:lang w:val="fr-BE"/>
        </w:rPr>
        <w:t xml:space="preserve">, </w:t>
      </w:r>
      <w:r w:rsidRPr="00B70F74">
        <w:rPr>
          <w:rFonts w:ascii="Times New Roman" w:hAnsi="Times New Roman"/>
          <w:lang w:val="fr-BE"/>
        </w:rPr>
        <w:t>2020</w:t>
      </w:r>
      <w:r w:rsidRPr="00AD0B60">
        <w:rPr>
          <w:rFonts w:ascii="Times New Roman" w:hAnsi="Times New Roman"/>
          <w:lang w:val="fr-BE"/>
        </w:rPr>
        <w:t xml:space="preserve"> et </w:t>
      </w:r>
      <w:r w:rsidRPr="00B70F74">
        <w:rPr>
          <w:rFonts w:ascii="Times New Roman" w:hAnsi="Times New Roman"/>
          <w:lang w:val="fr-BE"/>
        </w:rPr>
        <w:t>2021</w:t>
      </w:r>
      <w:r w:rsidRPr="00AD0B60">
        <w:rPr>
          <w:rFonts w:ascii="Times New Roman" w:hAnsi="Times New Roman"/>
          <w:lang w:val="fr-BE"/>
        </w:rPr>
        <w:t xml:space="preserve"> </w:t>
      </w:r>
      <w:r w:rsidRPr="00AD0B60">
        <w:rPr>
          <w:rFonts w:ascii="Times New Roman" w:hAnsi="Times New Roman"/>
          <w:b/>
          <w:lang w:val="fr-BE"/>
        </w:rPr>
        <w:t>(considérant R)</w:t>
      </w:r>
      <w:r w:rsidRPr="00AD0B60">
        <w:rPr>
          <w:rFonts w:ascii="Times New Roman" w:hAnsi="Times New Roman"/>
          <w:lang w:val="fr-BE"/>
        </w:rPr>
        <w:t>.</w:t>
      </w:r>
    </w:p>
    <w:p w:rsidR="00353F52" w:rsidRPr="00AD0B60" w:rsidRDefault="00353F52" w:rsidP="00353F52">
      <w:pPr>
        <w:spacing w:after="120"/>
        <w:rPr>
          <w:rFonts w:ascii="Times New Roman" w:hAnsi="Times New Roman"/>
          <w:szCs w:val="24"/>
          <w:highlight w:val="red"/>
          <w:lang w:val="fr-BE"/>
        </w:rPr>
      </w:pPr>
      <w:r w:rsidRPr="00AD0B60">
        <w:rPr>
          <w:rFonts w:ascii="Times New Roman" w:hAnsi="Times New Roman"/>
          <w:lang w:val="fr-BE"/>
        </w:rPr>
        <w:t xml:space="preserve">La résolution rappelle les résultats du vote du comité permanent de la chaîne alimentaire et de la santé animale concernant le projet de décision d’exécution </w:t>
      </w:r>
      <w:r w:rsidRPr="00AD0B60">
        <w:rPr>
          <w:rFonts w:ascii="Times New Roman" w:hAnsi="Times New Roman"/>
          <w:b/>
          <w:lang w:val="fr-BE"/>
        </w:rPr>
        <w:t>(considérant S)</w:t>
      </w:r>
      <w:r w:rsidRPr="00AD0B60">
        <w:rPr>
          <w:rFonts w:ascii="Times New Roman" w:hAnsi="Times New Roman"/>
          <w:lang w:val="fr-BE"/>
        </w:rPr>
        <w:t xml:space="preserve">. Elle rappelle </w:t>
      </w:r>
      <w:r w:rsidRPr="00AD0B60">
        <w:rPr>
          <w:rFonts w:ascii="Times New Roman" w:hAnsi="Times New Roman"/>
          <w:lang w:val="fr-BE"/>
        </w:rPr>
        <w:lastRenderedPageBreak/>
        <w:t xml:space="preserve">en outre que le renvoi du dossier à la Commission pour décision finale, en raison de l’absence de soutien du comité permanent, est devenu la règle dans le processus décisionnel relatif aux autorisations de denrées alimentaires et d’aliments pour animaux génétiquement modifiés et que cette pratique n’est pas démocratique </w:t>
      </w:r>
      <w:r w:rsidRPr="00AD0B60">
        <w:rPr>
          <w:rFonts w:ascii="Times New Roman" w:hAnsi="Times New Roman"/>
          <w:b/>
          <w:lang w:val="fr-BE"/>
        </w:rPr>
        <w:t>(considérant T)</w:t>
      </w:r>
      <w:r w:rsidRPr="00AD0B60">
        <w:rPr>
          <w:rFonts w:ascii="Times New Roman" w:hAnsi="Times New Roman"/>
          <w:lang w:val="fr-BE"/>
        </w:rPr>
        <w:t xml:space="preserve">. Elle rappelle enfin que le Parlement a rejeté la proposition législative de la Commission du </w:t>
      </w:r>
      <w:r w:rsidRPr="00B70F74">
        <w:rPr>
          <w:rFonts w:ascii="Times New Roman" w:hAnsi="Times New Roman"/>
          <w:lang w:val="fr-BE"/>
        </w:rPr>
        <w:t>22</w:t>
      </w:r>
      <w:r w:rsidRPr="00AD0B60">
        <w:rPr>
          <w:rFonts w:ascii="Times New Roman" w:hAnsi="Times New Roman"/>
          <w:lang w:val="fr-BE"/>
        </w:rPr>
        <w:t> avril </w:t>
      </w:r>
      <w:r w:rsidRPr="00B70F74">
        <w:rPr>
          <w:rFonts w:ascii="Times New Roman" w:hAnsi="Times New Roman"/>
          <w:lang w:val="fr-BE"/>
        </w:rPr>
        <w:t>2015</w:t>
      </w:r>
      <w:r w:rsidRPr="00AD0B60">
        <w:rPr>
          <w:rFonts w:ascii="Times New Roman" w:hAnsi="Times New Roman"/>
          <w:lang w:val="fr-BE"/>
        </w:rPr>
        <w:t xml:space="preserve"> modifiant le règlement (CE) nº </w:t>
      </w:r>
      <w:r w:rsidRPr="00B70F74">
        <w:rPr>
          <w:rFonts w:ascii="Times New Roman" w:hAnsi="Times New Roman"/>
          <w:lang w:val="fr-BE"/>
        </w:rPr>
        <w:t>1829</w:t>
      </w:r>
      <w:r w:rsidRPr="00AD0B60">
        <w:rPr>
          <w:rFonts w:ascii="Times New Roman" w:hAnsi="Times New Roman"/>
          <w:lang w:val="fr-BE"/>
        </w:rPr>
        <w:t>/</w:t>
      </w:r>
      <w:r w:rsidRPr="00B70F74">
        <w:rPr>
          <w:rFonts w:ascii="Times New Roman" w:hAnsi="Times New Roman"/>
          <w:lang w:val="fr-BE"/>
        </w:rPr>
        <w:t>2003</w:t>
      </w:r>
      <w:r w:rsidRPr="00AD0B60">
        <w:rPr>
          <w:rFonts w:ascii="Times New Roman" w:hAnsi="Times New Roman"/>
          <w:lang w:val="fr-BE"/>
        </w:rPr>
        <w:t xml:space="preserve"> et a invité la Commission à retirer cette proposition et à en présenter une nouvelle </w:t>
      </w:r>
      <w:r w:rsidRPr="00AD0B60">
        <w:rPr>
          <w:rFonts w:ascii="Times New Roman" w:hAnsi="Times New Roman"/>
          <w:b/>
          <w:lang w:val="fr-BE"/>
        </w:rPr>
        <w:t>(considérant U)</w:t>
      </w:r>
      <w:r w:rsidRPr="00AD0B60">
        <w:rPr>
          <w:rFonts w:ascii="Times New Roman" w:hAnsi="Times New Roman"/>
          <w:lang w:val="fr-BE"/>
        </w:rPr>
        <w:t>.</w:t>
      </w:r>
    </w:p>
    <w:p w:rsidR="00353F52" w:rsidRPr="00AD0B60" w:rsidRDefault="00353F52" w:rsidP="00353F52">
      <w:pPr>
        <w:ind w:left="567" w:hanging="567"/>
        <w:rPr>
          <w:rFonts w:ascii="Times New Roman" w:hAnsi="Times New Roman"/>
          <w:b/>
          <w:color w:val="000000"/>
          <w:szCs w:val="24"/>
          <w:lang w:val="fr-BE"/>
        </w:rPr>
      </w:pPr>
      <w:r w:rsidRPr="00B70F74">
        <w:rPr>
          <w:rFonts w:ascii="Times New Roman" w:hAnsi="Times New Roman"/>
          <w:b/>
          <w:color w:val="000000"/>
          <w:lang w:val="fr-BE"/>
        </w:rPr>
        <w:t>6</w:t>
      </w:r>
      <w:r w:rsidRPr="00AD0B60">
        <w:rPr>
          <w:rFonts w:ascii="Times New Roman" w:hAnsi="Times New Roman"/>
          <w:b/>
          <w:color w:val="000000"/>
          <w:lang w:val="fr-BE"/>
        </w:rPr>
        <w:t>.</w:t>
      </w:r>
      <w:r w:rsidRPr="00AD0B60">
        <w:rPr>
          <w:lang w:val="fr-BE"/>
        </w:rPr>
        <w:tab/>
      </w:r>
      <w:r w:rsidRPr="00AD0B60">
        <w:rPr>
          <w:rFonts w:ascii="Times New Roman" w:hAnsi="Times New Roman"/>
          <w:b/>
          <w:color w:val="000000"/>
          <w:lang w:val="fr-BE"/>
        </w:rPr>
        <w:t>Réponses à ces demandes et aperçu des mesures que la Commission a prises ou envisage de prendre:</w:t>
      </w:r>
    </w:p>
    <w:p w:rsidR="00353F52" w:rsidRPr="00AD0B60" w:rsidRDefault="00353F52" w:rsidP="00353F52">
      <w:pPr>
        <w:spacing w:after="120"/>
        <w:rPr>
          <w:rFonts w:ascii="Times New Roman" w:hAnsi="Times New Roman"/>
          <w:szCs w:val="24"/>
          <w:lang w:val="fr-BE"/>
        </w:rPr>
      </w:pPr>
      <w:r w:rsidRPr="00AD0B60">
        <w:rPr>
          <w:rFonts w:ascii="Times New Roman" w:hAnsi="Times New Roman"/>
          <w:lang w:val="fr-BE"/>
        </w:rPr>
        <w:t>La Commission tient à préciser que ce projet de décision d’exécution autorise la mise sur le marché de produits contenant du maïs génétiquement modifié Bt</w:t>
      </w:r>
      <w:r w:rsidRPr="00B70F74">
        <w:rPr>
          <w:rFonts w:ascii="Times New Roman" w:hAnsi="Times New Roman"/>
          <w:lang w:val="fr-BE"/>
        </w:rPr>
        <w:t>11</w:t>
      </w:r>
      <w:r w:rsidRPr="00AD0B60">
        <w:rPr>
          <w:rFonts w:ascii="Times New Roman" w:hAnsi="Times New Roman"/>
          <w:lang w:val="fr-BE"/>
        </w:rPr>
        <w:t> × MIR</w:t>
      </w:r>
      <w:r w:rsidRPr="00B70F74">
        <w:rPr>
          <w:rFonts w:ascii="Times New Roman" w:hAnsi="Times New Roman"/>
          <w:lang w:val="fr-BE"/>
        </w:rPr>
        <w:t>162</w:t>
      </w:r>
      <w:r w:rsidRPr="00AD0B60">
        <w:rPr>
          <w:rFonts w:ascii="Times New Roman" w:hAnsi="Times New Roman"/>
          <w:lang w:val="fr-BE"/>
        </w:rPr>
        <w:t> × </w:t>
      </w:r>
      <w:r w:rsidRPr="00B70F74">
        <w:rPr>
          <w:rFonts w:ascii="Times New Roman" w:hAnsi="Times New Roman"/>
          <w:lang w:val="fr-BE"/>
        </w:rPr>
        <w:t>1507</w:t>
      </w:r>
      <w:r w:rsidRPr="00AD0B60">
        <w:rPr>
          <w:rFonts w:ascii="Times New Roman" w:hAnsi="Times New Roman"/>
          <w:lang w:val="fr-BE"/>
        </w:rPr>
        <w:t> × GA</w:t>
      </w:r>
      <w:r w:rsidRPr="00B70F74">
        <w:rPr>
          <w:rFonts w:ascii="Times New Roman" w:hAnsi="Times New Roman"/>
          <w:lang w:val="fr-BE"/>
        </w:rPr>
        <w:t>21</w:t>
      </w:r>
      <w:r w:rsidRPr="00AD0B60">
        <w:rPr>
          <w:rFonts w:ascii="Times New Roman" w:hAnsi="Times New Roman"/>
          <w:lang w:val="fr-BE"/>
        </w:rPr>
        <w:t xml:space="preserve"> et trois sous-combinaisons, consistant en ce maïs ou produits à partir de celui-ci, mais pas la culture de ce maïs.</w:t>
      </w:r>
    </w:p>
    <w:p w:rsidR="00353F52" w:rsidRPr="00AD0B60" w:rsidRDefault="00353F52" w:rsidP="00353F52">
      <w:pPr>
        <w:spacing w:after="120"/>
        <w:rPr>
          <w:rFonts w:ascii="Times New Roman" w:hAnsi="Times New Roman"/>
          <w:szCs w:val="24"/>
          <w:lang w:val="fr-BE"/>
        </w:rPr>
      </w:pPr>
      <w:r w:rsidRPr="00AD0B60">
        <w:rPr>
          <w:rFonts w:ascii="Times New Roman" w:hAnsi="Times New Roman"/>
          <w:lang w:val="fr-BE"/>
        </w:rPr>
        <w:t xml:space="preserve">En ce qui concerne les </w:t>
      </w:r>
      <w:r w:rsidRPr="00AD0B60">
        <w:rPr>
          <w:rFonts w:ascii="Times New Roman" w:hAnsi="Times New Roman"/>
          <w:b/>
          <w:lang w:val="fr-BE"/>
        </w:rPr>
        <w:t>paragraphes </w:t>
      </w:r>
      <w:r w:rsidRPr="00B70F74">
        <w:rPr>
          <w:rFonts w:ascii="Times New Roman" w:hAnsi="Times New Roman"/>
          <w:b/>
          <w:lang w:val="fr-BE"/>
        </w:rPr>
        <w:t>1</w:t>
      </w:r>
      <w:r w:rsidRPr="00AD0B60">
        <w:rPr>
          <w:rFonts w:ascii="Times New Roman" w:hAnsi="Times New Roman"/>
          <w:b/>
          <w:lang w:val="fr-BE"/>
        </w:rPr>
        <w:t xml:space="preserve"> à </w:t>
      </w:r>
      <w:r w:rsidRPr="00B70F74">
        <w:rPr>
          <w:rFonts w:ascii="Times New Roman" w:hAnsi="Times New Roman"/>
          <w:b/>
          <w:lang w:val="fr-BE"/>
        </w:rPr>
        <w:t>3</w:t>
      </w:r>
      <w:r w:rsidRPr="00AD0B60">
        <w:rPr>
          <w:rFonts w:ascii="Times New Roman" w:hAnsi="Times New Roman"/>
          <w:lang w:val="fr-BE"/>
        </w:rPr>
        <w:t xml:space="preserve"> de la résolution, la Commission tient à souligner que le parcours du projet de décision est conforme à la procédure décrite dans le règlement (UE) </w:t>
      </w:r>
      <w:r w:rsidRPr="00B70F74">
        <w:rPr>
          <w:rFonts w:ascii="Times New Roman" w:hAnsi="Times New Roman"/>
          <w:lang w:val="fr-BE"/>
        </w:rPr>
        <w:t>182</w:t>
      </w:r>
      <w:r w:rsidRPr="00AD0B60">
        <w:rPr>
          <w:rFonts w:ascii="Times New Roman" w:hAnsi="Times New Roman"/>
          <w:lang w:val="fr-BE"/>
        </w:rPr>
        <w:t>/</w:t>
      </w:r>
      <w:r w:rsidRPr="00B70F74">
        <w:rPr>
          <w:rFonts w:ascii="Times New Roman" w:hAnsi="Times New Roman"/>
          <w:lang w:val="fr-BE"/>
        </w:rPr>
        <w:t>2011</w:t>
      </w:r>
      <w:r w:rsidRPr="00AD0B60">
        <w:rPr>
          <w:rFonts w:ascii="Times New Roman" w:hAnsi="Times New Roman"/>
          <w:lang w:val="fr-BE"/>
        </w:rPr>
        <w:t xml:space="preserve"> relatif à la comitologie et dans le règlement (CE) nº </w:t>
      </w:r>
      <w:r w:rsidRPr="00B70F74">
        <w:rPr>
          <w:rFonts w:ascii="Times New Roman" w:hAnsi="Times New Roman"/>
          <w:lang w:val="fr-BE"/>
        </w:rPr>
        <w:t>1829</w:t>
      </w:r>
      <w:r w:rsidRPr="00AD0B60">
        <w:rPr>
          <w:rFonts w:ascii="Times New Roman" w:hAnsi="Times New Roman"/>
          <w:lang w:val="fr-BE"/>
        </w:rPr>
        <w:t>/</w:t>
      </w:r>
      <w:r w:rsidRPr="00B70F74">
        <w:rPr>
          <w:rFonts w:ascii="Times New Roman" w:hAnsi="Times New Roman"/>
          <w:lang w:val="fr-BE"/>
        </w:rPr>
        <w:t>2003</w:t>
      </w:r>
      <w:r w:rsidRPr="00AD0B60">
        <w:rPr>
          <w:rFonts w:ascii="Times New Roman" w:hAnsi="Times New Roman"/>
          <w:lang w:val="fr-BE"/>
        </w:rPr>
        <w:t xml:space="preserve"> concernant les denrées alimentaires et les aliments pour animaux génétiquement modifiés, comme illustré ci-dessous:</w:t>
      </w:r>
    </w:p>
    <w:p w:rsidR="00353F52" w:rsidRPr="00AD0B60" w:rsidRDefault="00353F52" w:rsidP="00353F52">
      <w:pPr>
        <w:numPr>
          <w:ilvl w:val="0"/>
          <w:numId w:val="2"/>
        </w:numPr>
        <w:spacing w:after="120"/>
        <w:rPr>
          <w:rFonts w:ascii="Times New Roman" w:hAnsi="Times New Roman"/>
          <w:szCs w:val="24"/>
          <w:lang w:val="fr-BE"/>
        </w:rPr>
      </w:pPr>
      <w:proofErr w:type="gramStart"/>
      <w:r w:rsidRPr="00AD0B60">
        <w:rPr>
          <w:rFonts w:ascii="Times New Roman" w:hAnsi="Times New Roman"/>
          <w:lang w:val="fr-BE"/>
        </w:rPr>
        <w:t>le</w:t>
      </w:r>
      <w:proofErr w:type="gramEnd"/>
      <w:r w:rsidRPr="00AD0B60">
        <w:rPr>
          <w:rFonts w:ascii="Times New Roman" w:hAnsi="Times New Roman"/>
          <w:lang w:val="fr-BE"/>
        </w:rPr>
        <w:t xml:space="preserve"> </w:t>
      </w:r>
      <w:r w:rsidRPr="00B70F74">
        <w:rPr>
          <w:rFonts w:ascii="Times New Roman" w:hAnsi="Times New Roman"/>
          <w:lang w:val="fr-BE"/>
        </w:rPr>
        <w:t>10</w:t>
      </w:r>
      <w:r w:rsidRPr="00AD0B60">
        <w:rPr>
          <w:rFonts w:ascii="Times New Roman" w:hAnsi="Times New Roman"/>
          <w:lang w:val="fr-BE"/>
        </w:rPr>
        <w:t> août </w:t>
      </w:r>
      <w:r w:rsidRPr="00B70F74">
        <w:rPr>
          <w:rFonts w:ascii="Times New Roman" w:hAnsi="Times New Roman"/>
          <w:lang w:val="fr-BE"/>
        </w:rPr>
        <w:t>2010</w:t>
      </w:r>
      <w:r w:rsidRPr="00AD0B60">
        <w:rPr>
          <w:rFonts w:ascii="Times New Roman" w:hAnsi="Times New Roman"/>
          <w:lang w:val="fr-BE"/>
        </w:rPr>
        <w:t>, une demande d’autorisation concernant l’utilisation du maïs génétiquement modifié Bt</w:t>
      </w:r>
      <w:r w:rsidRPr="00B70F74">
        <w:rPr>
          <w:rFonts w:ascii="Times New Roman" w:hAnsi="Times New Roman"/>
          <w:lang w:val="fr-BE"/>
        </w:rPr>
        <w:t>11</w:t>
      </w:r>
      <w:r w:rsidRPr="00AD0B60">
        <w:rPr>
          <w:rFonts w:ascii="Times New Roman" w:hAnsi="Times New Roman"/>
          <w:lang w:val="fr-BE"/>
        </w:rPr>
        <w:t> x MIR</w:t>
      </w:r>
      <w:r w:rsidRPr="00B70F74">
        <w:rPr>
          <w:rFonts w:ascii="Times New Roman" w:hAnsi="Times New Roman"/>
          <w:lang w:val="fr-BE"/>
        </w:rPr>
        <w:t>162</w:t>
      </w:r>
      <w:r w:rsidRPr="00AD0B60">
        <w:rPr>
          <w:rFonts w:ascii="Times New Roman" w:hAnsi="Times New Roman"/>
          <w:lang w:val="fr-BE"/>
        </w:rPr>
        <w:t> x </w:t>
      </w:r>
      <w:r w:rsidRPr="00B70F74">
        <w:rPr>
          <w:rFonts w:ascii="Times New Roman" w:hAnsi="Times New Roman"/>
          <w:lang w:val="fr-BE"/>
        </w:rPr>
        <w:t>1507</w:t>
      </w:r>
      <w:r w:rsidRPr="00AD0B60">
        <w:rPr>
          <w:rFonts w:ascii="Times New Roman" w:hAnsi="Times New Roman"/>
          <w:lang w:val="fr-BE"/>
        </w:rPr>
        <w:t> x GA</w:t>
      </w:r>
      <w:r w:rsidRPr="00B70F74">
        <w:rPr>
          <w:rFonts w:ascii="Times New Roman" w:hAnsi="Times New Roman"/>
          <w:lang w:val="fr-BE"/>
        </w:rPr>
        <w:t>21</w:t>
      </w:r>
      <w:r w:rsidRPr="00AD0B60">
        <w:rPr>
          <w:rFonts w:ascii="Times New Roman" w:hAnsi="Times New Roman"/>
          <w:lang w:val="fr-BE"/>
        </w:rPr>
        <w:t xml:space="preserve"> dans les denrées alimentaires et les aliments pour animaux dans l’UE a été introduite par </w:t>
      </w:r>
      <w:proofErr w:type="spellStart"/>
      <w:r w:rsidRPr="00AD0B60">
        <w:rPr>
          <w:rFonts w:ascii="Times New Roman" w:hAnsi="Times New Roman"/>
          <w:lang w:val="fr-BE"/>
        </w:rPr>
        <w:t>Syngenta</w:t>
      </w:r>
      <w:proofErr w:type="spellEnd"/>
      <w:r w:rsidRPr="00AD0B60">
        <w:rPr>
          <w:rFonts w:ascii="Times New Roman" w:hAnsi="Times New Roman"/>
          <w:lang w:val="fr-BE"/>
        </w:rPr>
        <w:t xml:space="preserve"> </w:t>
      </w:r>
      <w:proofErr w:type="spellStart"/>
      <w:r w:rsidRPr="00AD0B60">
        <w:rPr>
          <w:rFonts w:ascii="Times New Roman" w:hAnsi="Times New Roman"/>
          <w:lang w:val="fr-BE"/>
        </w:rPr>
        <w:t>Crop</w:t>
      </w:r>
      <w:proofErr w:type="spellEnd"/>
      <w:r w:rsidRPr="00AD0B60">
        <w:rPr>
          <w:rFonts w:ascii="Times New Roman" w:hAnsi="Times New Roman"/>
          <w:lang w:val="fr-BE"/>
        </w:rPr>
        <w:t xml:space="preserve"> Protection AG. Le demandeur a une nouvelle fois mis à jour le champ d’application pour inclure trois sous-combinaisons</w:t>
      </w:r>
      <w:r>
        <w:rPr>
          <w:rStyle w:val="FootnoteReference"/>
          <w:rFonts w:ascii="Times New Roman" w:hAnsi="Times New Roman"/>
        </w:rPr>
        <w:footnoteReference w:id="2"/>
      </w:r>
      <w:r w:rsidRPr="00AD0B60">
        <w:rPr>
          <w:rFonts w:ascii="Times New Roman" w:hAnsi="Times New Roman"/>
          <w:lang w:val="fr-BE"/>
        </w:rPr>
        <w:t xml:space="preserve"> (d’autres sous-combinaisons faisaient déjà l’objet d’autres demandes);</w:t>
      </w:r>
    </w:p>
    <w:p w:rsidR="00353F52" w:rsidRPr="00AD0B60" w:rsidRDefault="00353F52" w:rsidP="00353F52">
      <w:pPr>
        <w:numPr>
          <w:ilvl w:val="0"/>
          <w:numId w:val="2"/>
        </w:numPr>
        <w:tabs>
          <w:tab w:val="left" w:pos="567"/>
        </w:tabs>
        <w:spacing w:after="120"/>
        <w:rPr>
          <w:rFonts w:ascii="Times New Roman" w:hAnsi="Times New Roman"/>
          <w:lang w:val="fr-BE"/>
        </w:rPr>
      </w:pPr>
      <w:proofErr w:type="gramStart"/>
      <w:r w:rsidRPr="00AD0B60">
        <w:rPr>
          <w:rFonts w:ascii="Times New Roman" w:hAnsi="Times New Roman"/>
          <w:lang w:val="fr-BE"/>
        </w:rPr>
        <w:t>l’EFSA</w:t>
      </w:r>
      <w:proofErr w:type="gramEnd"/>
      <w:r w:rsidRPr="00AD0B60">
        <w:rPr>
          <w:rFonts w:ascii="Times New Roman" w:hAnsi="Times New Roman"/>
          <w:lang w:val="fr-BE"/>
        </w:rPr>
        <w:t xml:space="preserve"> a procédé à une évaluation complète des risques des produits et publié, le </w:t>
      </w:r>
      <w:r w:rsidRPr="00B70F74">
        <w:rPr>
          <w:rFonts w:ascii="Times New Roman" w:hAnsi="Times New Roman"/>
          <w:lang w:val="fr-BE"/>
        </w:rPr>
        <w:t>11</w:t>
      </w:r>
      <w:r w:rsidRPr="00AD0B60">
        <w:rPr>
          <w:rFonts w:ascii="Times New Roman" w:hAnsi="Times New Roman"/>
          <w:lang w:val="fr-BE"/>
        </w:rPr>
        <w:t> juillet </w:t>
      </w:r>
      <w:r w:rsidRPr="00B70F74">
        <w:rPr>
          <w:rFonts w:ascii="Times New Roman" w:hAnsi="Times New Roman"/>
          <w:lang w:val="fr-BE"/>
        </w:rPr>
        <w:t>2018</w:t>
      </w:r>
      <w:r w:rsidRPr="00AD0B60">
        <w:rPr>
          <w:rFonts w:ascii="Times New Roman" w:hAnsi="Times New Roman"/>
          <w:lang w:val="fr-BE"/>
        </w:rPr>
        <w:t>, un avis favorable concluant que le maïs génétiquement modifié Bt</w:t>
      </w:r>
      <w:r w:rsidRPr="00B70F74">
        <w:rPr>
          <w:rFonts w:ascii="Times New Roman" w:hAnsi="Times New Roman"/>
          <w:lang w:val="fr-BE"/>
        </w:rPr>
        <w:t>11</w:t>
      </w:r>
      <w:r w:rsidRPr="00AD0B60">
        <w:rPr>
          <w:rFonts w:ascii="Times New Roman" w:hAnsi="Times New Roman"/>
          <w:lang w:val="fr-BE"/>
        </w:rPr>
        <w:t> x MIR</w:t>
      </w:r>
      <w:r w:rsidRPr="00B70F74">
        <w:rPr>
          <w:rFonts w:ascii="Times New Roman" w:hAnsi="Times New Roman"/>
          <w:lang w:val="fr-BE"/>
        </w:rPr>
        <w:t>162</w:t>
      </w:r>
      <w:r w:rsidRPr="00AD0B60">
        <w:rPr>
          <w:rFonts w:ascii="Times New Roman" w:hAnsi="Times New Roman"/>
          <w:lang w:val="fr-BE"/>
        </w:rPr>
        <w:t> x </w:t>
      </w:r>
      <w:r w:rsidRPr="00B70F74">
        <w:rPr>
          <w:rFonts w:ascii="Times New Roman" w:hAnsi="Times New Roman"/>
          <w:lang w:val="fr-BE"/>
        </w:rPr>
        <w:t>1507</w:t>
      </w:r>
      <w:r w:rsidRPr="00AD0B60">
        <w:rPr>
          <w:rFonts w:ascii="Times New Roman" w:hAnsi="Times New Roman"/>
          <w:lang w:val="fr-BE"/>
        </w:rPr>
        <w:t> x GA</w:t>
      </w:r>
      <w:r w:rsidRPr="00B70F74">
        <w:rPr>
          <w:rFonts w:ascii="Times New Roman" w:hAnsi="Times New Roman"/>
          <w:lang w:val="fr-BE"/>
        </w:rPr>
        <w:t>21</w:t>
      </w:r>
      <w:r w:rsidRPr="00AD0B60">
        <w:rPr>
          <w:rFonts w:ascii="Times New Roman" w:hAnsi="Times New Roman"/>
          <w:lang w:val="fr-BE"/>
        </w:rPr>
        <w:t xml:space="preserve"> est aussi sûr que son homologue non génétiquement modifié et équivalent à ce dernier sur le plan nutritionnel. En ce qui concerne les trois</w:t>
      </w:r>
      <w:r w:rsidRPr="00AD0B60">
        <w:rPr>
          <w:rFonts w:ascii="Times New Roman" w:hAnsi="Times New Roman"/>
          <w:sz w:val="22"/>
          <w:lang w:val="fr-BE"/>
        </w:rPr>
        <w:t xml:space="preserve"> </w:t>
      </w:r>
      <w:r w:rsidRPr="00AD0B60">
        <w:rPr>
          <w:rFonts w:ascii="Times New Roman" w:hAnsi="Times New Roman"/>
          <w:lang w:val="fr-BE"/>
        </w:rPr>
        <w:t>sous-combinaisons, l’EFSA a conclu qu’elles devraient être aussi sûres que les quatre évènements simples Bt</w:t>
      </w:r>
      <w:r w:rsidRPr="00B70F74">
        <w:rPr>
          <w:rFonts w:ascii="Times New Roman" w:hAnsi="Times New Roman"/>
          <w:lang w:val="fr-BE"/>
        </w:rPr>
        <w:t>11</w:t>
      </w:r>
      <w:r w:rsidRPr="00AD0B60">
        <w:rPr>
          <w:rFonts w:ascii="Times New Roman" w:hAnsi="Times New Roman"/>
          <w:lang w:val="fr-BE"/>
        </w:rPr>
        <w:t>, MIR</w:t>
      </w:r>
      <w:r w:rsidRPr="00B70F74">
        <w:rPr>
          <w:rFonts w:ascii="Times New Roman" w:hAnsi="Times New Roman"/>
          <w:lang w:val="fr-BE"/>
        </w:rPr>
        <w:t>162</w:t>
      </w:r>
      <w:r w:rsidRPr="00AD0B60">
        <w:rPr>
          <w:rFonts w:ascii="Times New Roman" w:hAnsi="Times New Roman"/>
          <w:lang w:val="fr-BE"/>
        </w:rPr>
        <w:t xml:space="preserve">, </w:t>
      </w:r>
      <w:r w:rsidRPr="00B70F74">
        <w:rPr>
          <w:rFonts w:ascii="Times New Roman" w:hAnsi="Times New Roman"/>
          <w:lang w:val="fr-BE"/>
        </w:rPr>
        <w:t>1507</w:t>
      </w:r>
      <w:r w:rsidRPr="00AD0B60">
        <w:rPr>
          <w:rFonts w:ascii="Times New Roman" w:hAnsi="Times New Roman"/>
          <w:lang w:val="fr-BE"/>
        </w:rPr>
        <w:t xml:space="preserve"> et GA</w:t>
      </w:r>
      <w:r w:rsidRPr="00B70F74">
        <w:rPr>
          <w:rFonts w:ascii="Times New Roman" w:hAnsi="Times New Roman"/>
          <w:lang w:val="fr-BE"/>
        </w:rPr>
        <w:t>21</w:t>
      </w:r>
      <w:r w:rsidRPr="00AD0B60">
        <w:rPr>
          <w:rFonts w:ascii="Times New Roman" w:hAnsi="Times New Roman"/>
          <w:lang w:val="fr-BE"/>
        </w:rPr>
        <w:t>, les sous-combinaisons évaluées précédemment et le maïs issu des quatre événements empilés Bt</w:t>
      </w:r>
      <w:r w:rsidRPr="00B70F74">
        <w:rPr>
          <w:rFonts w:ascii="Times New Roman" w:hAnsi="Times New Roman"/>
          <w:lang w:val="fr-BE"/>
        </w:rPr>
        <w:t>11</w:t>
      </w:r>
      <w:r w:rsidRPr="00AD0B60">
        <w:rPr>
          <w:rFonts w:ascii="Times New Roman" w:hAnsi="Times New Roman"/>
          <w:lang w:val="fr-BE"/>
        </w:rPr>
        <w:t> x MIR</w:t>
      </w:r>
      <w:r w:rsidRPr="00B70F74">
        <w:rPr>
          <w:rFonts w:ascii="Times New Roman" w:hAnsi="Times New Roman"/>
          <w:lang w:val="fr-BE"/>
        </w:rPr>
        <w:t>162</w:t>
      </w:r>
      <w:r w:rsidRPr="00AD0B60">
        <w:rPr>
          <w:rFonts w:ascii="Times New Roman" w:hAnsi="Times New Roman"/>
          <w:lang w:val="fr-BE"/>
        </w:rPr>
        <w:t> x </w:t>
      </w:r>
      <w:r w:rsidRPr="00B70F74">
        <w:rPr>
          <w:rFonts w:ascii="Times New Roman" w:hAnsi="Times New Roman"/>
          <w:lang w:val="fr-BE"/>
        </w:rPr>
        <w:t>1507</w:t>
      </w:r>
      <w:r w:rsidRPr="00AD0B60">
        <w:rPr>
          <w:rFonts w:ascii="Times New Roman" w:hAnsi="Times New Roman"/>
          <w:lang w:val="fr-BE"/>
        </w:rPr>
        <w:t> x GA</w:t>
      </w:r>
      <w:r w:rsidRPr="00B70F74">
        <w:rPr>
          <w:rFonts w:ascii="Times New Roman" w:hAnsi="Times New Roman"/>
          <w:lang w:val="fr-BE"/>
        </w:rPr>
        <w:t>21</w:t>
      </w:r>
      <w:r w:rsidRPr="00AD0B60">
        <w:rPr>
          <w:rFonts w:ascii="Times New Roman" w:hAnsi="Times New Roman"/>
          <w:lang w:val="fr-BE"/>
        </w:rPr>
        <w:t>;</w:t>
      </w:r>
    </w:p>
    <w:p w:rsidR="00353F52" w:rsidRPr="00AD0B60" w:rsidRDefault="00353F52" w:rsidP="00353F52">
      <w:pPr>
        <w:numPr>
          <w:ilvl w:val="0"/>
          <w:numId w:val="2"/>
        </w:numPr>
        <w:spacing w:after="120"/>
        <w:rPr>
          <w:rFonts w:ascii="Times New Roman" w:hAnsi="Times New Roman"/>
          <w:szCs w:val="24"/>
          <w:lang w:val="fr-BE"/>
        </w:rPr>
      </w:pPr>
      <w:proofErr w:type="gramStart"/>
      <w:r w:rsidRPr="00AD0B60">
        <w:rPr>
          <w:rFonts w:ascii="Times New Roman" w:hAnsi="Times New Roman"/>
          <w:lang w:val="fr-BE"/>
        </w:rPr>
        <w:t>dans</w:t>
      </w:r>
      <w:proofErr w:type="gramEnd"/>
      <w:r w:rsidRPr="00AD0B60">
        <w:rPr>
          <w:rFonts w:ascii="Times New Roman" w:hAnsi="Times New Roman"/>
          <w:lang w:val="fr-BE"/>
        </w:rPr>
        <w:t xml:space="preserve"> son avis, l’EFSA a pris en considération l’ensemble des questions et préoccupations spécifiques formulées par les États membres lors de la consultation des autorités nationales compétentes, comme le prévoient l’article </w:t>
      </w:r>
      <w:r w:rsidRPr="00B70F74">
        <w:rPr>
          <w:rFonts w:ascii="Times New Roman" w:hAnsi="Times New Roman"/>
          <w:lang w:val="fr-BE"/>
        </w:rPr>
        <w:t>6</w:t>
      </w:r>
      <w:r w:rsidRPr="00AD0B60">
        <w:rPr>
          <w:rFonts w:ascii="Times New Roman" w:hAnsi="Times New Roman"/>
          <w:lang w:val="fr-BE"/>
        </w:rPr>
        <w:t>, paragraphe </w:t>
      </w:r>
      <w:r w:rsidRPr="00B70F74">
        <w:rPr>
          <w:rFonts w:ascii="Times New Roman" w:hAnsi="Times New Roman"/>
          <w:lang w:val="fr-BE"/>
        </w:rPr>
        <w:t>4</w:t>
      </w:r>
      <w:r w:rsidRPr="00AD0B60">
        <w:rPr>
          <w:rFonts w:ascii="Times New Roman" w:hAnsi="Times New Roman"/>
          <w:lang w:val="fr-BE"/>
        </w:rPr>
        <w:t>, et l’article </w:t>
      </w:r>
      <w:r w:rsidRPr="00B70F74">
        <w:rPr>
          <w:rFonts w:ascii="Times New Roman" w:hAnsi="Times New Roman"/>
          <w:lang w:val="fr-BE"/>
        </w:rPr>
        <w:t>18</w:t>
      </w:r>
      <w:r w:rsidRPr="00AD0B60">
        <w:rPr>
          <w:rFonts w:ascii="Times New Roman" w:hAnsi="Times New Roman"/>
          <w:lang w:val="fr-BE"/>
        </w:rPr>
        <w:t>, paragraphe </w:t>
      </w:r>
      <w:r w:rsidRPr="00B70F74">
        <w:rPr>
          <w:rFonts w:ascii="Times New Roman" w:hAnsi="Times New Roman"/>
          <w:lang w:val="fr-BE"/>
        </w:rPr>
        <w:t>4</w:t>
      </w:r>
      <w:r w:rsidRPr="00AD0B60">
        <w:rPr>
          <w:rFonts w:ascii="Times New Roman" w:hAnsi="Times New Roman"/>
          <w:lang w:val="fr-BE"/>
        </w:rPr>
        <w:t>, du règlement (CE) nº </w:t>
      </w:r>
      <w:r w:rsidRPr="00B70F74">
        <w:rPr>
          <w:rFonts w:ascii="Times New Roman" w:hAnsi="Times New Roman"/>
          <w:lang w:val="fr-BE"/>
        </w:rPr>
        <w:t>1829</w:t>
      </w:r>
      <w:r w:rsidRPr="00AD0B60">
        <w:rPr>
          <w:rFonts w:ascii="Times New Roman" w:hAnsi="Times New Roman"/>
          <w:lang w:val="fr-BE"/>
        </w:rPr>
        <w:t>/</w:t>
      </w:r>
      <w:r w:rsidRPr="00B70F74">
        <w:rPr>
          <w:rFonts w:ascii="Times New Roman" w:hAnsi="Times New Roman"/>
          <w:lang w:val="fr-BE"/>
        </w:rPr>
        <w:t>2003</w:t>
      </w:r>
      <w:r w:rsidRPr="00AD0B60">
        <w:rPr>
          <w:rFonts w:ascii="Times New Roman" w:hAnsi="Times New Roman"/>
          <w:lang w:val="fr-BE"/>
        </w:rPr>
        <w:t>;</w:t>
      </w:r>
    </w:p>
    <w:p w:rsidR="00353F52" w:rsidRPr="00AD0B60" w:rsidRDefault="00353F52" w:rsidP="00353F52">
      <w:pPr>
        <w:numPr>
          <w:ilvl w:val="0"/>
          <w:numId w:val="2"/>
        </w:numPr>
        <w:spacing w:after="120"/>
        <w:rPr>
          <w:rFonts w:ascii="Times New Roman" w:hAnsi="Times New Roman"/>
          <w:szCs w:val="24"/>
          <w:lang w:val="fr-BE"/>
        </w:rPr>
      </w:pPr>
      <w:r w:rsidRPr="00AD0B60">
        <w:rPr>
          <w:rFonts w:ascii="Times New Roman" w:hAnsi="Times New Roman"/>
          <w:lang w:val="fr-BE"/>
        </w:rPr>
        <w:t>le public a commenté l’avis de l’EFSA et la déclaration complémentaire, et l’EFSA a examiné tous les commentaires scientifiques qui lui ont été transmis</w:t>
      </w:r>
      <w:r>
        <w:rPr>
          <w:rStyle w:val="FootnoteReference"/>
          <w:rFonts w:ascii="Times New Roman" w:hAnsi="Times New Roman"/>
        </w:rPr>
        <w:footnoteReference w:id="3"/>
      </w:r>
      <w:r w:rsidRPr="00AD0B60">
        <w:rPr>
          <w:rFonts w:ascii="Times New Roman" w:hAnsi="Times New Roman"/>
          <w:lang w:val="fr-BE"/>
        </w:rPr>
        <w:t>;</w:t>
      </w:r>
    </w:p>
    <w:p w:rsidR="00353F52" w:rsidRPr="00AD0B60" w:rsidRDefault="00353F52" w:rsidP="00353F52">
      <w:pPr>
        <w:numPr>
          <w:ilvl w:val="0"/>
          <w:numId w:val="2"/>
        </w:numPr>
        <w:spacing w:after="120"/>
        <w:rPr>
          <w:rFonts w:ascii="Times New Roman" w:hAnsi="Times New Roman"/>
          <w:szCs w:val="24"/>
          <w:lang w:val="fr-BE"/>
        </w:rPr>
      </w:pPr>
      <w:proofErr w:type="gramStart"/>
      <w:r w:rsidRPr="00AD0B60">
        <w:rPr>
          <w:rFonts w:ascii="Times New Roman" w:hAnsi="Times New Roman"/>
          <w:lang w:val="fr-BE"/>
        </w:rPr>
        <w:t>le</w:t>
      </w:r>
      <w:proofErr w:type="gramEnd"/>
      <w:r w:rsidRPr="00AD0B60">
        <w:rPr>
          <w:rFonts w:ascii="Times New Roman" w:hAnsi="Times New Roman"/>
          <w:lang w:val="fr-BE"/>
        </w:rPr>
        <w:t xml:space="preserve"> projet de décision a été soumis au vote du comité permanent le </w:t>
      </w:r>
      <w:r w:rsidRPr="00B70F74">
        <w:rPr>
          <w:rFonts w:ascii="Times New Roman" w:hAnsi="Times New Roman"/>
          <w:lang w:val="fr-BE"/>
        </w:rPr>
        <w:t>14</w:t>
      </w:r>
      <w:r w:rsidRPr="00AD0B60">
        <w:rPr>
          <w:rFonts w:ascii="Times New Roman" w:hAnsi="Times New Roman"/>
          <w:lang w:val="fr-BE"/>
        </w:rPr>
        <w:t> janvier </w:t>
      </w:r>
      <w:r w:rsidRPr="00B70F74">
        <w:rPr>
          <w:rFonts w:ascii="Times New Roman" w:hAnsi="Times New Roman"/>
          <w:lang w:val="fr-BE"/>
        </w:rPr>
        <w:t>2019</w:t>
      </w:r>
      <w:r w:rsidRPr="00AD0B60">
        <w:rPr>
          <w:rFonts w:ascii="Times New Roman" w:hAnsi="Times New Roman"/>
          <w:lang w:val="fr-BE"/>
        </w:rPr>
        <w:t>, à l’issue duquel aucune majorité qualifiée ne s’est dégagée en faveur ou à l’encontre de la décision;</w:t>
      </w:r>
    </w:p>
    <w:p w:rsidR="00353F52" w:rsidRPr="00AD0B60" w:rsidRDefault="00353F52" w:rsidP="00353F52">
      <w:pPr>
        <w:numPr>
          <w:ilvl w:val="0"/>
          <w:numId w:val="2"/>
        </w:numPr>
        <w:spacing w:after="120"/>
        <w:rPr>
          <w:rFonts w:ascii="Times New Roman" w:hAnsi="Times New Roman"/>
          <w:szCs w:val="24"/>
          <w:lang w:val="fr-BE"/>
        </w:rPr>
      </w:pPr>
      <w:proofErr w:type="gramStart"/>
      <w:r w:rsidRPr="00AD0B60">
        <w:rPr>
          <w:rFonts w:ascii="Times New Roman" w:hAnsi="Times New Roman"/>
          <w:lang w:val="fr-BE"/>
        </w:rPr>
        <w:t>conformément</w:t>
      </w:r>
      <w:proofErr w:type="gramEnd"/>
      <w:r w:rsidRPr="00AD0B60">
        <w:rPr>
          <w:rFonts w:ascii="Times New Roman" w:hAnsi="Times New Roman"/>
          <w:lang w:val="fr-BE"/>
        </w:rPr>
        <w:t xml:space="preserve"> aux règles établies dans le règlement (UE) nº </w:t>
      </w:r>
      <w:r w:rsidRPr="00B70F74">
        <w:rPr>
          <w:rFonts w:ascii="Times New Roman" w:hAnsi="Times New Roman"/>
          <w:lang w:val="fr-BE"/>
        </w:rPr>
        <w:t>182</w:t>
      </w:r>
      <w:r w:rsidRPr="00AD0B60">
        <w:rPr>
          <w:rFonts w:ascii="Times New Roman" w:hAnsi="Times New Roman"/>
          <w:lang w:val="fr-BE"/>
        </w:rPr>
        <w:t>/</w:t>
      </w:r>
      <w:r w:rsidRPr="00B70F74">
        <w:rPr>
          <w:rFonts w:ascii="Times New Roman" w:hAnsi="Times New Roman"/>
          <w:lang w:val="fr-BE"/>
        </w:rPr>
        <w:t>2011</w:t>
      </w:r>
      <w:r w:rsidRPr="00AD0B60">
        <w:rPr>
          <w:rFonts w:ascii="Times New Roman" w:hAnsi="Times New Roman"/>
          <w:lang w:val="fr-BE"/>
        </w:rPr>
        <w:t xml:space="preserve"> relatif à la comitologie, la Commission a proposé le projet de décision au comité d’appel du </w:t>
      </w:r>
      <w:r w:rsidRPr="00B70F74">
        <w:rPr>
          <w:rFonts w:ascii="Times New Roman" w:hAnsi="Times New Roman"/>
          <w:lang w:val="fr-BE"/>
        </w:rPr>
        <w:lastRenderedPageBreak/>
        <w:t>22</w:t>
      </w:r>
      <w:r w:rsidRPr="00AD0B60">
        <w:rPr>
          <w:rFonts w:ascii="Times New Roman" w:hAnsi="Times New Roman"/>
          <w:lang w:val="fr-BE"/>
        </w:rPr>
        <w:t> février </w:t>
      </w:r>
      <w:r w:rsidRPr="00B70F74">
        <w:rPr>
          <w:rFonts w:ascii="Times New Roman" w:hAnsi="Times New Roman"/>
          <w:lang w:val="fr-BE"/>
        </w:rPr>
        <w:t>2019</w:t>
      </w:r>
      <w:r w:rsidRPr="00AD0B60">
        <w:rPr>
          <w:rFonts w:ascii="Times New Roman" w:hAnsi="Times New Roman"/>
          <w:lang w:val="fr-BE"/>
        </w:rPr>
        <w:t>. Là non plus, aucune majorité qualifiée ne s’est dégagée en faveur ou à l’encontre de la décision.</w:t>
      </w:r>
    </w:p>
    <w:p w:rsidR="00353F52" w:rsidRPr="00AD0B60" w:rsidRDefault="00353F52" w:rsidP="00353F52">
      <w:pPr>
        <w:spacing w:after="120"/>
        <w:rPr>
          <w:rFonts w:ascii="Times New Roman" w:hAnsi="Times New Roman"/>
          <w:szCs w:val="24"/>
          <w:lang w:val="fr-BE"/>
        </w:rPr>
      </w:pPr>
      <w:r w:rsidRPr="00AD0B60">
        <w:rPr>
          <w:rFonts w:ascii="Times New Roman" w:hAnsi="Times New Roman"/>
          <w:lang w:val="fr-BE"/>
        </w:rPr>
        <w:t xml:space="preserve">Aussi la Commission considère-t-elle qu’en adoptant une décision pleinement conforme à la procédure fixée par les </w:t>
      </w:r>
      <w:proofErr w:type="spellStart"/>
      <w:r w:rsidRPr="00AD0B60">
        <w:rPr>
          <w:rFonts w:ascii="Times New Roman" w:hAnsi="Times New Roman"/>
          <w:lang w:val="fr-BE"/>
        </w:rPr>
        <w:t>colégislateurs</w:t>
      </w:r>
      <w:proofErr w:type="spellEnd"/>
      <w:r w:rsidRPr="00AD0B60">
        <w:rPr>
          <w:rFonts w:ascii="Times New Roman" w:hAnsi="Times New Roman"/>
          <w:lang w:val="fr-BE"/>
        </w:rPr>
        <w:t xml:space="preserve"> dans la législation sur les OGM, elle n’excède pas ses compétences d’exécution. En conséquence, aucun motif ne justifie le retrait du projet de décision d’autorisation du maïs génétiquement modifié Bt</w:t>
      </w:r>
      <w:r w:rsidRPr="00B70F74">
        <w:rPr>
          <w:rFonts w:ascii="Times New Roman" w:hAnsi="Times New Roman"/>
          <w:lang w:val="fr-BE"/>
        </w:rPr>
        <w:t>11</w:t>
      </w:r>
      <w:r w:rsidRPr="00AD0B60">
        <w:rPr>
          <w:rFonts w:ascii="Times New Roman" w:hAnsi="Times New Roman"/>
          <w:lang w:val="fr-BE"/>
        </w:rPr>
        <w:t> × MIR</w:t>
      </w:r>
      <w:r w:rsidRPr="00B70F74">
        <w:rPr>
          <w:rFonts w:ascii="Times New Roman" w:hAnsi="Times New Roman"/>
          <w:lang w:val="fr-BE"/>
        </w:rPr>
        <w:t>162</w:t>
      </w:r>
      <w:r w:rsidRPr="00AD0B60">
        <w:rPr>
          <w:rFonts w:ascii="Times New Roman" w:hAnsi="Times New Roman"/>
          <w:lang w:val="fr-BE"/>
        </w:rPr>
        <w:t> × </w:t>
      </w:r>
      <w:r w:rsidRPr="00B70F74">
        <w:rPr>
          <w:rFonts w:ascii="Times New Roman" w:hAnsi="Times New Roman"/>
          <w:lang w:val="fr-BE"/>
        </w:rPr>
        <w:t>1507</w:t>
      </w:r>
      <w:r w:rsidRPr="00AD0B60">
        <w:rPr>
          <w:rFonts w:ascii="Times New Roman" w:hAnsi="Times New Roman"/>
          <w:lang w:val="fr-BE"/>
        </w:rPr>
        <w:t> × GA</w:t>
      </w:r>
      <w:r w:rsidRPr="00B70F74">
        <w:rPr>
          <w:rFonts w:ascii="Times New Roman" w:hAnsi="Times New Roman"/>
          <w:lang w:val="fr-BE"/>
        </w:rPr>
        <w:t>21</w:t>
      </w:r>
      <w:r w:rsidRPr="00AD0B60">
        <w:rPr>
          <w:rFonts w:ascii="Times New Roman" w:hAnsi="Times New Roman"/>
          <w:lang w:val="fr-BE"/>
        </w:rPr>
        <w:t xml:space="preserve"> et des trois sous-combinaisons. En outre, à la suite de l’introduction d’une demande et de la publication de l’avis respectif de l’EFSA, l’article </w:t>
      </w:r>
      <w:r w:rsidRPr="00B70F74">
        <w:rPr>
          <w:rFonts w:ascii="Times New Roman" w:hAnsi="Times New Roman"/>
          <w:lang w:val="fr-BE"/>
        </w:rPr>
        <w:t>7</w:t>
      </w:r>
      <w:r w:rsidRPr="00AD0B60">
        <w:rPr>
          <w:rFonts w:ascii="Times New Roman" w:hAnsi="Times New Roman"/>
          <w:lang w:val="fr-BE"/>
        </w:rPr>
        <w:t>, paragraphe </w:t>
      </w:r>
      <w:r w:rsidRPr="00B70F74">
        <w:rPr>
          <w:rFonts w:ascii="Times New Roman" w:hAnsi="Times New Roman"/>
          <w:lang w:val="fr-BE"/>
        </w:rPr>
        <w:t>3</w:t>
      </w:r>
      <w:r w:rsidRPr="00AD0B60">
        <w:rPr>
          <w:rFonts w:ascii="Times New Roman" w:hAnsi="Times New Roman"/>
          <w:lang w:val="fr-BE"/>
        </w:rPr>
        <w:t>, et l’article </w:t>
      </w:r>
      <w:r w:rsidRPr="00B70F74">
        <w:rPr>
          <w:rFonts w:ascii="Times New Roman" w:hAnsi="Times New Roman"/>
          <w:lang w:val="fr-BE"/>
        </w:rPr>
        <w:t>19</w:t>
      </w:r>
      <w:r w:rsidRPr="00AD0B60">
        <w:rPr>
          <w:rFonts w:ascii="Times New Roman" w:hAnsi="Times New Roman"/>
          <w:lang w:val="fr-BE"/>
        </w:rPr>
        <w:t>, paragraphe </w:t>
      </w:r>
      <w:r w:rsidRPr="00B70F74">
        <w:rPr>
          <w:rFonts w:ascii="Times New Roman" w:hAnsi="Times New Roman"/>
          <w:lang w:val="fr-BE"/>
        </w:rPr>
        <w:t>3</w:t>
      </w:r>
      <w:r w:rsidRPr="00AD0B60">
        <w:rPr>
          <w:rFonts w:ascii="Times New Roman" w:hAnsi="Times New Roman"/>
          <w:lang w:val="fr-BE"/>
        </w:rPr>
        <w:t>, du règlement (CE) nº </w:t>
      </w:r>
      <w:r w:rsidRPr="00B70F74">
        <w:rPr>
          <w:rFonts w:ascii="Times New Roman" w:hAnsi="Times New Roman"/>
          <w:lang w:val="fr-BE"/>
        </w:rPr>
        <w:t>1829</w:t>
      </w:r>
      <w:r w:rsidRPr="00AD0B60">
        <w:rPr>
          <w:rFonts w:ascii="Times New Roman" w:hAnsi="Times New Roman"/>
          <w:lang w:val="fr-BE"/>
        </w:rPr>
        <w:t>/</w:t>
      </w:r>
      <w:r w:rsidRPr="00B70F74">
        <w:rPr>
          <w:rFonts w:ascii="Times New Roman" w:hAnsi="Times New Roman"/>
          <w:lang w:val="fr-BE"/>
        </w:rPr>
        <w:t>2003</w:t>
      </w:r>
      <w:r w:rsidRPr="00AD0B60">
        <w:rPr>
          <w:rFonts w:ascii="Times New Roman" w:hAnsi="Times New Roman"/>
          <w:lang w:val="fr-BE"/>
        </w:rPr>
        <w:t xml:space="preserve"> imposent à la Commission d’agir, en l’occurrence d’adopter une décision finale concernant la demande.</w:t>
      </w:r>
    </w:p>
    <w:p w:rsidR="00353F52" w:rsidRPr="00AD0B60" w:rsidRDefault="00353F52" w:rsidP="00353F52">
      <w:pPr>
        <w:spacing w:after="120"/>
        <w:rPr>
          <w:rFonts w:ascii="Times New Roman" w:hAnsi="Times New Roman"/>
          <w:szCs w:val="24"/>
          <w:lang w:val="fr-BE"/>
        </w:rPr>
      </w:pPr>
      <w:r w:rsidRPr="00AD0B60">
        <w:rPr>
          <w:rFonts w:ascii="Times New Roman" w:hAnsi="Times New Roman"/>
          <w:lang w:val="fr-BE"/>
        </w:rPr>
        <w:t xml:space="preserve">Lors de la réunion de la commission de l’environnement, de la santé publique et de la sécurité alimentaire du Parlement européen du mercredi </w:t>
      </w:r>
      <w:r w:rsidRPr="00B70F74">
        <w:rPr>
          <w:rFonts w:ascii="Times New Roman" w:hAnsi="Times New Roman"/>
          <w:lang w:val="fr-BE"/>
        </w:rPr>
        <w:t>20</w:t>
      </w:r>
      <w:r w:rsidRPr="00AD0B60">
        <w:rPr>
          <w:rFonts w:ascii="Times New Roman" w:hAnsi="Times New Roman"/>
          <w:lang w:val="fr-BE"/>
        </w:rPr>
        <w:t> février </w:t>
      </w:r>
      <w:r w:rsidRPr="00B70F74">
        <w:rPr>
          <w:rFonts w:ascii="Times New Roman" w:hAnsi="Times New Roman"/>
          <w:lang w:val="fr-BE"/>
        </w:rPr>
        <w:t>2019</w:t>
      </w:r>
      <w:r w:rsidRPr="00AD0B60">
        <w:rPr>
          <w:rFonts w:ascii="Times New Roman" w:hAnsi="Times New Roman"/>
          <w:lang w:val="fr-BE"/>
        </w:rPr>
        <w:t>, la Commission a longuement expliqué l’état d’avancement de la procédure d’autorisation et en quoi elle n’était pas allée au-delà de ses compétences d’exécution.</w:t>
      </w:r>
    </w:p>
    <w:p w:rsidR="00353F52" w:rsidRPr="00AD0B60" w:rsidRDefault="00353F52" w:rsidP="00353F52">
      <w:pPr>
        <w:spacing w:after="120"/>
        <w:rPr>
          <w:rFonts w:ascii="Times New Roman" w:hAnsi="Times New Roman"/>
          <w:szCs w:val="24"/>
          <w:lang w:val="fr-BE"/>
        </w:rPr>
      </w:pPr>
      <w:r w:rsidRPr="00AD0B60">
        <w:rPr>
          <w:rFonts w:ascii="Times New Roman" w:hAnsi="Times New Roman"/>
          <w:lang w:val="fr-BE"/>
        </w:rPr>
        <w:t xml:space="preserve">En ce qui concerne les </w:t>
      </w:r>
      <w:r w:rsidRPr="00AD0B60">
        <w:rPr>
          <w:rFonts w:ascii="Times New Roman" w:hAnsi="Times New Roman"/>
          <w:b/>
          <w:lang w:val="fr-BE"/>
        </w:rPr>
        <w:t>autres dispositions de la résolution</w:t>
      </w:r>
      <w:r w:rsidRPr="00AD0B60">
        <w:rPr>
          <w:rFonts w:ascii="Times New Roman" w:hAnsi="Times New Roman"/>
          <w:lang w:val="fr-BE"/>
        </w:rPr>
        <w:t>, la Commission estime qu’elles ne relèvent pas du droit de regard, qui se limite à la question de savoir si le projet d’acte d’exécution va au-delà des compétences d’exécution prévues dans l’acte de base. La Commission n’est pas tenue de justifier ces points précis du projet d’acte d’exécution. Néanmoins, la Commission a examiné avec attention les positions exprimées par le Parlement européen et souhaite formuler les commentaires suivants:</w:t>
      </w:r>
    </w:p>
    <w:p w:rsidR="00353F52" w:rsidRPr="00AD0B60" w:rsidRDefault="00353F52" w:rsidP="00353F52">
      <w:pPr>
        <w:pStyle w:val="ListBullet"/>
        <w:numPr>
          <w:ilvl w:val="0"/>
          <w:numId w:val="3"/>
        </w:numPr>
        <w:spacing w:after="120"/>
        <w:ind w:left="1080"/>
        <w:rPr>
          <w:rFonts w:ascii="Times New Roman" w:hAnsi="Times New Roman"/>
          <w:szCs w:val="24"/>
          <w:lang w:val="fr-BE"/>
        </w:rPr>
      </w:pPr>
      <w:r w:rsidRPr="00AD0B60">
        <w:rPr>
          <w:rFonts w:ascii="Times New Roman" w:hAnsi="Times New Roman"/>
          <w:lang w:val="fr-BE"/>
        </w:rPr>
        <w:t xml:space="preserve">en ce qui concerne le </w:t>
      </w:r>
      <w:r w:rsidRPr="00AD0B60">
        <w:rPr>
          <w:rFonts w:ascii="Times New Roman" w:hAnsi="Times New Roman"/>
          <w:b/>
          <w:lang w:val="fr-BE"/>
        </w:rPr>
        <w:t>considérant D</w:t>
      </w:r>
      <w:r w:rsidRPr="00AD0B60">
        <w:rPr>
          <w:rFonts w:ascii="Times New Roman" w:hAnsi="Times New Roman"/>
          <w:lang w:val="fr-BE"/>
        </w:rPr>
        <w:t xml:space="preserve"> et les inquiétudes liées à l’avis minoritaire exprimé par un membre du groupe scientifique de l’EFSA sur les organismes génétiquement modifiés (</w:t>
      </w:r>
      <w:r w:rsidRPr="00AD0B60">
        <w:rPr>
          <w:rFonts w:ascii="Times New Roman" w:hAnsi="Times New Roman"/>
          <w:b/>
          <w:lang w:val="fr-BE"/>
        </w:rPr>
        <w:t>considérants F à I</w:t>
      </w:r>
      <w:r w:rsidRPr="00AD0B60">
        <w:rPr>
          <w:rFonts w:ascii="Times New Roman" w:hAnsi="Times New Roman"/>
          <w:lang w:val="fr-BE"/>
        </w:rPr>
        <w:t>) au sujet des trois sous-combinaisons pour lesquelles aucune donnée spécifique n’a été fournie, l’ensemble des autres membres du groupe scientifique de l’EFSA sur les organismes génétiquement modifiés n’ont pas approuvé l’avis divergent et sont arrivés à des conclusions positives sur les trois sous-combinaisons en recourant à une approche fondée sur la valeur probante, sur la base de l’évaluation i) des quatre éléments empilés (avec toutes les protéines) et ii) d’autres sous-combinaisons pour lesquelles aucune interaction entre les protéines n’a été observée. Une vision globale des arguments et références utilisés par le groupe sur les organismes génétiquement modifiés pour tirer des conclusions au sujet de ces sous-combinaisons et le débat qui s’est tenu figurent dans le procès-verbal de la réunion plénière du groupe sur les organismes génétiquement modifiés lors de laquelle l’avis scientifique lié à cette demande a été adopté;</w:t>
      </w:r>
    </w:p>
    <w:p w:rsidR="00353F52" w:rsidRPr="00AD0B60" w:rsidRDefault="00353F52" w:rsidP="00353F52">
      <w:pPr>
        <w:numPr>
          <w:ilvl w:val="0"/>
          <w:numId w:val="3"/>
        </w:numPr>
        <w:spacing w:after="120"/>
        <w:ind w:left="1080"/>
        <w:rPr>
          <w:rFonts w:ascii="Times New Roman" w:hAnsi="Times New Roman"/>
          <w:szCs w:val="24"/>
          <w:lang w:val="fr-BE"/>
        </w:rPr>
      </w:pPr>
      <w:proofErr w:type="gramStart"/>
      <w:r w:rsidRPr="00AD0B60">
        <w:rPr>
          <w:rFonts w:ascii="Times New Roman" w:hAnsi="Times New Roman"/>
          <w:lang w:val="fr-BE"/>
        </w:rPr>
        <w:t>en</w:t>
      </w:r>
      <w:proofErr w:type="gramEnd"/>
      <w:r w:rsidRPr="00AD0B60">
        <w:rPr>
          <w:rFonts w:ascii="Times New Roman" w:hAnsi="Times New Roman"/>
          <w:lang w:val="fr-BE"/>
        </w:rPr>
        <w:t xml:space="preserve"> ce qui concerne les craintes spécifiques soulevées dans les </w:t>
      </w:r>
      <w:r w:rsidRPr="00AD0B60">
        <w:rPr>
          <w:rFonts w:ascii="Times New Roman" w:hAnsi="Times New Roman"/>
          <w:b/>
          <w:lang w:val="fr-BE"/>
        </w:rPr>
        <w:t>considérants K à N</w:t>
      </w:r>
      <w:r w:rsidRPr="00AD0B60">
        <w:rPr>
          <w:rFonts w:ascii="Times New Roman" w:hAnsi="Times New Roman"/>
          <w:lang w:val="fr-BE"/>
        </w:rPr>
        <w:t xml:space="preserve"> de la résolution, la Commission tient à souligner que l’évaluation des risques menée dans le cadre d’une demande d’utilisation de cultures génétiquement modifiées tolérantes aux herbicides dans les denrées alimentaires et les aliments pour animaux cible essentiellement les effets potentiels de la modification génétique sur la santé humaine et animale et sur l’environnement. L’évaluation des risques et l’autorisation des herbicides sont soumises aux procédures définies dans le règlement (CE) nº </w:t>
      </w:r>
      <w:r w:rsidRPr="00B70F74">
        <w:rPr>
          <w:rFonts w:ascii="Times New Roman" w:hAnsi="Times New Roman"/>
          <w:lang w:val="fr-BE"/>
        </w:rPr>
        <w:t>1107</w:t>
      </w:r>
      <w:r w:rsidRPr="00AD0B60">
        <w:rPr>
          <w:rFonts w:ascii="Times New Roman" w:hAnsi="Times New Roman"/>
          <w:lang w:val="fr-BE"/>
        </w:rPr>
        <w:t>/</w:t>
      </w:r>
      <w:r w:rsidRPr="00B70F74">
        <w:rPr>
          <w:rFonts w:ascii="Times New Roman" w:hAnsi="Times New Roman"/>
          <w:lang w:val="fr-BE"/>
        </w:rPr>
        <w:t>2009</w:t>
      </w:r>
      <w:r w:rsidRPr="00AD0B60">
        <w:rPr>
          <w:rFonts w:ascii="Times New Roman" w:hAnsi="Times New Roman"/>
          <w:lang w:val="fr-BE"/>
        </w:rPr>
        <w:t>, et les limites maximales applicables aux résidus (LMR) sont établies conformément au règlement (CE) nº </w:t>
      </w:r>
      <w:r w:rsidRPr="00B70F74">
        <w:rPr>
          <w:rFonts w:ascii="Times New Roman" w:hAnsi="Times New Roman"/>
          <w:lang w:val="fr-BE"/>
        </w:rPr>
        <w:t>396</w:t>
      </w:r>
      <w:r w:rsidRPr="00AD0B60">
        <w:rPr>
          <w:rFonts w:ascii="Times New Roman" w:hAnsi="Times New Roman"/>
          <w:lang w:val="fr-BE"/>
        </w:rPr>
        <w:t>/</w:t>
      </w:r>
      <w:r w:rsidRPr="00B70F74">
        <w:rPr>
          <w:rFonts w:ascii="Times New Roman" w:hAnsi="Times New Roman"/>
          <w:lang w:val="fr-BE"/>
        </w:rPr>
        <w:t>2005</w:t>
      </w:r>
      <w:r w:rsidRPr="00AD0B60">
        <w:rPr>
          <w:rFonts w:ascii="Times New Roman" w:hAnsi="Times New Roman"/>
          <w:lang w:val="fr-BE"/>
        </w:rPr>
        <w:t>;</w:t>
      </w:r>
    </w:p>
    <w:p w:rsidR="00353F52" w:rsidRPr="00AD0B60" w:rsidRDefault="00353F52" w:rsidP="00353F52">
      <w:pPr>
        <w:numPr>
          <w:ilvl w:val="0"/>
          <w:numId w:val="3"/>
        </w:numPr>
        <w:spacing w:after="120"/>
        <w:ind w:left="1080"/>
        <w:rPr>
          <w:rFonts w:ascii="Times New Roman" w:hAnsi="Times New Roman"/>
          <w:szCs w:val="24"/>
          <w:lang w:val="fr-BE"/>
        </w:rPr>
      </w:pPr>
      <w:proofErr w:type="gramStart"/>
      <w:r w:rsidRPr="00AD0B60">
        <w:rPr>
          <w:rFonts w:ascii="Times New Roman" w:hAnsi="Times New Roman"/>
          <w:lang w:val="fr-BE"/>
        </w:rPr>
        <w:t>concernant</w:t>
      </w:r>
      <w:proofErr w:type="gramEnd"/>
      <w:r w:rsidRPr="00AD0B60">
        <w:rPr>
          <w:rFonts w:ascii="Times New Roman" w:hAnsi="Times New Roman"/>
          <w:lang w:val="fr-BE"/>
        </w:rPr>
        <w:t xml:space="preserve"> les </w:t>
      </w:r>
      <w:r w:rsidRPr="00AD0B60">
        <w:rPr>
          <w:rFonts w:ascii="Times New Roman" w:hAnsi="Times New Roman"/>
          <w:b/>
          <w:lang w:val="fr-BE"/>
        </w:rPr>
        <w:t>considérants O, P et Q</w:t>
      </w:r>
      <w:r w:rsidRPr="00AD0B60">
        <w:rPr>
          <w:rFonts w:ascii="Times New Roman" w:hAnsi="Times New Roman"/>
          <w:lang w:val="fr-BE"/>
        </w:rPr>
        <w:t xml:space="preserve">, la Commission souhaite rappeler que, pendant l’évaluation des risques, les cultures génétiquement modifiées tolérantes aux herbicides pulvérisées à l’aide du ou des herbicides visés font l’objet d’une analyse et d’un contrôle visant à déterminer les effets souhaités et non souhaités </w:t>
      </w:r>
      <w:r w:rsidRPr="00AD0B60">
        <w:rPr>
          <w:rFonts w:ascii="Times New Roman" w:hAnsi="Times New Roman"/>
          <w:lang w:val="fr-BE"/>
        </w:rPr>
        <w:lastRenderedPageBreak/>
        <w:t>concernant la composition ainsi que les caractéristiques agronomiques et phénotypiques;</w:t>
      </w:r>
    </w:p>
    <w:p w:rsidR="00353F52" w:rsidRPr="00AD0B60" w:rsidRDefault="00353F52" w:rsidP="00353F52">
      <w:pPr>
        <w:numPr>
          <w:ilvl w:val="0"/>
          <w:numId w:val="3"/>
        </w:numPr>
        <w:spacing w:after="120"/>
        <w:ind w:left="1080"/>
        <w:rPr>
          <w:rFonts w:ascii="Times New Roman" w:hAnsi="Times New Roman"/>
          <w:sz w:val="22"/>
          <w:lang w:val="fr-BE"/>
        </w:rPr>
      </w:pPr>
      <w:proofErr w:type="gramStart"/>
      <w:r w:rsidRPr="00AD0B60">
        <w:rPr>
          <w:rFonts w:ascii="Times New Roman" w:hAnsi="Times New Roman"/>
          <w:lang w:val="fr-BE"/>
        </w:rPr>
        <w:t>en</w:t>
      </w:r>
      <w:proofErr w:type="gramEnd"/>
      <w:r w:rsidRPr="00AD0B60">
        <w:rPr>
          <w:rFonts w:ascii="Times New Roman" w:hAnsi="Times New Roman"/>
          <w:lang w:val="fr-BE"/>
        </w:rPr>
        <w:t xml:space="preserve"> ce qui concerne la préoccupation spécifique soulevée dans le </w:t>
      </w:r>
      <w:r w:rsidRPr="00AD0B60">
        <w:rPr>
          <w:rFonts w:ascii="Times New Roman" w:hAnsi="Times New Roman"/>
          <w:b/>
          <w:lang w:val="fr-BE"/>
        </w:rPr>
        <w:t>considérant R</w:t>
      </w:r>
      <w:r w:rsidRPr="00AD0B60">
        <w:rPr>
          <w:rFonts w:ascii="Times New Roman" w:hAnsi="Times New Roman"/>
          <w:lang w:val="fr-BE"/>
        </w:rPr>
        <w:t>, la Commission tient à mentionner qu’outre le programme pluriannuel de contrôle coordonné de l’Union relatif aux résidus de pesticides, prévu par l’article </w:t>
      </w:r>
      <w:r w:rsidRPr="00B70F74">
        <w:rPr>
          <w:rFonts w:ascii="Times New Roman" w:hAnsi="Times New Roman"/>
          <w:lang w:val="fr-BE"/>
        </w:rPr>
        <w:t>29</w:t>
      </w:r>
      <w:r w:rsidRPr="00AD0B60">
        <w:rPr>
          <w:rFonts w:ascii="Times New Roman" w:hAnsi="Times New Roman"/>
          <w:lang w:val="fr-BE"/>
        </w:rPr>
        <w:t xml:space="preserve"> du règlement (CE) nº </w:t>
      </w:r>
      <w:r w:rsidRPr="00B70F74">
        <w:rPr>
          <w:rFonts w:ascii="Times New Roman" w:hAnsi="Times New Roman"/>
          <w:lang w:val="fr-BE"/>
        </w:rPr>
        <w:t>396</w:t>
      </w:r>
      <w:r w:rsidRPr="00AD0B60">
        <w:rPr>
          <w:rFonts w:ascii="Times New Roman" w:hAnsi="Times New Roman"/>
          <w:lang w:val="fr-BE"/>
        </w:rPr>
        <w:t>/</w:t>
      </w:r>
      <w:r w:rsidRPr="00B70F74">
        <w:rPr>
          <w:rFonts w:ascii="Times New Roman" w:hAnsi="Times New Roman"/>
          <w:lang w:val="fr-BE"/>
        </w:rPr>
        <w:t>2005</w:t>
      </w:r>
      <w:r w:rsidRPr="00AD0B60">
        <w:rPr>
          <w:rFonts w:ascii="Times New Roman" w:hAnsi="Times New Roman"/>
          <w:lang w:val="fr-BE"/>
        </w:rPr>
        <w:t>, et comme le prévoit l’article </w:t>
      </w:r>
      <w:r w:rsidRPr="00B70F74">
        <w:rPr>
          <w:rFonts w:ascii="Times New Roman" w:hAnsi="Times New Roman"/>
          <w:lang w:val="fr-BE"/>
        </w:rPr>
        <w:t>15</w:t>
      </w:r>
      <w:r w:rsidRPr="00AD0B60">
        <w:rPr>
          <w:rFonts w:ascii="Times New Roman" w:hAnsi="Times New Roman"/>
          <w:lang w:val="fr-BE"/>
        </w:rPr>
        <w:t>, paragraphe </w:t>
      </w:r>
      <w:r w:rsidRPr="00B70F74">
        <w:rPr>
          <w:rFonts w:ascii="Times New Roman" w:hAnsi="Times New Roman"/>
          <w:lang w:val="fr-BE"/>
        </w:rPr>
        <w:t>1</w:t>
      </w:r>
      <w:r w:rsidRPr="00AD0B60">
        <w:rPr>
          <w:rFonts w:ascii="Times New Roman" w:hAnsi="Times New Roman"/>
          <w:lang w:val="fr-BE"/>
        </w:rPr>
        <w:t>, du règlement (CE) nº </w:t>
      </w:r>
      <w:r w:rsidRPr="00B70F74">
        <w:rPr>
          <w:rFonts w:ascii="Times New Roman" w:hAnsi="Times New Roman"/>
          <w:lang w:val="fr-BE"/>
        </w:rPr>
        <w:t>882</w:t>
      </w:r>
      <w:r w:rsidRPr="00AD0B60">
        <w:rPr>
          <w:rFonts w:ascii="Times New Roman" w:hAnsi="Times New Roman"/>
          <w:lang w:val="fr-BE"/>
        </w:rPr>
        <w:t>/</w:t>
      </w:r>
      <w:r w:rsidRPr="00B70F74">
        <w:rPr>
          <w:rFonts w:ascii="Times New Roman" w:hAnsi="Times New Roman"/>
          <w:lang w:val="fr-BE"/>
        </w:rPr>
        <w:t>2004</w:t>
      </w:r>
      <w:r w:rsidRPr="00AD0B60">
        <w:rPr>
          <w:rFonts w:ascii="Times New Roman" w:hAnsi="Times New Roman"/>
          <w:lang w:val="fr-BE"/>
        </w:rPr>
        <w:t>, les États membres sont également tenus d’établir des plans nationaux de contrôle pluriannuels. Il appartient donc aux États membres d’évaluer le risque potentiel de ces herbicides sur le maïs importé et d’établir leur plan national de contrôle en conséquence;</w:t>
      </w:r>
    </w:p>
    <w:p w:rsidR="00353F52" w:rsidRPr="00AD0B60" w:rsidRDefault="00353F52" w:rsidP="00353F52">
      <w:pPr>
        <w:numPr>
          <w:ilvl w:val="0"/>
          <w:numId w:val="3"/>
        </w:numPr>
        <w:spacing w:after="120"/>
        <w:ind w:left="1080"/>
        <w:rPr>
          <w:rFonts w:ascii="Times New Roman" w:hAnsi="Times New Roman"/>
          <w:szCs w:val="24"/>
          <w:lang w:val="fr-BE"/>
        </w:rPr>
      </w:pPr>
      <w:r w:rsidRPr="00AD0B60">
        <w:rPr>
          <w:rFonts w:ascii="Times New Roman" w:hAnsi="Times New Roman"/>
          <w:lang w:val="fr-BE"/>
        </w:rPr>
        <w:t xml:space="preserve">en ce qui concerne les commentaires figurant dans le </w:t>
      </w:r>
      <w:r w:rsidRPr="00AD0B60">
        <w:rPr>
          <w:rFonts w:ascii="Times New Roman" w:hAnsi="Times New Roman"/>
          <w:b/>
          <w:lang w:val="fr-BE"/>
        </w:rPr>
        <w:t>considérant U</w:t>
      </w:r>
      <w:r w:rsidRPr="00AD0B60">
        <w:rPr>
          <w:rFonts w:ascii="Times New Roman" w:hAnsi="Times New Roman"/>
          <w:lang w:val="fr-BE"/>
        </w:rPr>
        <w:t xml:space="preserve"> et ayant trait à la proposition législative de la Commission visant à modifier le règlement (CE) nº </w:t>
      </w:r>
      <w:r w:rsidRPr="00B70F74">
        <w:rPr>
          <w:rFonts w:ascii="Times New Roman" w:hAnsi="Times New Roman"/>
          <w:lang w:val="fr-BE"/>
        </w:rPr>
        <w:t>1829</w:t>
      </w:r>
      <w:r w:rsidRPr="00AD0B60">
        <w:rPr>
          <w:rFonts w:ascii="Times New Roman" w:hAnsi="Times New Roman"/>
          <w:lang w:val="fr-BE"/>
        </w:rPr>
        <w:t>/</w:t>
      </w:r>
      <w:r w:rsidRPr="00B70F74">
        <w:rPr>
          <w:rFonts w:ascii="Times New Roman" w:hAnsi="Times New Roman"/>
          <w:lang w:val="fr-BE"/>
        </w:rPr>
        <w:t>2003</w:t>
      </w:r>
      <w:r w:rsidRPr="00AD0B60">
        <w:rPr>
          <w:rFonts w:ascii="Times New Roman" w:hAnsi="Times New Roman"/>
          <w:lang w:val="fr-BE"/>
        </w:rPr>
        <w:t xml:space="preserve"> en ce qui concerne la possibilité pour les États membres de restreindre ou d’interdire sur leur territoire l’utilisation de denrées alimentaires et d’aliments pour animaux génétiquement modifiés, la Commission souhaite rappeler qu’elle déplore la décision du Parlement européen du </w:t>
      </w:r>
      <w:r w:rsidRPr="00B70F74">
        <w:rPr>
          <w:rFonts w:ascii="Times New Roman" w:hAnsi="Times New Roman"/>
          <w:lang w:val="fr-BE"/>
        </w:rPr>
        <w:t>28</w:t>
      </w:r>
      <w:r w:rsidRPr="00AD0B60">
        <w:rPr>
          <w:rFonts w:ascii="Times New Roman" w:hAnsi="Times New Roman"/>
          <w:lang w:val="fr-BE"/>
        </w:rPr>
        <w:t> octobre </w:t>
      </w:r>
      <w:r w:rsidRPr="00B70F74">
        <w:rPr>
          <w:rFonts w:ascii="Times New Roman" w:hAnsi="Times New Roman"/>
          <w:lang w:val="fr-BE"/>
        </w:rPr>
        <w:t>2015</w:t>
      </w:r>
      <w:r w:rsidRPr="00AD0B60">
        <w:rPr>
          <w:rFonts w:ascii="Times New Roman" w:hAnsi="Times New Roman"/>
          <w:lang w:val="fr-BE"/>
        </w:rPr>
        <w:t xml:space="preserve"> rejetant ladite proposition. La Commission maintient sa proposition originale qui, si elle était adoptée, permettrait aux États membres de répondre au niveau national à des considérations qui ne sont pas couvertes par le processus de prise de décision de l’Union;</w:t>
      </w:r>
    </w:p>
    <w:p w:rsidR="00353F52" w:rsidRPr="00AD0B60" w:rsidRDefault="00353F52" w:rsidP="00353F52">
      <w:pPr>
        <w:numPr>
          <w:ilvl w:val="0"/>
          <w:numId w:val="3"/>
        </w:numPr>
        <w:spacing w:after="120"/>
        <w:ind w:left="1080"/>
        <w:rPr>
          <w:rFonts w:ascii="Times New Roman" w:hAnsi="Times New Roman"/>
          <w:szCs w:val="24"/>
          <w:lang w:val="fr-BE"/>
        </w:rPr>
      </w:pPr>
      <w:proofErr w:type="gramStart"/>
      <w:r w:rsidRPr="00AD0B60">
        <w:rPr>
          <w:rFonts w:ascii="Times New Roman" w:hAnsi="Times New Roman"/>
          <w:lang w:val="fr-BE"/>
        </w:rPr>
        <w:t>en</w:t>
      </w:r>
      <w:proofErr w:type="gramEnd"/>
      <w:r w:rsidRPr="00AD0B60">
        <w:rPr>
          <w:rFonts w:ascii="Times New Roman" w:hAnsi="Times New Roman"/>
          <w:lang w:val="fr-BE"/>
        </w:rPr>
        <w:t xml:space="preserve"> outre, en ce qui concerne le manque de soutien des États membres en faveur des décisions d’autorisation d’OGM pour l’alimentation humaine et animale </w:t>
      </w:r>
      <w:r w:rsidRPr="00AD0B60">
        <w:rPr>
          <w:rFonts w:ascii="Times New Roman" w:hAnsi="Times New Roman"/>
          <w:b/>
          <w:lang w:val="fr-BE"/>
        </w:rPr>
        <w:t>(considérant T)</w:t>
      </w:r>
      <w:r w:rsidRPr="00AD0B60">
        <w:rPr>
          <w:rFonts w:ascii="Times New Roman" w:hAnsi="Times New Roman"/>
          <w:lang w:val="fr-BE"/>
        </w:rPr>
        <w:t xml:space="preserve">, la Commission a présenté au Conseil et au Parlement européen, le </w:t>
      </w:r>
      <w:r w:rsidRPr="00B70F74">
        <w:rPr>
          <w:rFonts w:ascii="Times New Roman" w:hAnsi="Times New Roman"/>
          <w:lang w:val="fr-BE"/>
        </w:rPr>
        <w:t>14</w:t>
      </w:r>
      <w:r w:rsidRPr="00AD0B60">
        <w:rPr>
          <w:rFonts w:ascii="Times New Roman" w:hAnsi="Times New Roman"/>
          <w:lang w:val="fr-BE"/>
        </w:rPr>
        <w:t> février </w:t>
      </w:r>
      <w:r w:rsidRPr="00B70F74">
        <w:rPr>
          <w:rFonts w:ascii="Times New Roman" w:hAnsi="Times New Roman"/>
          <w:lang w:val="fr-BE"/>
        </w:rPr>
        <w:t>2017</w:t>
      </w:r>
      <w:r w:rsidRPr="00AD0B60">
        <w:rPr>
          <w:rFonts w:ascii="Times New Roman" w:hAnsi="Times New Roman"/>
          <w:lang w:val="fr-BE"/>
        </w:rPr>
        <w:t xml:space="preserve">, une proposition visant à modifier les règles de vote du comité d’appel, qui, si elle était adoptée par les </w:t>
      </w:r>
      <w:proofErr w:type="spellStart"/>
      <w:r w:rsidRPr="00AD0B60">
        <w:rPr>
          <w:rFonts w:ascii="Times New Roman" w:hAnsi="Times New Roman"/>
          <w:lang w:val="fr-BE"/>
        </w:rPr>
        <w:t>colégislateurs</w:t>
      </w:r>
      <w:proofErr w:type="spellEnd"/>
      <w:r w:rsidRPr="00AD0B60">
        <w:rPr>
          <w:rFonts w:ascii="Times New Roman" w:hAnsi="Times New Roman"/>
          <w:lang w:val="fr-BE"/>
        </w:rPr>
        <w:t>, renforcerait la transparence et la responsabilité dans le processus de prise de décision relatif aux OGM;</w:t>
      </w:r>
    </w:p>
    <w:p w:rsidR="00353F52" w:rsidRPr="00AD0B60" w:rsidRDefault="00353F52" w:rsidP="00353F52">
      <w:pPr>
        <w:pStyle w:val="ListBullet"/>
        <w:numPr>
          <w:ilvl w:val="0"/>
          <w:numId w:val="3"/>
        </w:numPr>
        <w:spacing w:after="120"/>
        <w:ind w:left="1080"/>
        <w:rPr>
          <w:rFonts w:ascii="Times New Roman" w:hAnsi="Times New Roman"/>
          <w:szCs w:val="24"/>
          <w:lang w:val="fr-BE"/>
        </w:rPr>
      </w:pPr>
      <w:proofErr w:type="gramStart"/>
      <w:r w:rsidRPr="00AD0B60">
        <w:rPr>
          <w:rFonts w:ascii="Times New Roman" w:hAnsi="Times New Roman"/>
          <w:lang w:val="fr-BE"/>
        </w:rPr>
        <w:t>en</w:t>
      </w:r>
      <w:proofErr w:type="gramEnd"/>
      <w:r w:rsidRPr="00AD0B60">
        <w:rPr>
          <w:rFonts w:ascii="Times New Roman" w:hAnsi="Times New Roman"/>
          <w:lang w:val="fr-BE"/>
        </w:rPr>
        <w:t xml:space="preserve"> conclusion, la Commission tient à souligner que, comme pour toute procédure législative soumise dans le cadre de la procédure législative ordinaire, les règles en vigueur continuent de s’appliquer pendant les négociations entre les </w:t>
      </w:r>
      <w:proofErr w:type="spellStart"/>
      <w:r w:rsidRPr="00AD0B60">
        <w:rPr>
          <w:rFonts w:ascii="Times New Roman" w:hAnsi="Times New Roman"/>
          <w:lang w:val="fr-BE"/>
        </w:rPr>
        <w:t>colégislateurs</w:t>
      </w:r>
      <w:proofErr w:type="spellEnd"/>
      <w:r w:rsidRPr="00AD0B60">
        <w:rPr>
          <w:rFonts w:ascii="Times New Roman" w:hAnsi="Times New Roman"/>
          <w:lang w:val="fr-BE"/>
        </w:rPr>
        <w:t xml:space="preserve"> et jusqu’à l’obtention d’un accord définitif. En conséquence, la Commission doit continuer de traiter les demandes relatives aux denrées alimentaires et aux aliments pour animaux génétiquement modifiés.</w:t>
      </w:r>
    </w:p>
    <w:p w:rsidR="00680EFD" w:rsidRPr="00353F52" w:rsidRDefault="00680EFD">
      <w:pPr>
        <w:rPr>
          <w:lang w:val="fr-BE"/>
        </w:rPr>
      </w:pPr>
    </w:p>
    <w:sectPr w:rsidR="00680EFD" w:rsidRPr="00353F5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F52" w:rsidRDefault="00353F52" w:rsidP="00353F52">
      <w:pPr>
        <w:spacing w:after="0"/>
      </w:pPr>
      <w:r>
        <w:separator/>
      </w:r>
    </w:p>
  </w:endnote>
  <w:endnote w:type="continuationSeparator" w:id="0">
    <w:p w:rsidR="00353F52" w:rsidRDefault="00353F52" w:rsidP="00353F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F52" w:rsidRDefault="00353F52" w:rsidP="00353F52">
      <w:pPr>
        <w:spacing w:after="0"/>
      </w:pPr>
      <w:r>
        <w:separator/>
      </w:r>
    </w:p>
  </w:footnote>
  <w:footnote w:type="continuationSeparator" w:id="0">
    <w:p w:rsidR="00353F52" w:rsidRDefault="00353F52" w:rsidP="00353F52">
      <w:pPr>
        <w:spacing w:after="0"/>
      </w:pPr>
      <w:r>
        <w:continuationSeparator/>
      </w:r>
    </w:p>
  </w:footnote>
  <w:footnote w:id="1">
    <w:p w:rsidR="00353F52" w:rsidRPr="0031309B" w:rsidRDefault="00353F52" w:rsidP="00353F52">
      <w:pPr>
        <w:pStyle w:val="FootnoteText"/>
        <w:rPr>
          <w:rFonts w:ascii="Times New Roman" w:hAnsi="Times New Roman"/>
          <w:lang w:val="de-DE"/>
        </w:rPr>
      </w:pPr>
      <w:bookmarkStart w:id="0" w:name="_GoBack"/>
      <w:r>
        <w:rPr>
          <w:rStyle w:val="FootnoteReference"/>
          <w:rFonts w:ascii="Times New Roman" w:hAnsi="Times New Roman"/>
        </w:rPr>
        <w:footnoteRef/>
      </w:r>
      <w:r w:rsidRPr="004E5D9C">
        <w:rPr>
          <w:rFonts w:ascii="Times New Roman" w:hAnsi="Times New Roman"/>
          <w:lang w:val="de-DE"/>
        </w:rPr>
        <w:t xml:space="preserve"> </w:t>
      </w:r>
      <w:r w:rsidRPr="004E5D9C">
        <w:rPr>
          <w:lang w:val="de-DE"/>
        </w:rPr>
        <w:tab/>
      </w:r>
      <w:proofErr w:type="spellStart"/>
      <w:r w:rsidRPr="004E5D9C">
        <w:rPr>
          <w:rFonts w:ascii="Times New Roman" w:hAnsi="Times New Roman"/>
          <w:lang w:val="de-DE"/>
        </w:rPr>
        <w:t>Maïs</w:t>
      </w:r>
      <w:proofErr w:type="spellEnd"/>
      <w:r w:rsidRPr="004E5D9C">
        <w:rPr>
          <w:rFonts w:ascii="Times New Roman" w:hAnsi="Times New Roman"/>
          <w:lang w:val="de-DE"/>
        </w:rPr>
        <w:t xml:space="preserve"> Bt</w:t>
      </w:r>
      <w:r w:rsidRPr="00B70F74">
        <w:rPr>
          <w:rFonts w:ascii="Times New Roman" w:hAnsi="Times New Roman"/>
          <w:lang w:val="de-DE"/>
        </w:rPr>
        <w:t>11</w:t>
      </w:r>
      <w:r w:rsidRPr="004E5D9C">
        <w:rPr>
          <w:rFonts w:ascii="Times New Roman" w:hAnsi="Times New Roman"/>
          <w:lang w:val="de-DE"/>
        </w:rPr>
        <w:t> × MIR</w:t>
      </w:r>
      <w:r w:rsidRPr="00B70F74">
        <w:rPr>
          <w:rFonts w:ascii="Times New Roman" w:hAnsi="Times New Roman"/>
          <w:lang w:val="de-DE"/>
        </w:rPr>
        <w:t>162</w:t>
      </w:r>
      <w:r w:rsidRPr="004E5D9C">
        <w:rPr>
          <w:rFonts w:ascii="Times New Roman" w:hAnsi="Times New Roman"/>
          <w:lang w:val="de-DE"/>
        </w:rPr>
        <w:t> × </w:t>
      </w:r>
      <w:r w:rsidRPr="00B70F74">
        <w:rPr>
          <w:rFonts w:ascii="Times New Roman" w:hAnsi="Times New Roman"/>
          <w:lang w:val="de-DE"/>
        </w:rPr>
        <w:t>1507</w:t>
      </w:r>
      <w:r w:rsidRPr="004E5D9C">
        <w:rPr>
          <w:rFonts w:ascii="Times New Roman" w:hAnsi="Times New Roman"/>
          <w:lang w:val="de-DE"/>
        </w:rPr>
        <w:t xml:space="preserve">, </w:t>
      </w:r>
      <w:proofErr w:type="spellStart"/>
      <w:r w:rsidRPr="004E5D9C">
        <w:rPr>
          <w:rFonts w:ascii="Times New Roman" w:hAnsi="Times New Roman"/>
          <w:lang w:val="de-DE"/>
        </w:rPr>
        <w:t>maïs</w:t>
      </w:r>
      <w:proofErr w:type="spellEnd"/>
      <w:r w:rsidRPr="004E5D9C">
        <w:rPr>
          <w:rFonts w:ascii="Times New Roman" w:hAnsi="Times New Roman"/>
          <w:lang w:val="de-DE"/>
        </w:rPr>
        <w:t xml:space="preserve"> MIR</w:t>
      </w:r>
      <w:r w:rsidRPr="00B70F74">
        <w:rPr>
          <w:rFonts w:ascii="Times New Roman" w:hAnsi="Times New Roman"/>
          <w:lang w:val="de-DE"/>
        </w:rPr>
        <w:t>162</w:t>
      </w:r>
      <w:r w:rsidRPr="004E5D9C">
        <w:rPr>
          <w:rFonts w:ascii="Times New Roman" w:hAnsi="Times New Roman"/>
          <w:lang w:val="de-DE"/>
        </w:rPr>
        <w:t> × </w:t>
      </w:r>
      <w:r w:rsidRPr="00B70F74">
        <w:rPr>
          <w:rFonts w:ascii="Times New Roman" w:hAnsi="Times New Roman"/>
          <w:lang w:val="de-DE"/>
        </w:rPr>
        <w:t>1507</w:t>
      </w:r>
      <w:r w:rsidRPr="004E5D9C">
        <w:rPr>
          <w:rFonts w:ascii="Times New Roman" w:hAnsi="Times New Roman"/>
          <w:lang w:val="de-DE"/>
        </w:rPr>
        <w:t> × GA</w:t>
      </w:r>
      <w:r w:rsidRPr="00B70F74">
        <w:rPr>
          <w:rFonts w:ascii="Times New Roman" w:hAnsi="Times New Roman"/>
          <w:lang w:val="de-DE"/>
        </w:rPr>
        <w:t>21</w:t>
      </w:r>
      <w:r w:rsidRPr="004E5D9C">
        <w:rPr>
          <w:rFonts w:ascii="Times New Roman" w:hAnsi="Times New Roman"/>
          <w:lang w:val="de-DE"/>
        </w:rPr>
        <w:t xml:space="preserve"> et </w:t>
      </w:r>
      <w:proofErr w:type="spellStart"/>
      <w:r w:rsidRPr="004E5D9C">
        <w:rPr>
          <w:rFonts w:ascii="Times New Roman" w:hAnsi="Times New Roman"/>
          <w:lang w:val="de-DE"/>
        </w:rPr>
        <w:t>maïs</w:t>
      </w:r>
      <w:proofErr w:type="spellEnd"/>
      <w:r w:rsidRPr="004E5D9C">
        <w:rPr>
          <w:rFonts w:ascii="Times New Roman" w:hAnsi="Times New Roman"/>
          <w:lang w:val="de-DE"/>
        </w:rPr>
        <w:t xml:space="preserve"> MIR</w:t>
      </w:r>
      <w:r w:rsidRPr="00B70F74">
        <w:rPr>
          <w:rFonts w:ascii="Times New Roman" w:hAnsi="Times New Roman"/>
          <w:lang w:val="de-DE"/>
        </w:rPr>
        <w:t>162</w:t>
      </w:r>
      <w:r w:rsidRPr="004E5D9C">
        <w:rPr>
          <w:rFonts w:ascii="Times New Roman" w:hAnsi="Times New Roman"/>
          <w:lang w:val="de-DE"/>
        </w:rPr>
        <w:t> × </w:t>
      </w:r>
      <w:r w:rsidRPr="00B70F74">
        <w:rPr>
          <w:rFonts w:ascii="Times New Roman" w:hAnsi="Times New Roman"/>
          <w:lang w:val="de-DE"/>
        </w:rPr>
        <w:t>1507</w:t>
      </w:r>
      <w:r w:rsidRPr="004E5D9C">
        <w:rPr>
          <w:rFonts w:ascii="Times New Roman" w:hAnsi="Times New Roman"/>
          <w:lang w:val="de-DE"/>
        </w:rPr>
        <w:t>.</w:t>
      </w:r>
    </w:p>
    <w:bookmarkEnd w:id="0"/>
  </w:footnote>
  <w:footnote w:id="2">
    <w:p w:rsidR="00353F52" w:rsidRPr="00353F52" w:rsidRDefault="00353F52" w:rsidP="00353F52">
      <w:pPr>
        <w:pStyle w:val="FootnoteText"/>
        <w:spacing w:after="0"/>
        <w:rPr>
          <w:rFonts w:ascii="Times New Roman" w:hAnsi="Times New Roman"/>
          <w:lang w:val="de-DE"/>
        </w:rPr>
      </w:pPr>
      <w:r w:rsidRPr="00353F52">
        <w:rPr>
          <w:rStyle w:val="FootnoteReference"/>
          <w:rFonts w:ascii="Times New Roman" w:hAnsi="Times New Roman"/>
        </w:rPr>
        <w:footnoteRef/>
      </w:r>
      <w:r w:rsidRPr="00353F52">
        <w:rPr>
          <w:rFonts w:ascii="Times New Roman" w:hAnsi="Times New Roman"/>
          <w:lang w:val="de-DE"/>
        </w:rPr>
        <w:t xml:space="preserve"> </w:t>
      </w:r>
      <w:r w:rsidRPr="00353F52">
        <w:rPr>
          <w:rFonts w:ascii="Times New Roman" w:hAnsi="Times New Roman"/>
          <w:lang w:val="de-DE"/>
        </w:rPr>
        <w:tab/>
      </w:r>
      <w:proofErr w:type="spellStart"/>
      <w:r w:rsidRPr="00353F52">
        <w:rPr>
          <w:rFonts w:ascii="Times New Roman" w:hAnsi="Times New Roman"/>
          <w:lang w:val="de-DE"/>
        </w:rPr>
        <w:t>Maïs</w:t>
      </w:r>
      <w:proofErr w:type="spellEnd"/>
      <w:r w:rsidRPr="00353F52">
        <w:rPr>
          <w:rFonts w:ascii="Times New Roman" w:hAnsi="Times New Roman"/>
          <w:lang w:val="de-DE"/>
        </w:rPr>
        <w:t xml:space="preserve"> Bt11 × MIR162 × 1507, </w:t>
      </w:r>
      <w:proofErr w:type="spellStart"/>
      <w:r w:rsidRPr="00353F52">
        <w:rPr>
          <w:rFonts w:ascii="Times New Roman" w:hAnsi="Times New Roman"/>
          <w:lang w:val="de-DE"/>
        </w:rPr>
        <w:t>maïs</w:t>
      </w:r>
      <w:proofErr w:type="spellEnd"/>
      <w:r w:rsidRPr="00353F52">
        <w:rPr>
          <w:rFonts w:ascii="Times New Roman" w:hAnsi="Times New Roman"/>
          <w:lang w:val="de-DE"/>
        </w:rPr>
        <w:t xml:space="preserve"> MIR162 × 1507 × GA21 et </w:t>
      </w:r>
      <w:proofErr w:type="spellStart"/>
      <w:r w:rsidRPr="00353F52">
        <w:rPr>
          <w:rFonts w:ascii="Times New Roman" w:hAnsi="Times New Roman"/>
          <w:lang w:val="de-DE"/>
        </w:rPr>
        <w:t>maïs</w:t>
      </w:r>
      <w:proofErr w:type="spellEnd"/>
      <w:r w:rsidRPr="00353F52">
        <w:rPr>
          <w:rFonts w:ascii="Times New Roman" w:hAnsi="Times New Roman"/>
          <w:lang w:val="de-DE"/>
        </w:rPr>
        <w:t xml:space="preserve"> MIR162 × 1507.</w:t>
      </w:r>
    </w:p>
  </w:footnote>
  <w:footnote w:id="3">
    <w:p w:rsidR="00353F52" w:rsidRPr="00353F52" w:rsidRDefault="00353F52" w:rsidP="00353F52">
      <w:pPr>
        <w:pStyle w:val="FootnoteText"/>
        <w:spacing w:after="0"/>
        <w:rPr>
          <w:rFonts w:ascii="Times New Roman" w:hAnsi="Times New Roman"/>
          <w:lang w:val="de-DE"/>
        </w:rPr>
      </w:pPr>
      <w:r w:rsidRPr="00353F52">
        <w:rPr>
          <w:rStyle w:val="FootnoteReference"/>
          <w:rFonts w:ascii="Times New Roman" w:hAnsi="Times New Roman"/>
        </w:rPr>
        <w:footnoteRef/>
      </w:r>
      <w:r w:rsidRPr="00353F52">
        <w:rPr>
          <w:rStyle w:val="FootnoteReference"/>
          <w:rFonts w:ascii="Times New Roman" w:hAnsi="Times New Roman"/>
          <w:lang w:val="de-DE"/>
        </w:rPr>
        <w:t xml:space="preserve"> </w:t>
      </w:r>
      <w:r w:rsidRPr="00353F52">
        <w:rPr>
          <w:rFonts w:ascii="Times New Roman" w:hAnsi="Times New Roman"/>
          <w:lang w:val="de-DE"/>
        </w:rPr>
        <w:tab/>
      </w:r>
      <w:hyperlink r:id="rId1">
        <w:r w:rsidRPr="00353F52">
          <w:rPr>
            <w:rStyle w:val="Hyperlink"/>
            <w:rFonts w:ascii="Times New Roman" w:hAnsi="Times New Roman"/>
            <w:color w:val="auto"/>
            <w:lang w:val="de-DE"/>
          </w:rPr>
          <w:t>http://ec.europa.eu/food/plant/gmo/public_consultations/index_en.htm</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1" w15:restartNumberingAfterBreak="0">
    <w:nsid w:val="05681E82"/>
    <w:multiLevelType w:val="hybridMultilevel"/>
    <w:tmpl w:val="0316D07C"/>
    <w:lvl w:ilvl="0" w:tplc="010A3310">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ED2C08"/>
    <w:multiLevelType w:val="hybridMultilevel"/>
    <w:tmpl w:val="424A86AA"/>
    <w:lvl w:ilvl="0" w:tplc="90B27698">
      <w:start w:val="1"/>
      <w:numFmt w:val="decimal"/>
      <w:lvlText w:val="%1."/>
      <w:lvlJc w:val="left"/>
      <w:pPr>
        <w:ind w:left="1145" w:hanging="720"/>
      </w:pPr>
      <w:rPr>
        <w:rFonts w:hint="default"/>
        <w:b/>
      </w:rPr>
    </w:lvl>
    <w:lvl w:ilvl="1" w:tplc="080C0019" w:tentative="1">
      <w:start w:val="1"/>
      <w:numFmt w:val="lowerLetter"/>
      <w:lvlText w:val="%2."/>
      <w:lvlJc w:val="left"/>
      <w:pPr>
        <w:ind w:left="1505" w:hanging="360"/>
      </w:pPr>
    </w:lvl>
    <w:lvl w:ilvl="2" w:tplc="080C001B" w:tentative="1">
      <w:start w:val="1"/>
      <w:numFmt w:val="lowerRoman"/>
      <w:lvlText w:val="%3."/>
      <w:lvlJc w:val="right"/>
      <w:pPr>
        <w:ind w:left="2225" w:hanging="180"/>
      </w:pPr>
    </w:lvl>
    <w:lvl w:ilvl="3" w:tplc="080C000F" w:tentative="1">
      <w:start w:val="1"/>
      <w:numFmt w:val="decimal"/>
      <w:lvlText w:val="%4."/>
      <w:lvlJc w:val="left"/>
      <w:pPr>
        <w:ind w:left="2945" w:hanging="360"/>
      </w:pPr>
    </w:lvl>
    <w:lvl w:ilvl="4" w:tplc="080C0019" w:tentative="1">
      <w:start w:val="1"/>
      <w:numFmt w:val="lowerLetter"/>
      <w:lvlText w:val="%5."/>
      <w:lvlJc w:val="left"/>
      <w:pPr>
        <w:ind w:left="3665" w:hanging="360"/>
      </w:pPr>
    </w:lvl>
    <w:lvl w:ilvl="5" w:tplc="080C001B" w:tentative="1">
      <w:start w:val="1"/>
      <w:numFmt w:val="lowerRoman"/>
      <w:lvlText w:val="%6."/>
      <w:lvlJc w:val="right"/>
      <w:pPr>
        <w:ind w:left="4385" w:hanging="180"/>
      </w:pPr>
    </w:lvl>
    <w:lvl w:ilvl="6" w:tplc="080C000F" w:tentative="1">
      <w:start w:val="1"/>
      <w:numFmt w:val="decimal"/>
      <w:lvlText w:val="%7."/>
      <w:lvlJc w:val="left"/>
      <w:pPr>
        <w:ind w:left="5105" w:hanging="360"/>
      </w:pPr>
    </w:lvl>
    <w:lvl w:ilvl="7" w:tplc="080C0019" w:tentative="1">
      <w:start w:val="1"/>
      <w:numFmt w:val="lowerLetter"/>
      <w:lvlText w:val="%8."/>
      <w:lvlJc w:val="left"/>
      <w:pPr>
        <w:ind w:left="5825" w:hanging="360"/>
      </w:pPr>
    </w:lvl>
    <w:lvl w:ilvl="8" w:tplc="080C001B" w:tentative="1">
      <w:start w:val="1"/>
      <w:numFmt w:val="lowerRoman"/>
      <w:lvlText w:val="%9."/>
      <w:lvlJc w:val="right"/>
      <w:pPr>
        <w:ind w:left="6545" w:hanging="180"/>
      </w:pPr>
    </w:lvl>
  </w:abstractNum>
  <w:abstractNum w:abstractNumId="3" w15:restartNumberingAfterBreak="0">
    <w:nsid w:val="5C3073F9"/>
    <w:multiLevelType w:val="hybridMultilevel"/>
    <w:tmpl w:val="DA8A5DBE"/>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F52"/>
    <w:rsid w:val="0007238C"/>
    <w:rsid w:val="000A1623"/>
    <w:rsid w:val="000D6EB1"/>
    <w:rsid w:val="00110BA4"/>
    <w:rsid w:val="001262BB"/>
    <w:rsid w:val="00131AC6"/>
    <w:rsid w:val="001855CC"/>
    <w:rsid w:val="001C3806"/>
    <w:rsid w:val="002871F7"/>
    <w:rsid w:val="00353F52"/>
    <w:rsid w:val="00643679"/>
    <w:rsid w:val="00680EFD"/>
    <w:rsid w:val="006843AE"/>
    <w:rsid w:val="00AD10AA"/>
    <w:rsid w:val="00B24044"/>
    <w:rsid w:val="00B34A98"/>
    <w:rsid w:val="00B65AA4"/>
    <w:rsid w:val="00ED700E"/>
    <w:rsid w:val="00F709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9C3E9AD-DD4A-48C2-9C7B-251008FD1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F52"/>
    <w:pPr>
      <w:spacing w:after="240" w:line="240" w:lineRule="auto"/>
      <w:jc w:val="both"/>
    </w:pPr>
    <w:rPr>
      <w:rFonts w:ascii="Courier New" w:eastAsia="Times New Roman" w:hAnsi="Courier New"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DGName">
    <w:name w:val="Z_DGName"/>
    <w:basedOn w:val="Normal"/>
    <w:uiPriority w:val="99"/>
    <w:rsid w:val="000A1623"/>
    <w:pPr>
      <w:ind w:right="85"/>
    </w:pPr>
    <w:rPr>
      <w:rFonts w:ascii="Arial" w:hAnsi="Arial" w:cs="Arial"/>
      <w:color w:val="000000"/>
      <w:sz w:val="16"/>
      <w:szCs w:val="16"/>
      <w:lang w:val="fr-FR" w:eastAsia="fr-BE"/>
    </w:rPr>
  </w:style>
  <w:style w:type="paragraph" w:customStyle="1" w:styleId="NoSpacingGray-80">
    <w:name w:val="No Spacing + Gray-80%"/>
    <w:aliases w:val="Justified,Left:  0,5 cm + Left:  0,5 cm,Right:  0,08 cm"/>
    <w:basedOn w:val="NoSpacing"/>
    <w:rsid w:val="000A1623"/>
    <w:pPr>
      <w:ind w:right="707"/>
    </w:pPr>
    <w:rPr>
      <w:rFonts w:eastAsia="Times New Roman" w:cs="Times New Roman"/>
      <w:color w:val="000000"/>
    </w:rPr>
  </w:style>
  <w:style w:type="paragraph" w:styleId="NoSpacing">
    <w:name w:val="No Spacing"/>
    <w:link w:val="NoSpacingChar"/>
    <w:autoRedefine/>
    <w:uiPriority w:val="1"/>
    <w:qFormat/>
    <w:rsid w:val="000A1623"/>
    <w:pPr>
      <w:keepLines/>
      <w:spacing w:after="0" w:line="240" w:lineRule="auto"/>
      <w:jc w:val="both"/>
    </w:pPr>
    <w:rPr>
      <w:rFonts w:ascii="Times New Roman" w:hAnsi="Times New Roman"/>
      <w:color w:val="333333"/>
      <w:sz w:val="20"/>
      <w:szCs w:val="20"/>
      <w:lang w:val="fr-BE" w:eastAsia="en-GB"/>
    </w:rPr>
  </w:style>
  <w:style w:type="paragraph" w:styleId="Header">
    <w:name w:val="header"/>
    <w:basedOn w:val="Normal"/>
    <w:link w:val="HeaderChar"/>
    <w:uiPriority w:val="99"/>
    <w:unhideWhenUsed/>
    <w:rsid w:val="000A1623"/>
    <w:pPr>
      <w:tabs>
        <w:tab w:val="center" w:pos="4513"/>
        <w:tab w:val="right" w:pos="9026"/>
      </w:tabs>
      <w:spacing w:after="0"/>
    </w:pPr>
  </w:style>
  <w:style w:type="character" w:customStyle="1" w:styleId="HeaderChar">
    <w:name w:val="Header Char"/>
    <w:basedOn w:val="DefaultParagraphFont"/>
    <w:link w:val="Header"/>
    <w:uiPriority w:val="99"/>
    <w:rsid w:val="000A1623"/>
  </w:style>
  <w:style w:type="paragraph" w:styleId="Footer">
    <w:name w:val="footer"/>
    <w:basedOn w:val="Normal"/>
    <w:link w:val="FooterChar"/>
    <w:uiPriority w:val="99"/>
    <w:unhideWhenUsed/>
    <w:rsid w:val="000A1623"/>
    <w:pPr>
      <w:tabs>
        <w:tab w:val="center" w:pos="4513"/>
        <w:tab w:val="right" w:pos="9026"/>
      </w:tabs>
      <w:spacing w:after="0"/>
    </w:pPr>
  </w:style>
  <w:style w:type="character" w:customStyle="1" w:styleId="FooterChar">
    <w:name w:val="Footer Char"/>
    <w:basedOn w:val="DefaultParagraphFont"/>
    <w:link w:val="Footer"/>
    <w:uiPriority w:val="99"/>
    <w:rsid w:val="000A1623"/>
  </w:style>
  <w:style w:type="character" w:customStyle="1" w:styleId="NoSpacingChar">
    <w:name w:val="No Spacing Char"/>
    <w:link w:val="NoSpacing"/>
    <w:uiPriority w:val="1"/>
    <w:locked/>
    <w:rsid w:val="000A1623"/>
    <w:rPr>
      <w:rFonts w:ascii="Times New Roman" w:hAnsi="Times New Roman"/>
      <w:color w:val="333333"/>
      <w:sz w:val="20"/>
      <w:szCs w:val="20"/>
      <w:lang w:val="fr-BE" w:eastAsia="en-GB"/>
    </w:rPr>
  </w:style>
  <w:style w:type="paragraph" w:styleId="ListParagraph">
    <w:name w:val="List Paragraph"/>
    <w:basedOn w:val="Normal"/>
    <w:uiPriority w:val="34"/>
    <w:qFormat/>
    <w:rsid w:val="000A1623"/>
    <w:pPr>
      <w:ind w:left="720"/>
      <w:contextualSpacing/>
    </w:pPr>
  </w:style>
  <w:style w:type="paragraph" w:customStyle="1" w:styleId="Heading2capitalletters">
    <w:name w:val="Heading 2 (capital letters)"/>
    <w:basedOn w:val="Normal"/>
    <w:link w:val="Heading2capitallettersChar"/>
    <w:qFormat/>
    <w:rsid w:val="000A1623"/>
    <w:rPr>
      <w:rFonts w:ascii="Times New Roman" w:hAnsi="Times New Roman"/>
      <w:b/>
      <w:szCs w:val="24"/>
      <w:u w:val="single"/>
      <w:lang w:val="fr-BE"/>
    </w:rPr>
  </w:style>
  <w:style w:type="character" w:customStyle="1" w:styleId="Heading2capitallettersChar">
    <w:name w:val="Heading 2 (capital letters) Char"/>
    <w:basedOn w:val="DefaultParagraphFont"/>
    <w:link w:val="Heading2capitalletters"/>
    <w:rsid w:val="000A1623"/>
    <w:rPr>
      <w:rFonts w:ascii="Times New Roman" w:hAnsi="Times New Roman" w:cs="Times New Roman"/>
      <w:b/>
      <w:sz w:val="24"/>
      <w:szCs w:val="24"/>
      <w:u w:val="single"/>
      <w:lang w:val="fr-BE"/>
    </w:rPr>
  </w:style>
  <w:style w:type="paragraph" w:customStyle="1" w:styleId="Heading3number">
    <w:name w:val="Heading 3 (number)"/>
    <w:basedOn w:val="Normal"/>
    <w:link w:val="Heading3numberChar"/>
    <w:qFormat/>
    <w:rsid w:val="000A1623"/>
    <w:pPr>
      <w:ind w:left="284"/>
    </w:pPr>
    <w:rPr>
      <w:rFonts w:ascii="Times New Roman" w:hAnsi="Times New Roman"/>
      <w:b/>
      <w:szCs w:val="24"/>
      <w:u w:val="single"/>
      <w:lang w:val="fr-BE"/>
    </w:rPr>
  </w:style>
  <w:style w:type="character" w:customStyle="1" w:styleId="Heading3numberChar">
    <w:name w:val="Heading 3 (number) Char"/>
    <w:basedOn w:val="DefaultParagraphFont"/>
    <w:link w:val="Heading3number"/>
    <w:rsid w:val="000A1623"/>
    <w:rPr>
      <w:rFonts w:ascii="Times New Roman" w:hAnsi="Times New Roman" w:cs="Times New Roman"/>
      <w:b/>
      <w:sz w:val="24"/>
      <w:szCs w:val="24"/>
      <w:u w:val="single"/>
      <w:lang w:val="fr-BE"/>
    </w:rPr>
  </w:style>
  <w:style w:type="paragraph" w:customStyle="1" w:styleId="ParagraphNr">
    <w:name w:val="Paragraph Nr"/>
    <w:basedOn w:val="Normal"/>
    <w:link w:val="ParagraphNrChar"/>
    <w:autoRedefine/>
    <w:qFormat/>
    <w:rsid w:val="00B24044"/>
    <w:pPr>
      <w:keepNext/>
      <w:spacing w:after="120"/>
      <w:ind w:left="567" w:right="-28" w:hanging="567"/>
    </w:pPr>
    <w:rPr>
      <w:b/>
      <w:szCs w:val="24"/>
    </w:rPr>
  </w:style>
  <w:style w:type="character" w:customStyle="1" w:styleId="ParagraphNrChar">
    <w:name w:val="Paragraph Nr Char"/>
    <w:basedOn w:val="DefaultParagraphFont"/>
    <w:link w:val="ParagraphNr"/>
    <w:rsid w:val="00B24044"/>
    <w:rPr>
      <w:b/>
      <w:sz w:val="24"/>
      <w:szCs w:val="24"/>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rsid w:val="00353F52"/>
    <w:pPr>
      <w:ind w:left="357" w:hanging="357"/>
    </w:pPr>
    <w:rPr>
      <w:sz w:val="20"/>
    </w:rPr>
  </w:style>
  <w:style w:type="character" w:customStyle="1" w:styleId="FootnoteTextChar">
    <w:name w:val="Footnote Text Char"/>
    <w:basedOn w:val="DefaultParagraphFont"/>
    <w:uiPriority w:val="99"/>
    <w:semiHidden/>
    <w:rsid w:val="00353F52"/>
    <w:rPr>
      <w:rFonts w:ascii="Courier New" w:eastAsia="Times New Roman" w:hAnsi="Courier New" w:cs="Times New Roman"/>
      <w:sz w:val="20"/>
      <w:szCs w:val="20"/>
      <w:lang w:eastAsia="en-GB"/>
    </w:rPr>
  </w:style>
  <w:style w:type="paragraph" w:styleId="ListBullet">
    <w:name w:val="List Bullet"/>
    <w:basedOn w:val="Normal"/>
    <w:link w:val="ListBulletChar1"/>
    <w:uiPriority w:val="99"/>
    <w:rsid w:val="00353F52"/>
    <w:pPr>
      <w:numPr>
        <w:numId w:val="1"/>
      </w:numPr>
    </w:p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sid w:val="00353F52"/>
    <w:rPr>
      <w:vertAlign w:val="superscript"/>
    </w:rPr>
  </w:style>
  <w:style w:type="character" w:styleId="Hyperlink">
    <w:name w:val="Hyperlink"/>
    <w:aliases w:val="Char1"/>
    <w:uiPriority w:val="99"/>
    <w:rsid w:val="00353F52"/>
    <w:rPr>
      <w:color w:val="0000FF"/>
      <w:u w:val="single"/>
    </w:rPr>
  </w:style>
  <w:style w:type="paragraph" w:styleId="NormalWeb">
    <w:name w:val="Normal (Web)"/>
    <w:aliases w:val=" webb,webb"/>
    <w:basedOn w:val="Normal"/>
    <w:link w:val="NormalWebChar1"/>
    <w:uiPriority w:val="99"/>
    <w:rsid w:val="00353F52"/>
    <w:pPr>
      <w:spacing w:before="100" w:beforeAutospacing="1" w:after="100" w:afterAutospacing="1"/>
      <w:jc w:val="left"/>
    </w:pPr>
    <w:rPr>
      <w:rFonts w:ascii="Times New Roman" w:hAnsi="Times New Roman"/>
      <w:szCs w:val="24"/>
    </w:rPr>
  </w:style>
  <w:style w:type="character" w:customStyle="1" w:styleId="NormalWebChar1">
    <w:name w:val="Normal (Web) Char1"/>
    <w:aliases w:val=" webb Char,webb Char1"/>
    <w:link w:val="NormalWeb"/>
    <w:uiPriority w:val="99"/>
    <w:rsid w:val="00353F52"/>
    <w:rPr>
      <w:rFonts w:ascii="Times New Roman" w:eastAsia="Times New Roman" w:hAnsi="Times New Roman" w:cs="Times New Roman"/>
      <w:sz w:val="24"/>
      <w:szCs w:val="24"/>
      <w:lang w:eastAsia="en-GB"/>
    </w:rPr>
  </w:style>
  <w:style w:type="paragraph" w:customStyle="1" w:styleId="CoverNormal">
    <w:name w:val="CoverNormal"/>
    <w:basedOn w:val="Normal"/>
    <w:rsid w:val="00353F52"/>
    <w:pPr>
      <w:widowControl w:val="0"/>
      <w:spacing w:after="0"/>
      <w:ind w:left="1418"/>
      <w:jc w:val="left"/>
    </w:pPr>
    <w:rPr>
      <w:rFonts w:ascii="Times New Roman" w:hAnsi="Times New Roman"/>
    </w:rPr>
  </w:style>
  <w:style w:type="character" w:customStyle="1" w:styleId="ListBulletChar1">
    <w:name w:val="List Bullet Char1"/>
    <w:link w:val="ListBullet"/>
    <w:uiPriority w:val="99"/>
    <w:rsid w:val="00353F52"/>
    <w:rPr>
      <w:rFonts w:ascii="Courier New" w:eastAsia="Times New Roman" w:hAnsi="Courier New" w:cs="Times New Roman"/>
      <w:sz w:val="24"/>
      <w:szCs w:val="20"/>
      <w:lang w:eastAsia="en-GB"/>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uiPriority w:val="99"/>
    <w:rsid w:val="00353F52"/>
    <w:rPr>
      <w:rFonts w:ascii="Courier New" w:eastAsia="Times New Roman" w:hAnsi="Courier New" w:cs="Times New Roman"/>
      <w:sz w:val="20"/>
      <w:szCs w:val="20"/>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353F52"/>
    <w:pPr>
      <w:spacing w:after="160" w:line="240" w:lineRule="exact"/>
      <w:jc w:val="left"/>
    </w:pPr>
    <w:rPr>
      <w:rFonts w:asciiTheme="minorHAnsi" w:eastAsiaTheme="minorHAnsi" w:hAnsiTheme="minorHAnsi" w:cstheme="minorBidi"/>
      <w:sz w:val="22"/>
      <w:szCs w:val="22"/>
      <w:vertAlign w:val="superscript"/>
      <w:lang w:eastAsia="en-US"/>
    </w:rPr>
  </w:style>
  <w:style w:type="paragraph" w:customStyle="1" w:styleId="ZnakZnak">
    <w:name w:val="Znak Znak"/>
    <w:basedOn w:val="Normal"/>
    <w:uiPriority w:val="99"/>
    <w:rsid w:val="00353F52"/>
    <w:pPr>
      <w:spacing w:after="0" w:line="360" w:lineRule="auto"/>
    </w:pPr>
    <w:rPr>
      <w:rFonts w:ascii="Verdana" w:hAnsi="Verdana"/>
      <w:sz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food/plant/gmo/public_consultations/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2564</Words>
  <Characters>14105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Veronique (SG)</dc:creator>
  <cp:keywords/>
  <dc:description/>
  <cp:lastModifiedBy>VINCENT Veronique (SG)</cp:lastModifiedBy>
  <cp:revision>1</cp:revision>
  <dcterms:created xsi:type="dcterms:W3CDTF">2019-08-28T15:19:00Z</dcterms:created>
  <dcterms:modified xsi:type="dcterms:W3CDTF">2019-08-28T15:19:00Z</dcterms:modified>
</cp:coreProperties>
</file>