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E11" w:rsidRPr="00F27F6E" w:rsidRDefault="00870E11" w:rsidP="00870E11">
      <w:pPr>
        <w:pStyle w:val="Normal12a"/>
        <w:spacing w:after="720"/>
        <w:jc w:val="center"/>
        <w:rPr>
          <w:b/>
          <w:szCs w:val="24"/>
        </w:rPr>
      </w:pPr>
      <w:proofErr w:type="gramStart"/>
      <w:r w:rsidRPr="00CC75CC">
        <w:rPr>
          <w:b/>
        </w:rPr>
        <w:t xml:space="preserve">Follow up to the European Parliament non-legislative resolution on the draft Commission implementing regulation amending Implementing Regulation (EU) No 540/2011 as regards the extension of the approval periods of the active substances </w:t>
      </w:r>
      <w:proofErr w:type="spellStart"/>
      <w:r w:rsidRPr="00CC75CC">
        <w:rPr>
          <w:b/>
        </w:rPr>
        <w:t>abamectin</w:t>
      </w:r>
      <w:proofErr w:type="spellEnd"/>
      <w:r w:rsidRPr="00CC75CC">
        <w:rPr>
          <w:b/>
        </w:rPr>
        <w:t>, Bacillus subtilis (Cohn 1872) Strain QST 713, Bacillus </w:t>
      </w:r>
      <w:proofErr w:type="spellStart"/>
      <w:r w:rsidRPr="00CC75CC">
        <w:rPr>
          <w:b/>
        </w:rPr>
        <w:t>thuringiensis</w:t>
      </w:r>
      <w:proofErr w:type="spellEnd"/>
      <w:r w:rsidRPr="00CC75CC">
        <w:rPr>
          <w:b/>
        </w:rPr>
        <w:t xml:space="preserve"> subsp. </w:t>
      </w:r>
      <w:proofErr w:type="spellStart"/>
      <w:r w:rsidRPr="00CC75CC">
        <w:rPr>
          <w:b/>
        </w:rPr>
        <w:t>Aizawai</w:t>
      </w:r>
      <w:proofErr w:type="spellEnd"/>
      <w:r w:rsidRPr="00CC75CC">
        <w:rPr>
          <w:b/>
        </w:rPr>
        <w:t xml:space="preserve">, Bacillus </w:t>
      </w:r>
      <w:proofErr w:type="spellStart"/>
      <w:r w:rsidRPr="00CC75CC">
        <w:rPr>
          <w:b/>
        </w:rPr>
        <w:t>thuringiensis</w:t>
      </w:r>
      <w:proofErr w:type="spellEnd"/>
      <w:r w:rsidRPr="00CC75CC">
        <w:rPr>
          <w:b/>
        </w:rPr>
        <w:t xml:space="preserve"> subsp. </w:t>
      </w:r>
      <w:proofErr w:type="spellStart"/>
      <w:r w:rsidRPr="00CC75CC">
        <w:rPr>
          <w:b/>
        </w:rPr>
        <w:t>israeliensis</w:t>
      </w:r>
      <w:proofErr w:type="spellEnd"/>
      <w:r w:rsidRPr="00CC75CC">
        <w:rPr>
          <w:b/>
        </w:rPr>
        <w:t>, Bacillus </w:t>
      </w:r>
      <w:proofErr w:type="spellStart"/>
      <w:r w:rsidRPr="00CC75CC">
        <w:rPr>
          <w:b/>
        </w:rPr>
        <w:t>thuringiensis</w:t>
      </w:r>
      <w:proofErr w:type="spellEnd"/>
      <w:r w:rsidRPr="00CC75CC">
        <w:rPr>
          <w:b/>
        </w:rPr>
        <w:t xml:space="preserve"> subsp. </w:t>
      </w:r>
      <w:proofErr w:type="spellStart"/>
      <w:r w:rsidRPr="00CC75CC">
        <w:rPr>
          <w:b/>
        </w:rPr>
        <w:t>kurstaki</w:t>
      </w:r>
      <w:proofErr w:type="spellEnd"/>
      <w:r w:rsidRPr="00CC75CC">
        <w:rPr>
          <w:b/>
        </w:rPr>
        <w:t xml:space="preserve">, </w:t>
      </w:r>
      <w:proofErr w:type="spellStart"/>
      <w:r w:rsidRPr="00CC75CC">
        <w:rPr>
          <w:b/>
        </w:rPr>
        <w:t>Beauveria</w:t>
      </w:r>
      <w:proofErr w:type="spellEnd"/>
      <w:r w:rsidRPr="00CC75CC">
        <w:rPr>
          <w:b/>
        </w:rPr>
        <w:t xml:space="preserve"> </w:t>
      </w:r>
      <w:proofErr w:type="spellStart"/>
      <w:r w:rsidRPr="00CC75CC">
        <w:rPr>
          <w:b/>
        </w:rPr>
        <w:t>bassiana</w:t>
      </w:r>
      <w:proofErr w:type="spellEnd"/>
      <w:r w:rsidRPr="00CC75CC">
        <w:rPr>
          <w:b/>
        </w:rPr>
        <w:t xml:space="preserve">, </w:t>
      </w:r>
      <w:proofErr w:type="spellStart"/>
      <w:r w:rsidRPr="00CC75CC">
        <w:rPr>
          <w:b/>
        </w:rPr>
        <w:t>benfluralin</w:t>
      </w:r>
      <w:proofErr w:type="spellEnd"/>
      <w:r w:rsidRPr="00CC75CC">
        <w:rPr>
          <w:b/>
        </w:rPr>
        <w:t xml:space="preserve">, </w:t>
      </w:r>
      <w:proofErr w:type="spellStart"/>
      <w:r w:rsidRPr="00CC75CC">
        <w:rPr>
          <w:b/>
        </w:rPr>
        <w:t>clodinafop</w:t>
      </w:r>
      <w:proofErr w:type="spellEnd"/>
      <w:r w:rsidRPr="00CC75CC">
        <w:rPr>
          <w:b/>
        </w:rPr>
        <w:t xml:space="preserve">, </w:t>
      </w:r>
      <w:proofErr w:type="spellStart"/>
      <w:r w:rsidRPr="00CC75CC">
        <w:rPr>
          <w:b/>
        </w:rPr>
        <w:t>clopyralid</w:t>
      </w:r>
      <w:proofErr w:type="spellEnd"/>
      <w:r w:rsidRPr="00CC75CC">
        <w:rPr>
          <w:b/>
        </w:rPr>
        <w:t xml:space="preserve">, </w:t>
      </w:r>
      <w:proofErr w:type="spellStart"/>
      <w:r w:rsidRPr="00CC75CC">
        <w:rPr>
          <w:b/>
        </w:rPr>
        <w:t>Cydia</w:t>
      </w:r>
      <w:proofErr w:type="spellEnd"/>
      <w:r w:rsidRPr="00CC75CC">
        <w:rPr>
          <w:b/>
        </w:rPr>
        <w:t xml:space="preserve"> </w:t>
      </w:r>
      <w:proofErr w:type="spellStart"/>
      <w:r w:rsidRPr="00CC75CC">
        <w:rPr>
          <w:b/>
        </w:rPr>
        <w:t>pomonella</w:t>
      </w:r>
      <w:proofErr w:type="spellEnd"/>
      <w:r w:rsidRPr="00CC75CC">
        <w:rPr>
          <w:b/>
        </w:rPr>
        <w:t xml:space="preserve"> </w:t>
      </w:r>
      <w:proofErr w:type="spellStart"/>
      <w:r w:rsidRPr="00CC75CC">
        <w:rPr>
          <w:b/>
        </w:rPr>
        <w:t>Granulovirus</w:t>
      </w:r>
      <w:proofErr w:type="spellEnd"/>
      <w:r w:rsidRPr="00CC75CC">
        <w:rPr>
          <w:b/>
        </w:rPr>
        <w:t xml:space="preserve"> (</w:t>
      </w:r>
      <w:proofErr w:type="spellStart"/>
      <w:r w:rsidRPr="00CC75CC">
        <w:rPr>
          <w:b/>
        </w:rPr>
        <w:t>CpGV</w:t>
      </w:r>
      <w:proofErr w:type="spellEnd"/>
      <w:r w:rsidRPr="00CC75CC">
        <w:rPr>
          <w:b/>
        </w:rPr>
        <w:t xml:space="preserve">), </w:t>
      </w:r>
      <w:proofErr w:type="spellStart"/>
      <w:r w:rsidRPr="00CC75CC">
        <w:rPr>
          <w:b/>
        </w:rPr>
        <w:t>cyprodinil</w:t>
      </w:r>
      <w:proofErr w:type="spellEnd"/>
      <w:r w:rsidRPr="00CC75CC">
        <w:rPr>
          <w:b/>
        </w:rPr>
        <w:t xml:space="preserve">, </w:t>
      </w:r>
      <w:proofErr w:type="spellStart"/>
      <w:r w:rsidRPr="00CC75CC">
        <w:rPr>
          <w:b/>
        </w:rPr>
        <w:t>dichlorprop</w:t>
      </w:r>
      <w:proofErr w:type="spellEnd"/>
      <w:r w:rsidRPr="00CC75CC">
        <w:rPr>
          <w:b/>
        </w:rPr>
        <w:noBreakHyphen/>
        <w:t xml:space="preserve">P, </w:t>
      </w:r>
      <w:proofErr w:type="spellStart"/>
      <w:r w:rsidRPr="00CC75CC">
        <w:rPr>
          <w:b/>
        </w:rPr>
        <w:t>epoxiconazole</w:t>
      </w:r>
      <w:proofErr w:type="spellEnd"/>
      <w:r w:rsidRPr="00CC75CC">
        <w:rPr>
          <w:b/>
        </w:rPr>
        <w:t xml:space="preserve">, </w:t>
      </w:r>
      <w:proofErr w:type="spellStart"/>
      <w:r w:rsidRPr="00CC75CC">
        <w:rPr>
          <w:b/>
        </w:rPr>
        <w:t>fenpyroximate</w:t>
      </w:r>
      <w:proofErr w:type="spellEnd"/>
      <w:r w:rsidRPr="00CC75CC">
        <w:rPr>
          <w:b/>
        </w:rPr>
        <w:t xml:space="preserve">, fluazinam, </w:t>
      </w:r>
      <w:proofErr w:type="spellStart"/>
      <w:r w:rsidRPr="00CC75CC">
        <w:rPr>
          <w:b/>
        </w:rPr>
        <w:t>flutolanil</w:t>
      </w:r>
      <w:proofErr w:type="spellEnd"/>
      <w:r w:rsidRPr="00CC75CC">
        <w:rPr>
          <w:b/>
        </w:rPr>
        <w:t xml:space="preserve">, </w:t>
      </w:r>
      <w:proofErr w:type="spellStart"/>
      <w:r w:rsidRPr="00CC75CC">
        <w:rPr>
          <w:b/>
        </w:rPr>
        <w:t>fosetyl</w:t>
      </w:r>
      <w:proofErr w:type="spellEnd"/>
      <w:r w:rsidRPr="00CC75CC">
        <w:rPr>
          <w:b/>
        </w:rPr>
        <w:t xml:space="preserve">, </w:t>
      </w:r>
      <w:proofErr w:type="spellStart"/>
      <w:r w:rsidRPr="00CC75CC">
        <w:rPr>
          <w:b/>
        </w:rPr>
        <w:t>Lecanicillium</w:t>
      </w:r>
      <w:proofErr w:type="spellEnd"/>
      <w:r w:rsidRPr="00CC75CC">
        <w:rPr>
          <w:b/>
        </w:rPr>
        <w:t xml:space="preserve"> </w:t>
      </w:r>
      <w:proofErr w:type="spellStart"/>
      <w:r w:rsidRPr="00CC75CC">
        <w:rPr>
          <w:b/>
        </w:rPr>
        <w:t>muscarium</w:t>
      </w:r>
      <w:proofErr w:type="spellEnd"/>
      <w:r w:rsidRPr="00CC75CC">
        <w:rPr>
          <w:b/>
        </w:rPr>
        <w:t xml:space="preserve">, </w:t>
      </w:r>
      <w:proofErr w:type="spellStart"/>
      <w:r w:rsidRPr="00CC75CC">
        <w:rPr>
          <w:b/>
        </w:rPr>
        <w:t>mepanipyrim</w:t>
      </w:r>
      <w:proofErr w:type="spellEnd"/>
      <w:r w:rsidRPr="00CC75CC">
        <w:rPr>
          <w:b/>
        </w:rPr>
        <w:t xml:space="preserve">, </w:t>
      </w:r>
      <w:proofErr w:type="spellStart"/>
      <w:r w:rsidRPr="00CC75CC">
        <w:rPr>
          <w:b/>
        </w:rPr>
        <w:t>mepiquat</w:t>
      </w:r>
      <w:proofErr w:type="spellEnd"/>
      <w:r w:rsidRPr="00CC75CC">
        <w:rPr>
          <w:b/>
        </w:rPr>
        <w:t xml:space="preserve">, </w:t>
      </w:r>
      <w:proofErr w:type="spellStart"/>
      <w:r w:rsidRPr="00CC75CC">
        <w:rPr>
          <w:b/>
        </w:rPr>
        <w:t>Metarhizium</w:t>
      </w:r>
      <w:proofErr w:type="spellEnd"/>
      <w:r w:rsidRPr="00CC75CC">
        <w:rPr>
          <w:b/>
        </w:rPr>
        <w:t xml:space="preserve"> </w:t>
      </w:r>
      <w:proofErr w:type="spellStart"/>
      <w:r w:rsidRPr="00CC75CC">
        <w:rPr>
          <w:b/>
        </w:rPr>
        <w:t>anisopliae</w:t>
      </w:r>
      <w:proofErr w:type="spellEnd"/>
      <w:r w:rsidRPr="00CC75CC">
        <w:rPr>
          <w:b/>
        </w:rPr>
        <w:t xml:space="preserve"> var. </w:t>
      </w:r>
      <w:proofErr w:type="spellStart"/>
      <w:r w:rsidRPr="00CC75CC">
        <w:rPr>
          <w:b/>
        </w:rPr>
        <w:t>Anisopliae</w:t>
      </w:r>
      <w:proofErr w:type="spellEnd"/>
      <w:r w:rsidRPr="00CC75CC">
        <w:rPr>
          <w:b/>
        </w:rPr>
        <w:t xml:space="preserve">, </w:t>
      </w:r>
      <w:proofErr w:type="spellStart"/>
      <w:r w:rsidRPr="00CC75CC">
        <w:rPr>
          <w:b/>
        </w:rPr>
        <w:t>metconazole</w:t>
      </w:r>
      <w:proofErr w:type="spellEnd"/>
      <w:r w:rsidRPr="00CC75CC">
        <w:rPr>
          <w:b/>
        </w:rPr>
        <w:t xml:space="preserve">, </w:t>
      </w:r>
      <w:proofErr w:type="spellStart"/>
      <w:r w:rsidRPr="00CC75CC">
        <w:rPr>
          <w:b/>
        </w:rPr>
        <w:t>metrafenone</w:t>
      </w:r>
      <w:proofErr w:type="spellEnd"/>
      <w:r w:rsidRPr="00CC75CC">
        <w:rPr>
          <w:b/>
        </w:rPr>
        <w:t xml:space="preserve">, </w:t>
      </w:r>
      <w:proofErr w:type="spellStart"/>
      <w:r w:rsidRPr="00CC75CC">
        <w:rPr>
          <w:b/>
        </w:rPr>
        <w:t>Phlebiopsis</w:t>
      </w:r>
      <w:proofErr w:type="spellEnd"/>
      <w:r w:rsidRPr="00CC75CC">
        <w:rPr>
          <w:b/>
        </w:rPr>
        <w:t xml:space="preserve"> </w:t>
      </w:r>
      <w:proofErr w:type="spellStart"/>
      <w:r w:rsidRPr="00CC75CC">
        <w:rPr>
          <w:b/>
        </w:rPr>
        <w:t>gigantea</w:t>
      </w:r>
      <w:proofErr w:type="spellEnd"/>
      <w:r w:rsidRPr="00CC75CC">
        <w:rPr>
          <w:b/>
        </w:rPr>
        <w:t xml:space="preserve">, pirimicarb, Pseudomonas </w:t>
      </w:r>
      <w:proofErr w:type="spellStart"/>
      <w:r w:rsidRPr="00CC75CC">
        <w:rPr>
          <w:b/>
        </w:rPr>
        <w:t>chlororaphis</w:t>
      </w:r>
      <w:proofErr w:type="spellEnd"/>
      <w:r w:rsidRPr="00CC75CC">
        <w:rPr>
          <w:b/>
        </w:rPr>
        <w:t xml:space="preserve"> strain: MA 342, </w:t>
      </w:r>
      <w:proofErr w:type="spellStart"/>
      <w:r w:rsidRPr="00CC75CC">
        <w:rPr>
          <w:b/>
        </w:rPr>
        <w:t>pyrimethanil</w:t>
      </w:r>
      <w:proofErr w:type="spellEnd"/>
      <w:r w:rsidRPr="00CC75CC">
        <w:rPr>
          <w:b/>
        </w:rPr>
        <w:t xml:space="preserve">, Pythium </w:t>
      </w:r>
      <w:proofErr w:type="spellStart"/>
      <w:r w:rsidRPr="00CC75CC">
        <w:rPr>
          <w:b/>
        </w:rPr>
        <w:t>oligandrum</w:t>
      </w:r>
      <w:proofErr w:type="spellEnd"/>
      <w:r w:rsidRPr="00CC75CC">
        <w:rPr>
          <w:b/>
        </w:rPr>
        <w:t xml:space="preserve">, </w:t>
      </w:r>
      <w:proofErr w:type="spellStart"/>
      <w:r w:rsidRPr="00CC75CC">
        <w:rPr>
          <w:b/>
        </w:rPr>
        <w:t>rimsulfuron</w:t>
      </w:r>
      <w:proofErr w:type="spellEnd"/>
      <w:r w:rsidRPr="00CC75CC">
        <w:rPr>
          <w:b/>
        </w:rPr>
        <w:t xml:space="preserve">, </w:t>
      </w:r>
      <w:proofErr w:type="spellStart"/>
      <w:r w:rsidRPr="00CC75CC">
        <w:rPr>
          <w:b/>
        </w:rPr>
        <w:t>spinosad</w:t>
      </w:r>
      <w:proofErr w:type="spellEnd"/>
      <w:r w:rsidRPr="00CC75CC">
        <w:rPr>
          <w:b/>
        </w:rPr>
        <w:t xml:space="preserve">, Streptomyces K61, </w:t>
      </w:r>
      <w:proofErr w:type="spellStart"/>
      <w:r w:rsidRPr="00CC75CC">
        <w:rPr>
          <w:b/>
        </w:rPr>
        <w:t>thiacloprid</w:t>
      </w:r>
      <w:proofErr w:type="spellEnd"/>
      <w:r w:rsidRPr="00CC75CC">
        <w:rPr>
          <w:b/>
        </w:rPr>
        <w:t xml:space="preserve">, </w:t>
      </w:r>
      <w:proofErr w:type="spellStart"/>
      <w:r w:rsidRPr="00CC75CC">
        <w:rPr>
          <w:b/>
        </w:rPr>
        <w:t>tolclofos</w:t>
      </w:r>
      <w:proofErr w:type="spellEnd"/>
      <w:r w:rsidRPr="00CC75CC">
        <w:rPr>
          <w:b/>
        </w:rPr>
        <w:noBreakHyphen/>
        <w:t xml:space="preserve">methyl, </w:t>
      </w:r>
      <w:proofErr w:type="spellStart"/>
      <w:r w:rsidRPr="00CC75CC">
        <w:rPr>
          <w:b/>
        </w:rPr>
        <w:t>Trichoderma</w:t>
      </w:r>
      <w:proofErr w:type="spellEnd"/>
      <w:r w:rsidRPr="00CC75CC">
        <w:rPr>
          <w:b/>
        </w:rPr>
        <w:t> </w:t>
      </w:r>
      <w:proofErr w:type="spellStart"/>
      <w:r w:rsidRPr="00CC75CC">
        <w:rPr>
          <w:b/>
        </w:rPr>
        <w:t>asperellum</w:t>
      </w:r>
      <w:proofErr w:type="spellEnd"/>
      <w:r w:rsidRPr="00CC75CC">
        <w:rPr>
          <w:b/>
        </w:rPr>
        <w:t xml:space="preserve">, </w:t>
      </w:r>
      <w:proofErr w:type="spellStart"/>
      <w:r w:rsidRPr="00CC75CC">
        <w:rPr>
          <w:b/>
        </w:rPr>
        <w:t>Trichoderma</w:t>
      </w:r>
      <w:proofErr w:type="spellEnd"/>
      <w:r w:rsidRPr="00CC75CC">
        <w:rPr>
          <w:b/>
        </w:rPr>
        <w:t xml:space="preserve"> </w:t>
      </w:r>
      <w:proofErr w:type="spellStart"/>
      <w:r w:rsidRPr="00CC75CC">
        <w:rPr>
          <w:b/>
        </w:rPr>
        <w:t>atroviride</w:t>
      </w:r>
      <w:proofErr w:type="spellEnd"/>
      <w:r w:rsidRPr="00CC75CC">
        <w:rPr>
          <w:b/>
        </w:rPr>
        <w:t xml:space="preserve">, </w:t>
      </w:r>
      <w:proofErr w:type="spellStart"/>
      <w:r w:rsidRPr="00CC75CC">
        <w:rPr>
          <w:b/>
        </w:rPr>
        <w:t>Trichoderma</w:t>
      </w:r>
      <w:proofErr w:type="spellEnd"/>
      <w:r w:rsidRPr="00CC75CC">
        <w:rPr>
          <w:b/>
        </w:rPr>
        <w:t xml:space="preserve"> </w:t>
      </w:r>
      <w:proofErr w:type="spellStart"/>
      <w:r w:rsidRPr="00CC75CC">
        <w:rPr>
          <w:b/>
        </w:rPr>
        <w:t>gamsii</w:t>
      </w:r>
      <w:proofErr w:type="spellEnd"/>
      <w:r w:rsidRPr="00CC75CC">
        <w:rPr>
          <w:b/>
        </w:rPr>
        <w:t xml:space="preserve">, </w:t>
      </w:r>
      <w:proofErr w:type="spellStart"/>
      <w:r w:rsidRPr="00CC75CC">
        <w:rPr>
          <w:b/>
        </w:rPr>
        <w:t>Trichoderma</w:t>
      </w:r>
      <w:proofErr w:type="spellEnd"/>
      <w:r w:rsidRPr="00CC75CC">
        <w:rPr>
          <w:b/>
        </w:rPr>
        <w:t> </w:t>
      </w:r>
      <w:proofErr w:type="spellStart"/>
      <w:r w:rsidRPr="00CC75CC">
        <w:rPr>
          <w:b/>
        </w:rPr>
        <w:t>harzianum</w:t>
      </w:r>
      <w:proofErr w:type="spellEnd"/>
      <w:r w:rsidRPr="00CC75CC">
        <w:rPr>
          <w:b/>
        </w:rPr>
        <w:t xml:space="preserve">, </w:t>
      </w:r>
      <w:proofErr w:type="spellStart"/>
      <w:r w:rsidRPr="00CC75CC">
        <w:rPr>
          <w:b/>
        </w:rPr>
        <w:t>triclopyr</w:t>
      </w:r>
      <w:proofErr w:type="spellEnd"/>
      <w:r w:rsidRPr="00CC75CC">
        <w:rPr>
          <w:b/>
        </w:rPr>
        <w:t xml:space="preserve">, </w:t>
      </w:r>
      <w:proofErr w:type="spellStart"/>
      <w:r w:rsidRPr="00CC75CC">
        <w:rPr>
          <w:b/>
        </w:rPr>
        <w:t>trinexapac</w:t>
      </w:r>
      <w:proofErr w:type="spellEnd"/>
      <w:r w:rsidRPr="00CC75CC">
        <w:rPr>
          <w:b/>
        </w:rPr>
        <w:t xml:space="preserve">, </w:t>
      </w:r>
      <w:proofErr w:type="spellStart"/>
      <w:r w:rsidRPr="00CC75CC">
        <w:rPr>
          <w:b/>
        </w:rPr>
        <w:t>triticonazole</w:t>
      </w:r>
      <w:proofErr w:type="spellEnd"/>
      <w:r w:rsidRPr="00CC75CC">
        <w:rPr>
          <w:b/>
        </w:rPr>
        <w:t xml:space="preserve">, </w:t>
      </w:r>
      <w:proofErr w:type="spellStart"/>
      <w:r w:rsidRPr="00CC75CC">
        <w:rPr>
          <w:b/>
        </w:rPr>
        <w:t>Verticillium</w:t>
      </w:r>
      <w:proofErr w:type="spellEnd"/>
      <w:r w:rsidRPr="00CC75CC">
        <w:rPr>
          <w:b/>
        </w:rPr>
        <w:t xml:space="preserve"> </w:t>
      </w:r>
      <w:proofErr w:type="spellStart"/>
      <w:r w:rsidRPr="00CC75CC">
        <w:rPr>
          <w:b/>
        </w:rPr>
        <w:t>albo-atrum</w:t>
      </w:r>
      <w:proofErr w:type="spellEnd"/>
      <w:r w:rsidRPr="00CC75CC">
        <w:rPr>
          <w:b/>
        </w:rPr>
        <w:t xml:space="preserve"> and </w:t>
      </w:r>
      <w:proofErr w:type="spellStart"/>
      <w:r w:rsidRPr="00CC75CC">
        <w:rPr>
          <w:b/>
        </w:rPr>
        <w:t>ziram</w:t>
      </w:r>
      <w:proofErr w:type="spellEnd"/>
      <w:proofErr w:type="gramEnd"/>
    </w:p>
    <w:p w:rsidR="00870E11" w:rsidRPr="00B76695" w:rsidRDefault="00870E11" w:rsidP="00870E11">
      <w:pPr>
        <w:widowControl w:val="0"/>
        <w:numPr>
          <w:ilvl w:val="0"/>
          <w:numId w:val="2"/>
        </w:numPr>
        <w:ind w:left="567" w:hanging="567"/>
        <w:outlineLvl w:val="0"/>
        <w:rPr>
          <w:rFonts w:ascii="Times New Roman" w:hAnsi="Times New Roman"/>
          <w:szCs w:val="24"/>
        </w:rPr>
      </w:pPr>
      <w:r>
        <w:rPr>
          <w:rFonts w:ascii="Times New Roman" w:hAnsi="Times New Roman"/>
          <w:b/>
          <w:szCs w:val="24"/>
        </w:rPr>
        <w:t>Resolution tabled pursuant to Rule 106(2) and (3) and (4)(c) of the European Parliament's Rules of Procedure</w:t>
      </w:r>
    </w:p>
    <w:p w:rsidR="00870E11" w:rsidRPr="002E10F1" w:rsidRDefault="00870E11" w:rsidP="00870E11">
      <w:pPr>
        <w:widowControl w:val="0"/>
        <w:ind w:left="567" w:hanging="567"/>
        <w:outlineLvl w:val="0"/>
        <w:rPr>
          <w:rFonts w:ascii="Times New Roman" w:hAnsi="Times New Roman"/>
          <w:smallCaps/>
          <w:szCs w:val="24"/>
        </w:rPr>
      </w:pPr>
      <w:r w:rsidRPr="00B76695">
        <w:rPr>
          <w:rFonts w:ascii="Times New Roman" w:hAnsi="Times New Roman"/>
          <w:b/>
          <w:szCs w:val="24"/>
        </w:rPr>
        <w:t>2.</w:t>
      </w:r>
      <w:r w:rsidRPr="00B76695">
        <w:rPr>
          <w:rFonts w:ascii="Times New Roman" w:hAnsi="Times New Roman"/>
          <w:b/>
          <w:szCs w:val="24"/>
        </w:rPr>
        <w:tab/>
      </w:r>
      <w:r>
        <w:rPr>
          <w:rFonts w:ascii="Times New Roman" w:hAnsi="Times New Roman"/>
          <w:b/>
          <w:szCs w:val="24"/>
        </w:rPr>
        <w:t>R</w:t>
      </w:r>
      <w:r w:rsidRPr="00B76695">
        <w:rPr>
          <w:rFonts w:ascii="Times New Roman" w:hAnsi="Times New Roman"/>
          <w:b/>
          <w:szCs w:val="24"/>
        </w:rPr>
        <w:t>eference number</w:t>
      </w:r>
      <w:r>
        <w:rPr>
          <w:rFonts w:ascii="Times New Roman" w:hAnsi="Times New Roman"/>
          <w:b/>
          <w:szCs w:val="24"/>
        </w:rPr>
        <w:t>s</w:t>
      </w:r>
      <w:r w:rsidRPr="002E10F1">
        <w:rPr>
          <w:rFonts w:ascii="Times New Roman" w:hAnsi="Times New Roman"/>
          <w:b/>
          <w:szCs w:val="24"/>
        </w:rPr>
        <w:t>:</w:t>
      </w:r>
      <w:r w:rsidRPr="002E10F1">
        <w:rPr>
          <w:rFonts w:ascii="Times New Roman" w:hAnsi="Times New Roman"/>
          <w:b/>
          <w:smallCaps/>
          <w:szCs w:val="24"/>
        </w:rPr>
        <w:t xml:space="preserve"> </w:t>
      </w:r>
      <w:r w:rsidRPr="00F27F6E">
        <w:rPr>
          <w:rFonts w:ascii="Times New Roman" w:hAnsi="Times New Roman"/>
          <w:smallCaps/>
          <w:szCs w:val="24"/>
        </w:rPr>
        <w:t xml:space="preserve">2019/2541 (RSP) </w:t>
      </w:r>
      <w:r>
        <w:rPr>
          <w:rFonts w:ascii="Times New Roman" w:hAnsi="Times New Roman"/>
          <w:smallCaps/>
          <w:szCs w:val="24"/>
        </w:rPr>
        <w:t xml:space="preserve">/ </w:t>
      </w:r>
      <w:bookmarkStart w:id="0" w:name="_GoBack"/>
      <w:r>
        <w:rPr>
          <w:rFonts w:ascii="Times New Roman" w:hAnsi="Times New Roman"/>
          <w:smallCaps/>
          <w:szCs w:val="24"/>
        </w:rPr>
        <w:t xml:space="preserve">B8-0139/2019 </w:t>
      </w:r>
      <w:bookmarkEnd w:id="0"/>
      <w:r>
        <w:rPr>
          <w:rFonts w:ascii="Times New Roman" w:hAnsi="Times New Roman"/>
          <w:smallCaps/>
          <w:szCs w:val="24"/>
        </w:rPr>
        <w:t xml:space="preserve">/ </w:t>
      </w:r>
      <w:r w:rsidRPr="00F27F6E">
        <w:rPr>
          <w:rFonts w:ascii="Times New Roman" w:hAnsi="Times New Roman"/>
          <w:smallCaps/>
          <w:szCs w:val="24"/>
        </w:rPr>
        <w:t>P8</w:t>
      </w:r>
      <w:r w:rsidRPr="002E10F1">
        <w:rPr>
          <w:rFonts w:ascii="Times New Roman" w:hAnsi="Times New Roman"/>
          <w:smallCaps/>
          <w:szCs w:val="24"/>
        </w:rPr>
        <w:t>_TA-</w:t>
      </w:r>
      <w:proofErr w:type="gramStart"/>
      <w:r>
        <w:rPr>
          <w:rFonts w:ascii="Times New Roman" w:hAnsi="Times New Roman"/>
          <w:smallCaps/>
          <w:szCs w:val="24"/>
        </w:rPr>
        <w:t>PROV(</w:t>
      </w:r>
      <w:proofErr w:type="gramEnd"/>
      <w:r w:rsidRPr="002E10F1">
        <w:rPr>
          <w:rFonts w:ascii="Times New Roman" w:hAnsi="Times New Roman"/>
          <w:smallCaps/>
          <w:szCs w:val="24"/>
        </w:rPr>
        <w:t>201</w:t>
      </w:r>
      <w:r>
        <w:rPr>
          <w:rFonts w:ascii="Times New Roman" w:hAnsi="Times New Roman"/>
          <w:smallCaps/>
          <w:szCs w:val="24"/>
        </w:rPr>
        <w:t>9</w:t>
      </w:r>
      <w:r w:rsidRPr="002E10F1">
        <w:rPr>
          <w:rFonts w:ascii="Times New Roman" w:hAnsi="Times New Roman"/>
          <w:smallCaps/>
          <w:szCs w:val="24"/>
        </w:rPr>
        <w:t>)0</w:t>
      </w:r>
      <w:r>
        <w:rPr>
          <w:rFonts w:ascii="Times New Roman" w:hAnsi="Times New Roman"/>
          <w:smallCaps/>
          <w:szCs w:val="24"/>
        </w:rPr>
        <w:t>199</w:t>
      </w:r>
    </w:p>
    <w:p w:rsidR="00870E11" w:rsidRPr="00061E1F" w:rsidRDefault="00870E11" w:rsidP="00870E11">
      <w:pPr>
        <w:widowControl w:val="0"/>
        <w:ind w:left="567" w:hanging="567"/>
        <w:outlineLvl w:val="0"/>
        <w:rPr>
          <w:rFonts w:ascii="Times New Roman" w:hAnsi="Times New Roman"/>
        </w:rPr>
      </w:pPr>
      <w:r w:rsidRPr="002E10F1">
        <w:rPr>
          <w:rFonts w:ascii="Times New Roman" w:hAnsi="Times New Roman"/>
          <w:b/>
          <w:szCs w:val="24"/>
        </w:rPr>
        <w:t>3.</w:t>
      </w:r>
      <w:r w:rsidRPr="002E10F1">
        <w:rPr>
          <w:rFonts w:ascii="Times New Roman" w:hAnsi="Times New Roman"/>
          <w:b/>
          <w:szCs w:val="24"/>
        </w:rPr>
        <w:tab/>
        <w:t>Date of adoption of the resolution:</w:t>
      </w:r>
      <w:r w:rsidRPr="002E10F1">
        <w:rPr>
          <w:rFonts w:ascii="Times New Roman" w:hAnsi="Times New Roman"/>
          <w:b/>
          <w:smallCaps/>
          <w:szCs w:val="24"/>
        </w:rPr>
        <w:t xml:space="preserve"> </w:t>
      </w:r>
      <w:r w:rsidRPr="0049192B">
        <w:rPr>
          <w:rFonts w:ascii="Times New Roman" w:hAnsi="Times New Roman"/>
          <w:smallCaps/>
          <w:szCs w:val="24"/>
        </w:rPr>
        <w:t>13</w:t>
      </w:r>
      <w:r w:rsidRPr="00B1709A">
        <w:rPr>
          <w:rFonts w:ascii="Times New Roman" w:hAnsi="Times New Roman"/>
          <w:szCs w:val="24"/>
        </w:rPr>
        <w:t xml:space="preserve"> </w:t>
      </w:r>
      <w:r>
        <w:rPr>
          <w:rFonts w:ascii="Times New Roman" w:hAnsi="Times New Roman"/>
          <w:szCs w:val="24"/>
        </w:rPr>
        <w:t>March</w:t>
      </w:r>
      <w:r w:rsidRPr="00B1709A">
        <w:rPr>
          <w:rFonts w:ascii="Times New Roman" w:hAnsi="Times New Roman"/>
          <w:szCs w:val="24"/>
        </w:rPr>
        <w:t xml:space="preserve"> </w:t>
      </w:r>
      <w:r w:rsidRPr="00B1709A">
        <w:rPr>
          <w:rFonts w:ascii="Times New Roman" w:hAnsi="Times New Roman"/>
        </w:rPr>
        <w:t>201</w:t>
      </w:r>
      <w:r>
        <w:rPr>
          <w:rFonts w:ascii="Times New Roman" w:hAnsi="Times New Roman"/>
        </w:rPr>
        <w:t>9</w:t>
      </w:r>
    </w:p>
    <w:p w:rsidR="00870E11" w:rsidRPr="008D7A28" w:rsidRDefault="00870E11" w:rsidP="00870E11">
      <w:pPr>
        <w:pStyle w:val="NormalWeb"/>
        <w:widowControl w:val="0"/>
        <w:spacing w:before="0" w:beforeAutospacing="0" w:after="240" w:afterAutospacing="0"/>
        <w:ind w:left="567" w:hanging="567"/>
        <w:jc w:val="both"/>
        <w:rPr>
          <w:b/>
          <w:bCs/>
          <w:color w:val="000000"/>
        </w:rPr>
      </w:pPr>
      <w:r>
        <w:rPr>
          <w:b/>
          <w:color w:val="000000"/>
        </w:rPr>
        <w:t>4</w:t>
      </w:r>
      <w:r w:rsidRPr="008D7A28">
        <w:rPr>
          <w:b/>
          <w:color w:val="000000"/>
        </w:rPr>
        <w:t>.</w:t>
      </w:r>
      <w:r w:rsidRPr="008D7A28">
        <w:rPr>
          <w:color w:val="000000"/>
        </w:rPr>
        <w:tab/>
      </w:r>
      <w:r w:rsidRPr="008D7A28">
        <w:rPr>
          <w:b/>
        </w:rPr>
        <w:t>Competent Parliamentary Committee:</w:t>
      </w:r>
      <w:r w:rsidRPr="008D7A28">
        <w:t xml:space="preserve"> Environment, Public Health and Food Safety (ENVI</w:t>
      </w:r>
      <w:r w:rsidRPr="008D7A28">
        <w:rPr>
          <w:color w:val="000000"/>
        </w:rPr>
        <w:t>)</w:t>
      </w:r>
    </w:p>
    <w:p w:rsidR="00870E11" w:rsidRPr="000F6D95" w:rsidRDefault="00870E11" w:rsidP="00870E11">
      <w:pPr>
        <w:widowControl w:val="0"/>
        <w:ind w:left="567" w:hanging="567"/>
        <w:rPr>
          <w:rFonts w:ascii="Times New Roman" w:hAnsi="Times New Roman"/>
          <w:b/>
          <w:color w:val="000000"/>
          <w:szCs w:val="24"/>
        </w:rPr>
      </w:pPr>
      <w:r>
        <w:rPr>
          <w:rFonts w:ascii="Times New Roman" w:hAnsi="Times New Roman"/>
          <w:b/>
          <w:color w:val="000000"/>
          <w:szCs w:val="24"/>
        </w:rPr>
        <w:t>5</w:t>
      </w:r>
      <w:r w:rsidRPr="000F6D95">
        <w:rPr>
          <w:rFonts w:ascii="Times New Roman" w:hAnsi="Times New Roman"/>
          <w:b/>
          <w:color w:val="000000"/>
          <w:szCs w:val="24"/>
        </w:rPr>
        <w:t>.</w:t>
      </w:r>
      <w:r w:rsidRPr="000F6D95">
        <w:rPr>
          <w:rFonts w:ascii="Times New Roman" w:hAnsi="Times New Roman"/>
          <w:b/>
          <w:color w:val="000000"/>
          <w:szCs w:val="24"/>
        </w:rPr>
        <w:tab/>
        <w:t>Brief analysis/assessment of the resolution and requests made in it:</w:t>
      </w:r>
    </w:p>
    <w:p w:rsidR="00870E11" w:rsidRPr="006D1D99" w:rsidRDefault="00870E11" w:rsidP="00870E11">
      <w:pPr>
        <w:spacing w:after="120"/>
        <w:rPr>
          <w:rFonts w:ascii="Times New Roman" w:hAnsi="Times New Roman"/>
          <w:szCs w:val="24"/>
          <w:highlight w:val="red"/>
        </w:rPr>
      </w:pPr>
      <w:proofErr w:type="gramStart"/>
      <w:r>
        <w:rPr>
          <w:rFonts w:ascii="Times New Roman" w:hAnsi="Times New Roman"/>
          <w:szCs w:val="24"/>
        </w:rPr>
        <w:t>The r</w:t>
      </w:r>
      <w:r w:rsidRPr="006B0D6B">
        <w:rPr>
          <w:rFonts w:ascii="Times New Roman" w:hAnsi="Times New Roman"/>
          <w:szCs w:val="24"/>
        </w:rPr>
        <w:t>esolution re</w:t>
      </w:r>
      <w:r>
        <w:rPr>
          <w:rFonts w:ascii="Times New Roman" w:hAnsi="Times New Roman"/>
          <w:szCs w:val="24"/>
        </w:rPr>
        <w:t xml:space="preserve">fers to various hazard properties of the substance </w:t>
      </w:r>
      <w:proofErr w:type="spellStart"/>
      <w:r>
        <w:rPr>
          <w:rFonts w:ascii="Times New Roman" w:hAnsi="Times New Roman"/>
          <w:szCs w:val="24"/>
        </w:rPr>
        <w:t>thiacloprid</w:t>
      </w:r>
      <w:proofErr w:type="spellEnd"/>
      <w:r>
        <w:rPr>
          <w:rFonts w:ascii="Times New Roman" w:hAnsi="Times New Roman"/>
          <w:szCs w:val="24"/>
        </w:rPr>
        <w:t xml:space="preserve">, </w:t>
      </w:r>
      <w:r w:rsidRPr="003243DC">
        <w:rPr>
          <w:rFonts w:ascii="Times New Roman" w:hAnsi="Times New Roman"/>
          <w:i/>
          <w:szCs w:val="24"/>
        </w:rPr>
        <w:t>e.g.</w:t>
      </w:r>
      <w:r>
        <w:rPr>
          <w:rFonts w:ascii="Times New Roman" w:hAnsi="Times New Roman"/>
          <w:szCs w:val="24"/>
        </w:rPr>
        <w:t xml:space="preserve"> endocrine disruption, </w:t>
      </w:r>
      <w:proofErr w:type="spellStart"/>
      <w:r>
        <w:rPr>
          <w:rFonts w:ascii="Times New Roman" w:hAnsi="Times New Roman"/>
          <w:szCs w:val="24"/>
        </w:rPr>
        <w:t>genotoxicity</w:t>
      </w:r>
      <w:proofErr w:type="spellEnd"/>
      <w:r>
        <w:rPr>
          <w:rFonts w:ascii="Times New Roman" w:hAnsi="Times New Roman"/>
          <w:szCs w:val="24"/>
        </w:rPr>
        <w:t xml:space="preserve">, cytotoxicity, neuro-developmental impacts, neurotoxicity and </w:t>
      </w:r>
      <w:proofErr w:type="spellStart"/>
      <w:r>
        <w:rPr>
          <w:rFonts w:ascii="Times New Roman" w:hAnsi="Times New Roman"/>
          <w:szCs w:val="24"/>
        </w:rPr>
        <w:t>immunotoxicity</w:t>
      </w:r>
      <w:proofErr w:type="spellEnd"/>
      <w:r>
        <w:rPr>
          <w:rFonts w:ascii="Times New Roman" w:hAnsi="Times New Roman"/>
          <w:szCs w:val="24"/>
        </w:rPr>
        <w:t xml:space="preserve"> (</w:t>
      </w:r>
      <w:r w:rsidRPr="00480D24">
        <w:rPr>
          <w:rFonts w:ascii="Times New Roman" w:hAnsi="Times New Roman"/>
          <w:b/>
          <w:szCs w:val="24"/>
        </w:rPr>
        <w:t>recital</w:t>
      </w:r>
      <w:r>
        <w:rPr>
          <w:rFonts w:ascii="Times New Roman" w:hAnsi="Times New Roman"/>
          <w:b/>
          <w:szCs w:val="24"/>
        </w:rPr>
        <w:t>s</w:t>
      </w:r>
      <w:r w:rsidRPr="00480D24">
        <w:rPr>
          <w:rFonts w:ascii="Times New Roman" w:hAnsi="Times New Roman"/>
          <w:b/>
          <w:szCs w:val="24"/>
        </w:rPr>
        <w:t xml:space="preserve"> L, M</w:t>
      </w:r>
      <w:r>
        <w:rPr>
          <w:rFonts w:ascii="Times New Roman" w:hAnsi="Times New Roman"/>
          <w:szCs w:val="24"/>
        </w:rPr>
        <w:t>), its classification as carcinogenic category 2 (</w:t>
      </w:r>
      <w:r w:rsidRPr="00480D24">
        <w:rPr>
          <w:rFonts w:ascii="Times New Roman" w:hAnsi="Times New Roman"/>
          <w:b/>
          <w:szCs w:val="24"/>
        </w:rPr>
        <w:t>recital N</w:t>
      </w:r>
      <w:r>
        <w:rPr>
          <w:rFonts w:ascii="Times New Roman" w:hAnsi="Times New Roman"/>
          <w:szCs w:val="24"/>
        </w:rPr>
        <w:t>), the negative conclusions of the European Food Safety Authority (EFSA) in the context of the renewal procedure (</w:t>
      </w:r>
      <w:r w:rsidRPr="00480D24">
        <w:rPr>
          <w:rFonts w:ascii="Times New Roman" w:hAnsi="Times New Roman"/>
          <w:b/>
          <w:szCs w:val="24"/>
        </w:rPr>
        <w:t>recital O</w:t>
      </w:r>
      <w:r>
        <w:rPr>
          <w:rFonts w:ascii="Times New Roman" w:hAnsi="Times New Roman"/>
          <w:szCs w:val="24"/>
        </w:rPr>
        <w:t>), that it is toxic to honeybees and other pollinators (</w:t>
      </w:r>
      <w:r w:rsidRPr="00480D24">
        <w:rPr>
          <w:rFonts w:ascii="Times New Roman" w:hAnsi="Times New Roman"/>
          <w:b/>
          <w:szCs w:val="24"/>
        </w:rPr>
        <w:t>recitals S, T, U, and V</w:t>
      </w:r>
      <w:r>
        <w:rPr>
          <w:rFonts w:ascii="Times New Roman" w:hAnsi="Times New Roman"/>
          <w:szCs w:val="24"/>
        </w:rPr>
        <w:t>).</w:t>
      </w:r>
      <w:proofErr w:type="gramEnd"/>
    </w:p>
    <w:p w:rsidR="00870E11" w:rsidRDefault="00870E11" w:rsidP="00870E11">
      <w:pPr>
        <w:spacing w:after="120"/>
        <w:rPr>
          <w:rFonts w:ascii="Times New Roman" w:hAnsi="Times New Roman"/>
          <w:szCs w:val="24"/>
          <w:lang w:val="en"/>
        </w:rPr>
      </w:pPr>
      <w:r w:rsidRPr="00EA3A5A">
        <w:rPr>
          <w:rFonts w:ascii="Times New Roman" w:hAnsi="Times New Roman"/>
          <w:szCs w:val="24"/>
          <w:lang w:val="en"/>
        </w:rPr>
        <w:t xml:space="preserve">The </w:t>
      </w:r>
      <w:r>
        <w:rPr>
          <w:rFonts w:ascii="Times New Roman" w:hAnsi="Times New Roman"/>
          <w:szCs w:val="24"/>
          <w:lang w:val="en"/>
        </w:rPr>
        <w:t xml:space="preserve">resolution states that the </w:t>
      </w:r>
      <w:r w:rsidRPr="00EA3A5A">
        <w:rPr>
          <w:rFonts w:ascii="Times New Roman" w:hAnsi="Times New Roman"/>
          <w:szCs w:val="24"/>
          <w:lang w:val="en"/>
        </w:rPr>
        <w:t xml:space="preserve">draft Commission </w:t>
      </w:r>
      <w:r>
        <w:rPr>
          <w:rFonts w:ascii="Times New Roman" w:hAnsi="Times New Roman"/>
          <w:szCs w:val="24"/>
          <w:lang w:val="en"/>
        </w:rPr>
        <w:t>r</w:t>
      </w:r>
      <w:r w:rsidRPr="00EA3A5A">
        <w:rPr>
          <w:rFonts w:ascii="Times New Roman" w:hAnsi="Times New Roman"/>
          <w:szCs w:val="24"/>
          <w:lang w:val="en"/>
        </w:rPr>
        <w:t xml:space="preserve">egulation exceeds the implementing powers provided for in Regulation (EC) No </w:t>
      </w:r>
      <w:r w:rsidRPr="00EA3A5A">
        <w:rPr>
          <w:rFonts w:ascii="Times New Roman" w:hAnsi="Times New Roman"/>
          <w:szCs w:val="24"/>
        </w:rPr>
        <w:t>1107/2009</w:t>
      </w:r>
      <w:r>
        <w:rPr>
          <w:rFonts w:ascii="Times New Roman" w:hAnsi="Times New Roman"/>
          <w:szCs w:val="24"/>
        </w:rPr>
        <w:t xml:space="preserve"> (</w:t>
      </w:r>
      <w:r w:rsidRPr="00F949B7">
        <w:rPr>
          <w:rFonts w:ascii="Times New Roman" w:hAnsi="Times New Roman"/>
          <w:b/>
          <w:lang w:val="en"/>
        </w:rPr>
        <w:t>paragraph</w:t>
      </w:r>
      <w:r w:rsidRPr="00F949B7">
        <w:rPr>
          <w:rFonts w:ascii="Times New Roman" w:hAnsi="Times New Roman"/>
          <w:b/>
          <w:szCs w:val="24"/>
          <w:lang w:val="en"/>
        </w:rPr>
        <w:t xml:space="preserve"> </w:t>
      </w:r>
      <w:r w:rsidRPr="00EA3A5A">
        <w:rPr>
          <w:rFonts w:ascii="Times New Roman" w:hAnsi="Times New Roman"/>
          <w:b/>
          <w:szCs w:val="24"/>
          <w:lang w:val="en"/>
        </w:rPr>
        <w:t>1</w:t>
      </w:r>
      <w:r w:rsidRPr="00182A92">
        <w:rPr>
          <w:rFonts w:ascii="Times New Roman" w:hAnsi="Times New Roman"/>
          <w:szCs w:val="24"/>
          <w:lang w:val="en"/>
        </w:rPr>
        <w:t>)</w:t>
      </w:r>
      <w:r>
        <w:rPr>
          <w:rFonts w:ascii="Times New Roman" w:hAnsi="Times New Roman"/>
          <w:szCs w:val="24"/>
          <w:lang w:val="en"/>
        </w:rPr>
        <w:t xml:space="preserve"> </w:t>
      </w:r>
      <w:r w:rsidRPr="00A3253F">
        <w:rPr>
          <w:rFonts w:ascii="Times New Roman" w:hAnsi="Times New Roman"/>
          <w:szCs w:val="24"/>
        </w:rPr>
        <w:t>concerning the placing on the market of plant protection products</w:t>
      </w:r>
      <w:r>
        <w:rPr>
          <w:rFonts w:ascii="Times New Roman" w:hAnsi="Times New Roman"/>
          <w:szCs w:val="24"/>
          <w:lang w:val="en"/>
        </w:rPr>
        <w:t>.</w:t>
      </w:r>
    </w:p>
    <w:p w:rsidR="00870E11" w:rsidRDefault="00870E11" w:rsidP="00870E11">
      <w:pPr>
        <w:spacing w:after="120"/>
        <w:rPr>
          <w:rFonts w:ascii="Times New Roman" w:hAnsi="Times New Roman"/>
          <w:szCs w:val="24"/>
        </w:rPr>
      </w:pPr>
      <w:r>
        <w:rPr>
          <w:rFonts w:ascii="Times New Roman" w:hAnsi="Times New Roman"/>
          <w:szCs w:val="24"/>
          <w:lang w:val="en"/>
        </w:rPr>
        <w:t xml:space="preserve">The resolution claims that </w:t>
      </w:r>
      <w:r w:rsidRPr="00182A92">
        <w:rPr>
          <w:rFonts w:ascii="Times New Roman" w:hAnsi="Times New Roman"/>
          <w:szCs w:val="24"/>
          <w:lang w:val="en"/>
        </w:rPr>
        <w:t xml:space="preserve">there is insufficient evidence to suggest that unacceptable risks to animals, food safety and pollinators </w:t>
      </w:r>
      <w:proofErr w:type="gramStart"/>
      <w:r w:rsidRPr="00182A92">
        <w:rPr>
          <w:rFonts w:ascii="Times New Roman" w:hAnsi="Times New Roman"/>
          <w:szCs w:val="24"/>
          <w:lang w:val="en"/>
        </w:rPr>
        <w:t>will be prevented</w:t>
      </w:r>
      <w:proofErr w:type="gramEnd"/>
      <w:r>
        <w:rPr>
          <w:rFonts w:ascii="Times New Roman" w:hAnsi="Times New Roman"/>
          <w:szCs w:val="24"/>
        </w:rPr>
        <w:t xml:space="preserve">. It also states that the </w:t>
      </w:r>
      <w:r w:rsidRPr="006F3E17">
        <w:rPr>
          <w:rFonts w:ascii="Times New Roman" w:hAnsi="Times New Roman"/>
          <w:szCs w:val="24"/>
        </w:rPr>
        <w:t xml:space="preserve">draft Commission </w:t>
      </w:r>
      <w:r>
        <w:rPr>
          <w:rFonts w:ascii="Times New Roman" w:hAnsi="Times New Roman"/>
          <w:szCs w:val="24"/>
        </w:rPr>
        <w:t>i</w:t>
      </w:r>
      <w:r w:rsidRPr="006F3E17">
        <w:rPr>
          <w:rFonts w:ascii="Times New Roman" w:hAnsi="Times New Roman"/>
          <w:szCs w:val="24"/>
        </w:rPr>
        <w:t xml:space="preserve">mplementing </w:t>
      </w:r>
      <w:r>
        <w:rPr>
          <w:rFonts w:ascii="Times New Roman" w:hAnsi="Times New Roman"/>
          <w:szCs w:val="24"/>
        </w:rPr>
        <w:t>r</w:t>
      </w:r>
      <w:r w:rsidRPr="006F3E17">
        <w:rPr>
          <w:rFonts w:ascii="Times New Roman" w:hAnsi="Times New Roman"/>
          <w:szCs w:val="24"/>
        </w:rPr>
        <w:t xml:space="preserve">egulation is not based on an urgent need for the active substance </w:t>
      </w:r>
      <w:proofErr w:type="spellStart"/>
      <w:r w:rsidRPr="006F3E17">
        <w:rPr>
          <w:rFonts w:ascii="Times New Roman" w:hAnsi="Times New Roman"/>
          <w:szCs w:val="24"/>
        </w:rPr>
        <w:t>thiacloprid</w:t>
      </w:r>
      <w:proofErr w:type="spellEnd"/>
      <w:r w:rsidRPr="006F3E17">
        <w:rPr>
          <w:rFonts w:ascii="Times New Roman" w:hAnsi="Times New Roman"/>
          <w:szCs w:val="24"/>
        </w:rPr>
        <w:t xml:space="preserve"> for the purposes of agriculture in the Union</w:t>
      </w:r>
      <w:r>
        <w:rPr>
          <w:rFonts w:ascii="Times New Roman" w:hAnsi="Times New Roman"/>
          <w:szCs w:val="24"/>
        </w:rPr>
        <w:t xml:space="preserve"> and that it does not respect the </w:t>
      </w:r>
      <w:r w:rsidRPr="006F3E17">
        <w:rPr>
          <w:rFonts w:ascii="Times New Roman" w:hAnsi="Times New Roman"/>
          <w:szCs w:val="24"/>
        </w:rPr>
        <w:t>precautionary principle</w:t>
      </w:r>
      <w:r>
        <w:rPr>
          <w:rFonts w:ascii="Times New Roman" w:hAnsi="Times New Roman"/>
          <w:szCs w:val="24"/>
        </w:rPr>
        <w:t xml:space="preserve"> (</w:t>
      </w:r>
      <w:r w:rsidRPr="00F949B7">
        <w:rPr>
          <w:rFonts w:ascii="Times New Roman" w:hAnsi="Times New Roman"/>
          <w:b/>
          <w:lang w:val="en"/>
        </w:rPr>
        <w:t>paragraph</w:t>
      </w:r>
      <w:r w:rsidRPr="00F949B7">
        <w:rPr>
          <w:rFonts w:ascii="Times New Roman" w:hAnsi="Times New Roman"/>
          <w:b/>
          <w:szCs w:val="24"/>
        </w:rPr>
        <w:t xml:space="preserve">s </w:t>
      </w:r>
      <w:proofErr w:type="gramStart"/>
      <w:r w:rsidRPr="00DF6AF3">
        <w:rPr>
          <w:rFonts w:ascii="Times New Roman" w:hAnsi="Times New Roman"/>
          <w:b/>
          <w:szCs w:val="24"/>
        </w:rPr>
        <w:t>3</w:t>
      </w:r>
      <w:proofErr w:type="gramEnd"/>
      <w:r w:rsidRPr="00DF6AF3">
        <w:rPr>
          <w:rFonts w:ascii="Times New Roman" w:hAnsi="Times New Roman"/>
          <w:b/>
          <w:szCs w:val="24"/>
        </w:rPr>
        <w:t xml:space="preserve"> and 4</w:t>
      </w:r>
      <w:r>
        <w:rPr>
          <w:rFonts w:ascii="Times New Roman" w:hAnsi="Times New Roman"/>
          <w:szCs w:val="24"/>
        </w:rPr>
        <w:t>).</w:t>
      </w:r>
    </w:p>
    <w:p w:rsidR="00870E11" w:rsidRDefault="00870E11" w:rsidP="00870E11">
      <w:pPr>
        <w:spacing w:after="120"/>
        <w:rPr>
          <w:rFonts w:ascii="Times New Roman" w:hAnsi="Times New Roman"/>
          <w:szCs w:val="24"/>
        </w:rPr>
      </w:pPr>
      <w:r>
        <w:rPr>
          <w:rFonts w:ascii="Times New Roman" w:hAnsi="Times New Roman"/>
          <w:szCs w:val="24"/>
        </w:rPr>
        <w:t>T</w:t>
      </w:r>
      <w:r w:rsidRPr="006F3E17">
        <w:rPr>
          <w:rFonts w:ascii="Times New Roman" w:hAnsi="Times New Roman"/>
          <w:szCs w:val="24"/>
        </w:rPr>
        <w:t xml:space="preserve">he </w:t>
      </w:r>
      <w:r>
        <w:rPr>
          <w:rFonts w:ascii="Times New Roman" w:hAnsi="Times New Roman"/>
          <w:szCs w:val="24"/>
        </w:rPr>
        <w:t xml:space="preserve">resolution states that the </w:t>
      </w:r>
      <w:r w:rsidRPr="006F3E17">
        <w:rPr>
          <w:rFonts w:ascii="Times New Roman" w:hAnsi="Times New Roman"/>
          <w:szCs w:val="24"/>
        </w:rPr>
        <w:t xml:space="preserve">Commission should propose a special status for </w:t>
      </w:r>
      <w:proofErr w:type="gramStart"/>
      <w:r w:rsidRPr="006F3E17">
        <w:rPr>
          <w:rFonts w:ascii="Times New Roman" w:hAnsi="Times New Roman"/>
          <w:szCs w:val="24"/>
        </w:rPr>
        <w:t>honey bees</w:t>
      </w:r>
      <w:proofErr w:type="gramEnd"/>
      <w:r w:rsidRPr="006F3E17">
        <w:rPr>
          <w:rFonts w:ascii="Times New Roman" w:hAnsi="Times New Roman"/>
          <w:szCs w:val="24"/>
        </w:rPr>
        <w:t xml:space="preserve"> </w:t>
      </w:r>
      <w:r>
        <w:rPr>
          <w:rFonts w:ascii="Times New Roman" w:hAnsi="Times New Roman"/>
          <w:szCs w:val="24"/>
        </w:rPr>
        <w:t>(</w:t>
      </w:r>
      <w:r w:rsidRPr="00F949B7">
        <w:rPr>
          <w:rFonts w:ascii="Times New Roman" w:hAnsi="Times New Roman"/>
          <w:b/>
          <w:lang w:val="en"/>
        </w:rPr>
        <w:t>paragraph</w:t>
      </w:r>
      <w:r w:rsidRPr="00F949B7">
        <w:rPr>
          <w:rFonts w:ascii="Times New Roman" w:hAnsi="Times New Roman"/>
          <w:b/>
          <w:szCs w:val="24"/>
        </w:rPr>
        <w:t xml:space="preserve"> </w:t>
      </w:r>
      <w:r w:rsidRPr="00DF6AF3">
        <w:rPr>
          <w:rFonts w:ascii="Times New Roman" w:hAnsi="Times New Roman"/>
          <w:b/>
          <w:szCs w:val="24"/>
        </w:rPr>
        <w:t>5</w:t>
      </w:r>
      <w:r>
        <w:rPr>
          <w:rFonts w:ascii="Times New Roman" w:hAnsi="Times New Roman"/>
          <w:szCs w:val="24"/>
        </w:rPr>
        <w:t xml:space="preserve">) </w:t>
      </w:r>
      <w:r w:rsidRPr="006F3E17">
        <w:rPr>
          <w:rFonts w:ascii="Times New Roman" w:hAnsi="Times New Roman"/>
          <w:szCs w:val="24"/>
        </w:rPr>
        <w:t>which takes into account the fact that pollinators are indispensable for sustainable agriculture, for crop production and simultaneously for other wild and food producing animals</w:t>
      </w:r>
      <w:r>
        <w:rPr>
          <w:rFonts w:ascii="Times New Roman" w:hAnsi="Times New Roman"/>
          <w:szCs w:val="24"/>
        </w:rPr>
        <w:t xml:space="preserve">. Further that the Commission should </w:t>
      </w:r>
      <w:r w:rsidRPr="006F3E17">
        <w:rPr>
          <w:rFonts w:ascii="Times New Roman" w:hAnsi="Times New Roman"/>
          <w:szCs w:val="24"/>
        </w:rPr>
        <w:t>modify, harmonise and incr</w:t>
      </w:r>
      <w:r>
        <w:rPr>
          <w:rFonts w:ascii="Times New Roman" w:hAnsi="Times New Roman"/>
          <w:szCs w:val="24"/>
        </w:rPr>
        <w:t>ease the coherence of relevant r</w:t>
      </w:r>
      <w:r w:rsidRPr="006F3E17">
        <w:rPr>
          <w:rFonts w:ascii="Times New Roman" w:hAnsi="Times New Roman"/>
          <w:szCs w:val="24"/>
        </w:rPr>
        <w:t xml:space="preserve">egulations in the light of this in order to ensure a high level of protection for </w:t>
      </w:r>
      <w:proofErr w:type="gramStart"/>
      <w:r w:rsidRPr="006F3E17">
        <w:rPr>
          <w:rFonts w:ascii="Times New Roman" w:hAnsi="Times New Roman"/>
          <w:szCs w:val="24"/>
        </w:rPr>
        <w:t>honey bees</w:t>
      </w:r>
      <w:proofErr w:type="gramEnd"/>
      <w:r w:rsidRPr="006F3E17">
        <w:rPr>
          <w:rFonts w:ascii="Times New Roman" w:hAnsi="Times New Roman"/>
          <w:szCs w:val="24"/>
        </w:rPr>
        <w:t xml:space="preserve"> and other pollinators</w:t>
      </w:r>
      <w:r>
        <w:rPr>
          <w:rFonts w:ascii="Times New Roman" w:hAnsi="Times New Roman"/>
          <w:szCs w:val="24"/>
        </w:rPr>
        <w:t>.</w:t>
      </w:r>
    </w:p>
    <w:p w:rsidR="00870E11" w:rsidRPr="00EA3A5A" w:rsidRDefault="00870E11" w:rsidP="00870E11">
      <w:pPr>
        <w:spacing w:after="120"/>
        <w:rPr>
          <w:rFonts w:ascii="Times New Roman" w:hAnsi="Times New Roman"/>
          <w:b/>
          <w:szCs w:val="24"/>
          <w:lang w:val="en"/>
        </w:rPr>
      </w:pPr>
      <w:r>
        <w:rPr>
          <w:rFonts w:ascii="Times New Roman" w:hAnsi="Times New Roman"/>
          <w:szCs w:val="24"/>
          <w:lang w:val="en"/>
        </w:rPr>
        <w:t xml:space="preserve">It </w:t>
      </w:r>
      <w:r w:rsidRPr="00EA3A5A">
        <w:rPr>
          <w:rFonts w:ascii="Times New Roman" w:hAnsi="Times New Roman"/>
          <w:szCs w:val="24"/>
          <w:lang w:val="en"/>
        </w:rPr>
        <w:t>calls on the Commission</w:t>
      </w:r>
      <w:r>
        <w:rPr>
          <w:rFonts w:ascii="Times New Roman" w:hAnsi="Times New Roman"/>
          <w:szCs w:val="24"/>
          <w:lang w:val="en"/>
        </w:rPr>
        <w:t>:</w:t>
      </w:r>
    </w:p>
    <w:p w:rsidR="00870E11" w:rsidRPr="00EA3A5A" w:rsidRDefault="00870E11" w:rsidP="00870E11">
      <w:pPr>
        <w:numPr>
          <w:ilvl w:val="0"/>
          <w:numId w:val="1"/>
        </w:numPr>
        <w:spacing w:after="120"/>
        <w:ind w:left="0" w:hanging="284"/>
        <w:rPr>
          <w:rFonts w:ascii="Times New Roman" w:hAnsi="Times New Roman"/>
          <w:szCs w:val="24"/>
          <w:lang w:val="en"/>
        </w:rPr>
      </w:pPr>
      <w:r w:rsidRPr="00EA3A5A">
        <w:rPr>
          <w:rFonts w:ascii="Times New Roman" w:hAnsi="Times New Roman"/>
          <w:szCs w:val="24"/>
          <w:lang w:val="en"/>
        </w:rPr>
        <w:lastRenderedPageBreak/>
        <w:t xml:space="preserve">to withdraw the draft </w:t>
      </w:r>
      <w:r>
        <w:rPr>
          <w:rFonts w:ascii="Times New Roman" w:hAnsi="Times New Roman"/>
          <w:szCs w:val="24"/>
          <w:lang w:val="en"/>
        </w:rPr>
        <w:t>i</w:t>
      </w:r>
      <w:r w:rsidRPr="00EA3A5A">
        <w:rPr>
          <w:rFonts w:ascii="Times New Roman" w:hAnsi="Times New Roman"/>
          <w:szCs w:val="24"/>
          <w:lang w:val="en"/>
        </w:rPr>
        <w:t xml:space="preserve">mplementing </w:t>
      </w:r>
      <w:r>
        <w:rPr>
          <w:rFonts w:ascii="Times New Roman" w:hAnsi="Times New Roman"/>
          <w:szCs w:val="24"/>
          <w:lang w:val="en"/>
        </w:rPr>
        <w:t>r</w:t>
      </w:r>
      <w:r w:rsidRPr="00EA3A5A">
        <w:rPr>
          <w:rFonts w:ascii="Times New Roman" w:hAnsi="Times New Roman"/>
          <w:szCs w:val="24"/>
          <w:lang w:val="en"/>
        </w:rPr>
        <w:t xml:space="preserve">egulation and to submit a new draft to the Committee that takes into account the chronic effect of the active substance </w:t>
      </w:r>
      <w:proofErr w:type="spellStart"/>
      <w:r w:rsidRPr="00EA3A5A">
        <w:rPr>
          <w:rFonts w:ascii="Times New Roman" w:hAnsi="Times New Roman"/>
          <w:szCs w:val="24"/>
          <w:lang w:val="en"/>
        </w:rPr>
        <w:t>thiacloprid</w:t>
      </w:r>
      <w:proofErr w:type="spellEnd"/>
      <w:r w:rsidRPr="00EA3A5A">
        <w:rPr>
          <w:rFonts w:ascii="Times New Roman" w:hAnsi="Times New Roman"/>
          <w:szCs w:val="24"/>
          <w:lang w:val="en"/>
        </w:rPr>
        <w:t xml:space="preserve"> on honey bees, human and animal health, and the environment (</w:t>
      </w:r>
      <w:r w:rsidRPr="00F949B7">
        <w:rPr>
          <w:rFonts w:ascii="Times New Roman" w:hAnsi="Times New Roman"/>
          <w:b/>
          <w:lang w:val="en"/>
        </w:rPr>
        <w:t>paragraph</w:t>
      </w:r>
      <w:r w:rsidRPr="00EA3A5A">
        <w:rPr>
          <w:rFonts w:ascii="Times New Roman" w:hAnsi="Times New Roman"/>
          <w:b/>
          <w:szCs w:val="24"/>
          <w:lang w:val="en"/>
        </w:rPr>
        <w:t xml:space="preserve"> 6</w:t>
      </w:r>
      <w:r>
        <w:rPr>
          <w:rFonts w:ascii="Times New Roman" w:hAnsi="Times New Roman"/>
          <w:szCs w:val="24"/>
          <w:lang w:val="en"/>
        </w:rPr>
        <w:t>)</w:t>
      </w:r>
      <w:r w:rsidRPr="00EA3A5A">
        <w:rPr>
          <w:rFonts w:ascii="Times New Roman" w:hAnsi="Times New Roman"/>
          <w:szCs w:val="24"/>
        </w:rPr>
        <w:t>; and</w:t>
      </w:r>
    </w:p>
    <w:p w:rsidR="00870E11" w:rsidRPr="00EA3A5A" w:rsidRDefault="00870E11" w:rsidP="00870E11">
      <w:pPr>
        <w:numPr>
          <w:ilvl w:val="0"/>
          <w:numId w:val="1"/>
        </w:numPr>
        <w:spacing w:after="120"/>
        <w:ind w:left="0" w:hanging="284"/>
        <w:rPr>
          <w:rFonts w:ascii="Times New Roman" w:hAnsi="Times New Roman"/>
          <w:szCs w:val="24"/>
          <w:lang w:val="en"/>
        </w:rPr>
      </w:pPr>
      <w:r w:rsidRPr="00EA3A5A">
        <w:rPr>
          <w:rFonts w:ascii="Times New Roman" w:hAnsi="Times New Roman"/>
          <w:szCs w:val="24"/>
          <w:lang w:val="en"/>
        </w:rPr>
        <w:t xml:space="preserve">to ban, without any delay, active substances from the neonicotinoid class or substances that act with the same mode of action, including </w:t>
      </w:r>
      <w:proofErr w:type="spellStart"/>
      <w:r w:rsidRPr="00EA3A5A">
        <w:rPr>
          <w:rFonts w:ascii="Times New Roman" w:hAnsi="Times New Roman"/>
          <w:szCs w:val="24"/>
          <w:lang w:val="en"/>
        </w:rPr>
        <w:t>thiacloprid</w:t>
      </w:r>
      <w:proofErr w:type="spellEnd"/>
      <w:r w:rsidRPr="00EA3A5A">
        <w:rPr>
          <w:rFonts w:ascii="Times New Roman" w:hAnsi="Times New Roman"/>
          <w:szCs w:val="24"/>
          <w:lang w:val="en"/>
        </w:rPr>
        <w:t xml:space="preserve"> (</w:t>
      </w:r>
      <w:r w:rsidRPr="00F949B7">
        <w:rPr>
          <w:rFonts w:ascii="Times New Roman" w:hAnsi="Times New Roman"/>
          <w:b/>
          <w:lang w:val="en"/>
        </w:rPr>
        <w:t>paragraph</w:t>
      </w:r>
      <w:r w:rsidRPr="00EA3A5A">
        <w:rPr>
          <w:rFonts w:ascii="Times New Roman" w:hAnsi="Times New Roman"/>
          <w:b/>
          <w:szCs w:val="24"/>
          <w:lang w:val="en"/>
        </w:rPr>
        <w:t xml:space="preserve"> 7</w:t>
      </w:r>
      <w:r w:rsidRPr="00EA3A5A">
        <w:rPr>
          <w:rFonts w:ascii="Times New Roman" w:hAnsi="Times New Roman"/>
          <w:szCs w:val="24"/>
          <w:lang w:val="en"/>
        </w:rPr>
        <w:t>)</w:t>
      </w:r>
    </w:p>
    <w:p w:rsidR="00870E11" w:rsidRPr="00A34F86" w:rsidRDefault="00870E11" w:rsidP="00870E11">
      <w:pPr>
        <w:ind w:left="567" w:hanging="567"/>
        <w:rPr>
          <w:rFonts w:ascii="Times New Roman" w:hAnsi="Times New Roman"/>
          <w:b/>
          <w:color w:val="000000"/>
          <w:szCs w:val="24"/>
        </w:rPr>
      </w:pPr>
      <w:r>
        <w:rPr>
          <w:rFonts w:ascii="Times New Roman" w:hAnsi="Times New Roman"/>
          <w:b/>
          <w:color w:val="000000"/>
          <w:szCs w:val="24"/>
        </w:rPr>
        <w:t>6</w:t>
      </w:r>
      <w:r w:rsidRPr="00A34F86">
        <w:rPr>
          <w:rFonts w:ascii="Times New Roman" w:hAnsi="Times New Roman"/>
          <w:b/>
          <w:color w:val="000000"/>
          <w:szCs w:val="24"/>
        </w:rPr>
        <w:t>.</w:t>
      </w:r>
      <w:r w:rsidRPr="00A34F86">
        <w:rPr>
          <w:rFonts w:ascii="Times New Roman" w:hAnsi="Times New Roman"/>
          <w:b/>
          <w:color w:val="000000"/>
          <w:szCs w:val="24"/>
        </w:rPr>
        <w:tab/>
        <w:t xml:space="preserve">Responses to requests and overview of actions taken, or </w:t>
      </w:r>
      <w:proofErr w:type="gramStart"/>
      <w:r w:rsidRPr="00A34F86">
        <w:rPr>
          <w:rFonts w:ascii="Times New Roman" w:hAnsi="Times New Roman"/>
          <w:b/>
          <w:color w:val="000000"/>
          <w:szCs w:val="24"/>
        </w:rPr>
        <w:t>intended to be taken</w:t>
      </w:r>
      <w:proofErr w:type="gramEnd"/>
      <w:r w:rsidRPr="00A34F86">
        <w:rPr>
          <w:rFonts w:ascii="Times New Roman" w:hAnsi="Times New Roman"/>
          <w:b/>
          <w:color w:val="000000"/>
          <w:szCs w:val="24"/>
        </w:rPr>
        <w:t>, by the Commission:</w:t>
      </w:r>
    </w:p>
    <w:p w:rsidR="00870E11" w:rsidRDefault="00870E11" w:rsidP="00870E11">
      <w:pPr>
        <w:spacing w:after="120"/>
        <w:rPr>
          <w:rFonts w:ascii="Times New Roman" w:hAnsi="Times New Roman"/>
          <w:szCs w:val="24"/>
        </w:rPr>
      </w:pPr>
      <w:r w:rsidRPr="00890888">
        <w:rPr>
          <w:rFonts w:ascii="Times New Roman" w:hAnsi="Times New Roman"/>
          <w:szCs w:val="24"/>
        </w:rPr>
        <w:t xml:space="preserve">The </w:t>
      </w:r>
      <w:r>
        <w:rPr>
          <w:rFonts w:ascii="Times New Roman" w:hAnsi="Times New Roman"/>
          <w:szCs w:val="24"/>
        </w:rPr>
        <w:t>Commission would first like to note that it has already adopted the draft regulation as Commission Implementing Regulation (EU) 2019/168 of 31 January 2019</w:t>
      </w:r>
      <w:r>
        <w:rPr>
          <w:rStyle w:val="FootnoteReference"/>
          <w:rFonts w:ascii="Times New Roman" w:hAnsi="Times New Roman"/>
          <w:szCs w:val="24"/>
        </w:rPr>
        <w:footnoteReference w:id="1"/>
      </w:r>
      <w:r>
        <w:rPr>
          <w:rFonts w:ascii="Times New Roman" w:hAnsi="Times New Roman"/>
          <w:szCs w:val="24"/>
        </w:rPr>
        <w:t xml:space="preserve">, extending the approval of </w:t>
      </w:r>
      <w:proofErr w:type="spellStart"/>
      <w:r>
        <w:rPr>
          <w:rFonts w:ascii="Times New Roman" w:hAnsi="Times New Roman"/>
          <w:szCs w:val="24"/>
        </w:rPr>
        <w:t>thiacloprid</w:t>
      </w:r>
      <w:proofErr w:type="spellEnd"/>
      <w:r>
        <w:rPr>
          <w:rFonts w:ascii="Times New Roman" w:hAnsi="Times New Roman"/>
          <w:szCs w:val="24"/>
        </w:rPr>
        <w:t xml:space="preserve"> to 30 April 2020.</w:t>
      </w:r>
    </w:p>
    <w:p w:rsidR="00870E11" w:rsidRPr="00890888" w:rsidRDefault="00870E11" w:rsidP="00870E11">
      <w:pPr>
        <w:spacing w:after="120"/>
        <w:rPr>
          <w:rFonts w:ascii="Times New Roman" w:hAnsi="Times New Roman"/>
          <w:szCs w:val="24"/>
        </w:rPr>
      </w:pPr>
      <w:r>
        <w:rPr>
          <w:rFonts w:ascii="Times New Roman" w:hAnsi="Times New Roman"/>
          <w:szCs w:val="24"/>
        </w:rPr>
        <w:t xml:space="preserve">Regarding </w:t>
      </w:r>
      <w:r w:rsidRPr="00F949B7">
        <w:rPr>
          <w:rFonts w:ascii="Times New Roman" w:hAnsi="Times New Roman"/>
          <w:b/>
          <w:lang w:val="en"/>
        </w:rPr>
        <w:t>paragraph</w:t>
      </w:r>
      <w:r w:rsidRPr="00DF6AF3">
        <w:rPr>
          <w:rFonts w:ascii="Times New Roman" w:hAnsi="Times New Roman"/>
          <w:b/>
          <w:szCs w:val="24"/>
        </w:rPr>
        <w:t xml:space="preserve"> 1</w:t>
      </w:r>
      <w:r>
        <w:rPr>
          <w:rFonts w:ascii="Times New Roman" w:hAnsi="Times New Roman"/>
          <w:szCs w:val="24"/>
        </w:rPr>
        <w:t xml:space="preserve">, as explained below, the Commission considers that the </w:t>
      </w:r>
      <w:r w:rsidRPr="00890888">
        <w:rPr>
          <w:rFonts w:ascii="Times New Roman" w:hAnsi="Times New Roman"/>
          <w:szCs w:val="24"/>
        </w:rPr>
        <w:t xml:space="preserve">draft </w:t>
      </w:r>
      <w:r>
        <w:rPr>
          <w:rFonts w:ascii="Times New Roman" w:hAnsi="Times New Roman"/>
          <w:szCs w:val="24"/>
        </w:rPr>
        <w:t>r</w:t>
      </w:r>
      <w:r w:rsidRPr="00890888">
        <w:rPr>
          <w:rFonts w:ascii="Times New Roman" w:hAnsi="Times New Roman"/>
          <w:szCs w:val="24"/>
        </w:rPr>
        <w:t xml:space="preserve">egulation </w:t>
      </w:r>
      <w:r>
        <w:rPr>
          <w:rFonts w:ascii="Times New Roman" w:hAnsi="Times New Roman"/>
          <w:szCs w:val="24"/>
        </w:rPr>
        <w:t>wa</w:t>
      </w:r>
      <w:r w:rsidRPr="00890888">
        <w:rPr>
          <w:rFonts w:ascii="Times New Roman" w:hAnsi="Times New Roman"/>
          <w:szCs w:val="24"/>
        </w:rPr>
        <w:t>s fully in line with the provisions</w:t>
      </w:r>
      <w:r>
        <w:rPr>
          <w:rFonts w:ascii="Times New Roman" w:hAnsi="Times New Roman"/>
          <w:szCs w:val="24"/>
        </w:rPr>
        <w:t>,</w:t>
      </w:r>
      <w:r w:rsidRPr="00890888">
        <w:rPr>
          <w:rFonts w:ascii="Times New Roman" w:hAnsi="Times New Roman"/>
          <w:szCs w:val="24"/>
        </w:rPr>
        <w:t xml:space="preserve"> </w:t>
      </w:r>
      <w:r w:rsidRPr="00A3253F">
        <w:rPr>
          <w:rFonts w:ascii="Times New Roman" w:hAnsi="Times New Roman"/>
          <w:szCs w:val="24"/>
        </w:rPr>
        <w:t xml:space="preserve">aims and objectives of Regulation (EC) No 1107/2009, the main purpose of which is to ensure a high level of both human and animal health and </w:t>
      </w:r>
      <w:r>
        <w:rPr>
          <w:rFonts w:ascii="Times New Roman" w:hAnsi="Times New Roman"/>
          <w:szCs w:val="24"/>
        </w:rPr>
        <w:t xml:space="preserve">protection of </w:t>
      </w:r>
      <w:r w:rsidRPr="00A3253F">
        <w:rPr>
          <w:rFonts w:ascii="Times New Roman" w:hAnsi="Times New Roman"/>
          <w:szCs w:val="24"/>
        </w:rPr>
        <w:t>the environment</w:t>
      </w:r>
      <w:r>
        <w:rPr>
          <w:rFonts w:ascii="Times New Roman" w:hAnsi="Times New Roman"/>
          <w:szCs w:val="24"/>
        </w:rPr>
        <w:t>.</w:t>
      </w:r>
    </w:p>
    <w:p w:rsidR="00870E11" w:rsidRPr="0044227D" w:rsidRDefault="00870E11" w:rsidP="00870E11">
      <w:pPr>
        <w:spacing w:after="120"/>
        <w:rPr>
          <w:rFonts w:ascii="Times New Roman" w:hAnsi="Times New Roman"/>
          <w:szCs w:val="24"/>
        </w:rPr>
      </w:pPr>
      <w:r>
        <w:rPr>
          <w:rFonts w:ascii="Times New Roman" w:hAnsi="Times New Roman"/>
          <w:szCs w:val="24"/>
        </w:rPr>
        <w:t xml:space="preserve">In relation to </w:t>
      </w:r>
      <w:r w:rsidRPr="00F949B7">
        <w:rPr>
          <w:rFonts w:ascii="Times New Roman" w:hAnsi="Times New Roman"/>
          <w:b/>
          <w:lang w:val="en"/>
        </w:rPr>
        <w:t>paragraph</w:t>
      </w:r>
      <w:r>
        <w:rPr>
          <w:rFonts w:ascii="Times New Roman" w:hAnsi="Times New Roman"/>
          <w:b/>
          <w:lang w:val="en"/>
        </w:rPr>
        <w:t>s</w:t>
      </w:r>
      <w:r w:rsidRPr="00F949B7">
        <w:rPr>
          <w:rFonts w:ascii="Times New Roman" w:hAnsi="Times New Roman"/>
          <w:b/>
          <w:szCs w:val="24"/>
        </w:rPr>
        <w:t xml:space="preserve"> </w:t>
      </w:r>
      <w:r w:rsidRPr="00DF6AF3">
        <w:rPr>
          <w:rFonts w:ascii="Times New Roman" w:hAnsi="Times New Roman"/>
          <w:b/>
          <w:szCs w:val="24"/>
        </w:rPr>
        <w:t>3 and 4</w:t>
      </w:r>
      <w:r>
        <w:rPr>
          <w:rFonts w:ascii="Times New Roman" w:hAnsi="Times New Roman"/>
          <w:szCs w:val="24"/>
        </w:rPr>
        <w:t xml:space="preserve">, the Commission points out that </w:t>
      </w:r>
      <w:r w:rsidRPr="00890888">
        <w:rPr>
          <w:rFonts w:ascii="Times New Roman" w:hAnsi="Times New Roman"/>
          <w:szCs w:val="24"/>
        </w:rPr>
        <w:t xml:space="preserve">the approval period for </w:t>
      </w:r>
      <w:proofErr w:type="spellStart"/>
      <w:r w:rsidRPr="00890888">
        <w:rPr>
          <w:rFonts w:ascii="Times New Roman" w:hAnsi="Times New Roman"/>
          <w:szCs w:val="24"/>
        </w:rPr>
        <w:t>thiacloprid</w:t>
      </w:r>
      <w:proofErr w:type="spellEnd"/>
      <w:r w:rsidRPr="00890888">
        <w:rPr>
          <w:rFonts w:ascii="Times New Roman" w:hAnsi="Times New Roman"/>
          <w:szCs w:val="24"/>
        </w:rPr>
        <w:t xml:space="preserve"> had to be extended as the decision-making process</w:t>
      </w:r>
      <w:r>
        <w:rPr>
          <w:rFonts w:ascii="Times New Roman" w:hAnsi="Times New Roman"/>
          <w:szCs w:val="24"/>
        </w:rPr>
        <w:t xml:space="preserve"> concerning the renewal,</w:t>
      </w:r>
      <w:r w:rsidRPr="00890888">
        <w:rPr>
          <w:rFonts w:ascii="Times New Roman" w:hAnsi="Times New Roman"/>
          <w:szCs w:val="24"/>
        </w:rPr>
        <w:t xml:space="preserve"> </w:t>
      </w:r>
      <w:r>
        <w:rPr>
          <w:rFonts w:ascii="Times New Roman" w:hAnsi="Times New Roman"/>
          <w:szCs w:val="24"/>
        </w:rPr>
        <w:t>could not</w:t>
      </w:r>
      <w:r w:rsidRPr="00890888">
        <w:rPr>
          <w:rFonts w:ascii="Times New Roman" w:hAnsi="Times New Roman"/>
          <w:szCs w:val="24"/>
        </w:rPr>
        <w:t xml:space="preserve"> be finalised before the </w:t>
      </w:r>
      <w:r>
        <w:rPr>
          <w:rFonts w:ascii="Times New Roman" w:hAnsi="Times New Roman"/>
          <w:szCs w:val="24"/>
        </w:rPr>
        <w:t xml:space="preserve">earlier </w:t>
      </w:r>
      <w:r w:rsidRPr="00890888">
        <w:rPr>
          <w:rFonts w:ascii="Times New Roman" w:hAnsi="Times New Roman"/>
          <w:szCs w:val="24"/>
        </w:rPr>
        <w:t xml:space="preserve">expiry date of 30 April 2019. In fact, the rapporteur Member State received the dossier on 31 October 2014 and submitted the draft Renewal Assessment Report with a delay of 24 months to the European Food Safety Authority (EFSA) on 31 October 2017. EFSA finalised its conclusion on the peer review of the pesticide risk assessment of the active substance </w:t>
      </w:r>
      <w:proofErr w:type="spellStart"/>
      <w:r w:rsidRPr="00890888">
        <w:rPr>
          <w:rFonts w:ascii="Times New Roman" w:hAnsi="Times New Roman"/>
          <w:szCs w:val="24"/>
        </w:rPr>
        <w:t>thiacloprid</w:t>
      </w:r>
      <w:proofErr w:type="spellEnd"/>
      <w:r w:rsidRPr="00890888">
        <w:rPr>
          <w:rFonts w:ascii="Times New Roman" w:hAnsi="Times New Roman"/>
          <w:szCs w:val="24"/>
        </w:rPr>
        <w:t xml:space="preserve"> on 22 January 2019 with a further delay of four months compared to what </w:t>
      </w:r>
      <w:proofErr w:type="gramStart"/>
      <w:r w:rsidRPr="00890888">
        <w:rPr>
          <w:rFonts w:ascii="Times New Roman" w:hAnsi="Times New Roman"/>
          <w:szCs w:val="24"/>
        </w:rPr>
        <w:t xml:space="preserve">is </w:t>
      </w:r>
      <w:r>
        <w:rPr>
          <w:rFonts w:ascii="Times New Roman" w:hAnsi="Times New Roman"/>
          <w:szCs w:val="24"/>
        </w:rPr>
        <w:t>provided for</w:t>
      </w:r>
      <w:proofErr w:type="gramEnd"/>
      <w:r w:rsidRPr="00890888">
        <w:rPr>
          <w:rFonts w:ascii="Times New Roman" w:hAnsi="Times New Roman"/>
          <w:szCs w:val="24"/>
        </w:rPr>
        <w:t xml:space="preserve"> in Regulation (EU) 844/2012</w:t>
      </w:r>
      <w:r>
        <w:rPr>
          <w:rFonts w:ascii="Times New Roman" w:hAnsi="Times New Roman"/>
          <w:szCs w:val="24"/>
        </w:rPr>
        <w:t>. This was</w:t>
      </w:r>
      <w:r w:rsidRPr="00890888">
        <w:rPr>
          <w:rFonts w:ascii="Times New Roman" w:hAnsi="Times New Roman"/>
          <w:szCs w:val="24"/>
        </w:rPr>
        <w:t xml:space="preserve"> because of a </w:t>
      </w:r>
      <w:proofErr w:type="gramStart"/>
      <w:r w:rsidRPr="00890888">
        <w:rPr>
          <w:rFonts w:ascii="Times New Roman" w:hAnsi="Times New Roman"/>
          <w:szCs w:val="24"/>
        </w:rPr>
        <w:t>three month</w:t>
      </w:r>
      <w:proofErr w:type="gramEnd"/>
      <w:r w:rsidRPr="00890888">
        <w:rPr>
          <w:rFonts w:ascii="Times New Roman" w:hAnsi="Times New Roman"/>
          <w:szCs w:val="24"/>
        </w:rPr>
        <w:t xml:space="preserve"> ‘stop-the-clock’ period during the peer review </w:t>
      </w:r>
      <w:r>
        <w:rPr>
          <w:rFonts w:ascii="Times New Roman" w:hAnsi="Times New Roman"/>
          <w:szCs w:val="24"/>
        </w:rPr>
        <w:t>because of</w:t>
      </w:r>
      <w:r w:rsidRPr="00890888">
        <w:rPr>
          <w:rFonts w:ascii="Times New Roman" w:hAnsi="Times New Roman"/>
          <w:szCs w:val="24"/>
        </w:rPr>
        <w:t xml:space="preserve"> a request to the applicant to submit further data and a one month delay during the internal approval stage at EFSA. </w:t>
      </w:r>
      <w:r>
        <w:rPr>
          <w:rFonts w:ascii="Times New Roman" w:hAnsi="Times New Roman"/>
          <w:szCs w:val="24"/>
        </w:rPr>
        <w:t>T</w:t>
      </w:r>
      <w:r w:rsidRPr="00890888">
        <w:rPr>
          <w:rFonts w:ascii="Times New Roman" w:hAnsi="Times New Roman"/>
          <w:szCs w:val="24"/>
        </w:rPr>
        <w:t>he reasons for the</w:t>
      </w:r>
      <w:r>
        <w:rPr>
          <w:rFonts w:ascii="Times New Roman" w:hAnsi="Times New Roman"/>
          <w:szCs w:val="24"/>
        </w:rPr>
        <w:t>se</w:t>
      </w:r>
      <w:r w:rsidRPr="00890888">
        <w:rPr>
          <w:rFonts w:ascii="Times New Roman" w:hAnsi="Times New Roman"/>
          <w:szCs w:val="24"/>
        </w:rPr>
        <w:t xml:space="preserve"> delay</w:t>
      </w:r>
      <w:r>
        <w:rPr>
          <w:rFonts w:ascii="Times New Roman" w:hAnsi="Times New Roman"/>
          <w:szCs w:val="24"/>
        </w:rPr>
        <w:t>s</w:t>
      </w:r>
      <w:r w:rsidRPr="00890888">
        <w:rPr>
          <w:rFonts w:ascii="Times New Roman" w:hAnsi="Times New Roman"/>
          <w:szCs w:val="24"/>
        </w:rPr>
        <w:t xml:space="preserve"> were beyond the control of the applicant. </w:t>
      </w:r>
      <w:r>
        <w:rPr>
          <w:rFonts w:ascii="Times New Roman" w:hAnsi="Times New Roman"/>
          <w:szCs w:val="24"/>
        </w:rPr>
        <w:t>Under Article 17 of Regulation (EC) No 1107/2009, t</w:t>
      </w:r>
      <w:r w:rsidRPr="00890888">
        <w:rPr>
          <w:rFonts w:ascii="Times New Roman" w:hAnsi="Times New Roman"/>
          <w:szCs w:val="24"/>
        </w:rPr>
        <w:t xml:space="preserve">he Commission, therefore, </w:t>
      </w:r>
      <w:r>
        <w:rPr>
          <w:rFonts w:ascii="Times New Roman" w:hAnsi="Times New Roman"/>
          <w:szCs w:val="24"/>
        </w:rPr>
        <w:t>was obliged</w:t>
      </w:r>
      <w:r w:rsidRPr="00890888">
        <w:rPr>
          <w:rFonts w:ascii="Times New Roman" w:hAnsi="Times New Roman"/>
          <w:szCs w:val="24"/>
        </w:rPr>
        <w:t xml:space="preserve"> to extend the duration of the approval period for </w:t>
      </w:r>
      <w:proofErr w:type="spellStart"/>
      <w:r w:rsidRPr="00890888">
        <w:rPr>
          <w:rFonts w:ascii="Times New Roman" w:hAnsi="Times New Roman"/>
          <w:szCs w:val="24"/>
        </w:rPr>
        <w:t>thiacloprid</w:t>
      </w:r>
      <w:proofErr w:type="spellEnd"/>
      <w:r w:rsidRPr="00890888">
        <w:rPr>
          <w:rFonts w:ascii="Times New Roman" w:hAnsi="Times New Roman"/>
          <w:szCs w:val="24"/>
        </w:rPr>
        <w:t>.</w:t>
      </w:r>
      <w:r>
        <w:rPr>
          <w:rFonts w:ascii="Times New Roman" w:hAnsi="Times New Roman"/>
          <w:szCs w:val="24"/>
        </w:rPr>
        <w:t xml:space="preserve"> </w:t>
      </w:r>
      <w:r w:rsidRPr="0044227D">
        <w:rPr>
          <w:rFonts w:ascii="Times New Roman" w:hAnsi="Times New Roman"/>
          <w:szCs w:val="24"/>
        </w:rPr>
        <w:t xml:space="preserve">This </w:t>
      </w:r>
      <w:r w:rsidRPr="0044227D">
        <w:rPr>
          <w:rFonts w:ascii="Times New Roman" w:hAnsi="Times New Roman"/>
        </w:rPr>
        <w:t xml:space="preserve">is without prejudice to the decision that the Commission will take </w:t>
      </w:r>
      <w:r>
        <w:rPr>
          <w:rFonts w:ascii="Times New Roman" w:hAnsi="Times New Roman"/>
        </w:rPr>
        <w:t>regarding</w:t>
      </w:r>
      <w:r w:rsidRPr="0044227D">
        <w:rPr>
          <w:rFonts w:ascii="Times New Roman" w:hAnsi="Times New Roman"/>
        </w:rPr>
        <w:t xml:space="preserve"> the renewal </w:t>
      </w:r>
      <w:r>
        <w:rPr>
          <w:rFonts w:ascii="Times New Roman" w:hAnsi="Times New Roman"/>
        </w:rPr>
        <w:t xml:space="preserve">or non-renewal </w:t>
      </w:r>
      <w:r w:rsidRPr="0044227D">
        <w:rPr>
          <w:rFonts w:ascii="Times New Roman" w:hAnsi="Times New Roman"/>
        </w:rPr>
        <w:t xml:space="preserve">of the </w:t>
      </w:r>
      <w:r>
        <w:rPr>
          <w:rFonts w:ascii="Times New Roman" w:hAnsi="Times New Roman"/>
        </w:rPr>
        <w:t>approval.</w:t>
      </w:r>
    </w:p>
    <w:p w:rsidR="00870E11" w:rsidRDefault="00870E11" w:rsidP="00870E11">
      <w:pPr>
        <w:spacing w:after="120"/>
        <w:rPr>
          <w:rFonts w:ascii="Times New Roman" w:hAnsi="Times New Roman"/>
          <w:szCs w:val="24"/>
        </w:rPr>
      </w:pPr>
      <w:proofErr w:type="gramStart"/>
      <w:r>
        <w:rPr>
          <w:rFonts w:ascii="Times New Roman" w:hAnsi="Times New Roman"/>
          <w:szCs w:val="24"/>
        </w:rPr>
        <w:t xml:space="preserve">The Commission would also like to note that while </w:t>
      </w:r>
      <w:proofErr w:type="spellStart"/>
      <w:r>
        <w:rPr>
          <w:rFonts w:ascii="Times New Roman" w:hAnsi="Times New Roman"/>
          <w:szCs w:val="24"/>
        </w:rPr>
        <w:t>t</w:t>
      </w:r>
      <w:r w:rsidRPr="00A3253F">
        <w:rPr>
          <w:rFonts w:ascii="Times New Roman" w:hAnsi="Times New Roman"/>
          <w:szCs w:val="24"/>
        </w:rPr>
        <w:t>hiacloprid</w:t>
      </w:r>
      <w:proofErr w:type="spellEnd"/>
      <w:r w:rsidRPr="00A3253F">
        <w:rPr>
          <w:rFonts w:ascii="Times New Roman" w:hAnsi="Times New Roman"/>
          <w:szCs w:val="24"/>
        </w:rPr>
        <w:t xml:space="preserve"> is indeed classified as toxic for reproduction, category 1B, according to Regulation (EC) No 1272/2008 on classification, labelling and packaging of substances and mixtures</w:t>
      </w:r>
      <w:r>
        <w:rPr>
          <w:rFonts w:ascii="Times New Roman" w:hAnsi="Times New Roman"/>
          <w:szCs w:val="24"/>
        </w:rPr>
        <w:t xml:space="preserve">, and thus </w:t>
      </w:r>
      <w:r w:rsidRPr="00A3253F">
        <w:rPr>
          <w:rFonts w:ascii="Times New Roman" w:hAnsi="Times New Roman"/>
          <w:szCs w:val="24"/>
        </w:rPr>
        <w:t>meets one of the cut-off criteria (namely Point 3.6.4 of Annex II) in Regulation (EC) No 1107/2009</w:t>
      </w:r>
      <w:r>
        <w:rPr>
          <w:rFonts w:ascii="Times New Roman" w:hAnsi="Times New Roman"/>
          <w:szCs w:val="24"/>
        </w:rPr>
        <w:t xml:space="preserve">, </w:t>
      </w:r>
      <w:r w:rsidRPr="00A3253F">
        <w:rPr>
          <w:rFonts w:ascii="Times New Roman" w:hAnsi="Times New Roman"/>
          <w:szCs w:val="24"/>
        </w:rPr>
        <w:t>this cut-off criterion provides for exceptions.</w:t>
      </w:r>
      <w:proofErr w:type="gramEnd"/>
      <w:r w:rsidRPr="00A3253F">
        <w:rPr>
          <w:rFonts w:ascii="Times New Roman" w:hAnsi="Times New Roman"/>
          <w:szCs w:val="24"/>
        </w:rPr>
        <w:t xml:space="preserve"> The applicant ha</w:t>
      </w:r>
      <w:r>
        <w:rPr>
          <w:rFonts w:ascii="Times New Roman" w:hAnsi="Times New Roman"/>
          <w:szCs w:val="24"/>
        </w:rPr>
        <w:t>d</w:t>
      </w:r>
      <w:r w:rsidRPr="00A3253F">
        <w:rPr>
          <w:rFonts w:ascii="Times New Roman" w:hAnsi="Times New Roman"/>
          <w:szCs w:val="24"/>
        </w:rPr>
        <w:t xml:space="preserve"> provid</w:t>
      </w:r>
      <w:r>
        <w:rPr>
          <w:rFonts w:ascii="Times New Roman" w:hAnsi="Times New Roman"/>
          <w:szCs w:val="24"/>
        </w:rPr>
        <w:t>ed</w:t>
      </w:r>
      <w:r w:rsidRPr="00A3253F">
        <w:rPr>
          <w:rFonts w:ascii="Times New Roman" w:hAnsi="Times New Roman"/>
          <w:szCs w:val="24"/>
        </w:rPr>
        <w:t xml:space="preserve"> information to avail himself to the exceptions provided by the legislators. </w:t>
      </w:r>
      <w:r>
        <w:rPr>
          <w:rFonts w:ascii="Times New Roman" w:hAnsi="Times New Roman"/>
          <w:szCs w:val="24"/>
        </w:rPr>
        <w:t xml:space="preserve">Furthermore, </w:t>
      </w:r>
      <w:r w:rsidRPr="00A3253F">
        <w:rPr>
          <w:rFonts w:ascii="Times New Roman" w:hAnsi="Times New Roman"/>
          <w:szCs w:val="24"/>
        </w:rPr>
        <w:t>Article 17 of Regulation (EC) No 1107/2009 do</w:t>
      </w:r>
      <w:r>
        <w:rPr>
          <w:rFonts w:ascii="Times New Roman" w:hAnsi="Times New Roman"/>
          <w:szCs w:val="24"/>
        </w:rPr>
        <w:t>es</w:t>
      </w:r>
      <w:r w:rsidRPr="00A3253F">
        <w:rPr>
          <w:rFonts w:ascii="Times New Roman" w:hAnsi="Times New Roman"/>
          <w:szCs w:val="24"/>
        </w:rPr>
        <w:t xml:space="preserve"> not distinguish between substances meeting the cut-off criteria and substances that do not meet these criteria. The classification of </w:t>
      </w:r>
      <w:proofErr w:type="spellStart"/>
      <w:r w:rsidRPr="00A3253F">
        <w:rPr>
          <w:rFonts w:ascii="Times New Roman" w:hAnsi="Times New Roman"/>
          <w:szCs w:val="24"/>
        </w:rPr>
        <w:t>thiacloprid</w:t>
      </w:r>
      <w:proofErr w:type="spellEnd"/>
      <w:r w:rsidRPr="00A3253F">
        <w:rPr>
          <w:rFonts w:ascii="Times New Roman" w:hAnsi="Times New Roman"/>
          <w:szCs w:val="24"/>
        </w:rPr>
        <w:t>, therefore, does not establish grounds not to extend the approval period of this substance and does not allow for the possibility of dispensing with the obligation to follow the renewal procedure laid out in Regulation (EC) No 1107/2009</w:t>
      </w:r>
      <w:r>
        <w:rPr>
          <w:rFonts w:ascii="Times New Roman" w:hAnsi="Times New Roman"/>
          <w:szCs w:val="24"/>
        </w:rPr>
        <w:t xml:space="preserve">. The applicant </w:t>
      </w:r>
      <w:proofErr w:type="gramStart"/>
      <w:r>
        <w:rPr>
          <w:rFonts w:ascii="Times New Roman" w:hAnsi="Times New Roman"/>
          <w:szCs w:val="24"/>
        </w:rPr>
        <w:t>cannot be denied</w:t>
      </w:r>
      <w:proofErr w:type="gramEnd"/>
      <w:r>
        <w:rPr>
          <w:rFonts w:ascii="Times New Roman" w:hAnsi="Times New Roman"/>
          <w:szCs w:val="24"/>
        </w:rPr>
        <w:t xml:space="preserve"> the opportunity to exercise his rights under the regulation, i.e., to rely on the exceptions provided therein, or the applicant’s right</w:t>
      </w:r>
      <w:r w:rsidRPr="007E2799">
        <w:rPr>
          <w:rFonts w:ascii="Times New Roman" w:hAnsi="Times New Roman"/>
          <w:szCs w:val="24"/>
        </w:rPr>
        <w:t xml:space="preserve"> to be heard in order to speed up the process</w:t>
      </w:r>
      <w:r>
        <w:rPr>
          <w:rFonts w:ascii="Times New Roman" w:hAnsi="Times New Roman"/>
          <w:szCs w:val="24"/>
        </w:rPr>
        <w:t>.</w:t>
      </w:r>
    </w:p>
    <w:p w:rsidR="00870E11" w:rsidRDefault="00870E11" w:rsidP="00870E11">
      <w:pPr>
        <w:spacing w:after="120"/>
        <w:rPr>
          <w:rFonts w:ascii="Times New Roman" w:hAnsi="Times New Roman"/>
          <w:szCs w:val="24"/>
        </w:rPr>
      </w:pPr>
      <w:r>
        <w:rPr>
          <w:rFonts w:ascii="Times New Roman" w:hAnsi="Times New Roman"/>
          <w:szCs w:val="24"/>
        </w:rPr>
        <w:t xml:space="preserve">Regarding </w:t>
      </w:r>
      <w:r w:rsidRPr="00F949B7">
        <w:rPr>
          <w:rFonts w:ascii="Times New Roman" w:hAnsi="Times New Roman"/>
          <w:b/>
          <w:lang w:val="en"/>
        </w:rPr>
        <w:t>paragraph</w:t>
      </w:r>
      <w:r>
        <w:rPr>
          <w:rFonts w:ascii="Times New Roman" w:hAnsi="Times New Roman"/>
          <w:b/>
          <w:szCs w:val="24"/>
        </w:rPr>
        <w:t>s</w:t>
      </w:r>
      <w:r w:rsidRPr="00DF6AF3">
        <w:rPr>
          <w:rFonts w:ascii="Times New Roman" w:hAnsi="Times New Roman"/>
          <w:b/>
          <w:szCs w:val="24"/>
        </w:rPr>
        <w:t xml:space="preserve"> 5</w:t>
      </w:r>
      <w:r>
        <w:rPr>
          <w:rFonts w:ascii="Times New Roman" w:hAnsi="Times New Roman"/>
          <w:b/>
          <w:szCs w:val="24"/>
        </w:rPr>
        <w:t xml:space="preserve"> and 6</w:t>
      </w:r>
      <w:r>
        <w:rPr>
          <w:rFonts w:ascii="Times New Roman" w:hAnsi="Times New Roman"/>
          <w:szCs w:val="24"/>
        </w:rPr>
        <w:t>, t</w:t>
      </w:r>
      <w:r w:rsidRPr="00A3253F">
        <w:rPr>
          <w:rFonts w:ascii="Times New Roman" w:hAnsi="Times New Roman"/>
          <w:szCs w:val="24"/>
        </w:rPr>
        <w:t xml:space="preserve">he Commission attaches great importance to the protection of bees. </w:t>
      </w:r>
      <w:r>
        <w:rPr>
          <w:rFonts w:ascii="Times New Roman" w:hAnsi="Times New Roman"/>
          <w:szCs w:val="24"/>
        </w:rPr>
        <w:t>Under</w:t>
      </w:r>
      <w:r w:rsidRPr="00A3253F">
        <w:rPr>
          <w:rFonts w:ascii="Times New Roman" w:hAnsi="Times New Roman"/>
          <w:szCs w:val="24"/>
        </w:rPr>
        <w:t xml:space="preserve"> Regulation (EC) No 1107/2009</w:t>
      </w:r>
      <w:r>
        <w:rPr>
          <w:rFonts w:ascii="Times New Roman" w:hAnsi="Times New Roman"/>
          <w:szCs w:val="24"/>
        </w:rPr>
        <w:t>, o</w:t>
      </w:r>
      <w:r w:rsidRPr="00A3253F">
        <w:rPr>
          <w:rFonts w:ascii="Times New Roman" w:hAnsi="Times New Roman"/>
          <w:szCs w:val="24"/>
        </w:rPr>
        <w:t xml:space="preserve">nly substances with no unacceptable adverse effects on bees can be approved, provided that </w:t>
      </w:r>
      <w:r>
        <w:rPr>
          <w:rFonts w:ascii="Times New Roman" w:hAnsi="Times New Roman"/>
          <w:szCs w:val="24"/>
        </w:rPr>
        <w:t xml:space="preserve">also </w:t>
      </w:r>
      <w:r w:rsidRPr="00A3253F">
        <w:rPr>
          <w:rFonts w:ascii="Times New Roman" w:hAnsi="Times New Roman"/>
          <w:szCs w:val="24"/>
        </w:rPr>
        <w:t>all other safety requirements are met.</w:t>
      </w:r>
      <w:r>
        <w:rPr>
          <w:rFonts w:ascii="Times New Roman" w:hAnsi="Times New Roman"/>
          <w:szCs w:val="24"/>
        </w:rPr>
        <w:t xml:space="preserve"> </w:t>
      </w:r>
      <w:r>
        <w:rPr>
          <w:rFonts w:ascii="Times New Roman" w:hAnsi="Times New Roman"/>
          <w:szCs w:val="24"/>
        </w:rPr>
        <w:lastRenderedPageBreak/>
        <w:t xml:space="preserve">Regarding </w:t>
      </w:r>
      <w:r w:rsidRPr="00F949B7">
        <w:rPr>
          <w:rFonts w:ascii="Times New Roman" w:hAnsi="Times New Roman"/>
          <w:b/>
          <w:lang w:val="en"/>
        </w:rPr>
        <w:t>paragraph</w:t>
      </w:r>
      <w:r w:rsidRPr="00DF6AF3">
        <w:rPr>
          <w:rFonts w:ascii="Times New Roman" w:hAnsi="Times New Roman"/>
          <w:b/>
          <w:szCs w:val="24"/>
        </w:rPr>
        <w:t xml:space="preserve"> 7</w:t>
      </w:r>
      <w:r>
        <w:rPr>
          <w:rFonts w:ascii="Times New Roman" w:hAnsi="Times New Roman"/>
          <w:szCs w:val="24"/>
        </w:rPr>
        <w:t xml:space="preserve">, </w:t>
      </w:r>
      <w:r w:rsidRPr="00A3253F">
        <w:rPr>
          <w:rFonts w:ascii="Times New Roman" w:hAnsi="Times New Roman"/>
          <w:szCs w:val="24"/>
        </w:rPr>
        <w:t>not all neonicotinoids show the same toxicity to bees. The most toxic neonicotinoids</w:t>
      </w:r>
      <w:r>
        <w:rPr>
          <w:rFonts w:ascii="Times New Roman" w:hAnsi="Times New Roman"/>
          <w:szCs w:val="24"/>
        </w:rPr>
        <w:t xml:space="preserve"> (</w:t>
      </w:r>
      <w:proofErr w:type="spellStart"/>
      <w:r>
        <w:rPr>
          <w:rFonts w:ascii="Times New Roman" w:hAnsi="Times New Roman"/>
          <w:szCs w:val="24"/>
        </w:rPr>
        <w:t>c</w:t>
      </w:r>
      <w:r w:rsidRPr="00B857D1">
        <w:rPr>
          <w:rFonts w:ascii="Times New Roman" w:hAnsi="Times New Roman"/>
        </w:rPr>
        <w:t>hlotianidin</w:t>
      </w:r>
      <w:proofErr w:type="spellEnd"/>
      <w:r w:rsidRPr="00B857D1">
        <w:rPr>
          <w:rFonts w:ascii="Times New Roman" w:hAnsi="Times New Roman"/>
        </w:rPr>
        <w:t xml:space="preserve">, </w:t>
      </w:r>
      <w:proofErr w:type="spellStart"/>
      <w:r w:rsidRPr="00B857D1">
        <w:rPr>
          <w:rFonts w:ascii="Times New Roman" w:hAnsi="Times New Roman"/>
        </w:rPr>
        <w:t>thiamethoxam</w:t>
      </w:r>
      <w:proofErr w:type="spellEnd"/>
      <w:r w:rsidRPr="00B857D1">
        <w:rPr>
          <w:rFonts w:ascii="Times New Roman" w:hAnsi="Times New Roman"/>
        </w:rPr>
        <w:t xml:space="preserve"> and </w:t>
      </w:r>
      <w:proofErr w:type="spellStart"/>
      <w:r w:rsidRPr="00B857D1">
        <w:rPr>
          <w:rFonts w:ascii="Times New Roman" w:hAnsi="Times New Roman"/>
        </w:rPr>
        <w:t>imidacloprid</w:t>
      </w:r>
      <w:proofErr w:type="spellEnd"/>
      <w:r w:rsidRPr="00B857D1">
        <w:rPr>
          <w:rFonts w:ascii="Times New Roman" w:hAnsi="Times New Roman"/>
        </w:rPr>
        <w:t>)</w:t>
      </w:r>
      <w:r w:rsidRPr="00A3253F">
        <w:rPr>
          <w:rFonts w:ascii="Times New Roman" w:hAnsi="Times New Roman"/>
          <w:szCs w:val="24"/>
        </w:rPr>
        <w:t xml:space="preserve"> were restricted to uses exclusively in greenhouses in May 2018</w:t>
      </w:r>
      <w:r>
        <w:rPr>
          <w:rStyle w:val="FootnoteReference"/>
          <w:rFonts w:ascii="Times New Roman" w:hAnsi="Times New Roman"/>
          <w:szCs w:val="24"/>
        </w:rPr>
        <w:footnoteReference w:id="2"/>
      </w:r>
      <w:r w:rsidRPr="00A3253F">
        <w:rPr>
          <w:rFonts w:ascii="Times New Roman" w:hAnsi="Times New Roman"/>
          <w:szCs w:val="24"/>
        </w:rPr>
        <w:t>.</w:t>
      </w:r>
    </w:p>
    <w:p w:rsidR="00870E11" w:rsidRDefault="00870E11" w:rsidP="00870E11">
      <w:pPr>
        <w:spacing w:after="120"/>
        <w:rPr>
          <w:rFonts w:ascii="Times New Roman" w:hAnsi="Times New Roman"/>
          <w:szCs w:val="24"/>
        </w:rPr>
      </w:pPr>
      <w:r w:rsidRPr="005A6DD5">
        <w:rPr>
          <w:rFonts w:ascii="Times New Roman" w:hAnsi="Times New Roman"/>
          <w:szCs w:val="24"/>
        </w:rPr>
        <w:t>In conclusion,</w:t>
      </w:r>
      <w:r>
        <w:rPr>
          <w:rFonts w:ascii="Times New Roman" w:hAnsi="Times New Roman"/>
          <w:szCs w:val="24"/>
        </w:rPr>
        <w:t xml:space="preserve"> t</w:t>
      </w:r>
      <w:r w:rsidRPr="00890888">
        <w:rPr>
          <w:rFonts w:ascii="Times New Roman" w:hAnsi="Times New Roman"/>
          <w:szCs w:val="24"/>
        </w:rPr>
        <w:t xml:space="preserve">he Commission considers that it is implementing the regulatory framework agreed by the co-legislators, </w:t>
      </w:r>
      <w:r>
        <w:rPr>
          <w:rFonts w:ascii="Times New Roman" w:hAnsi="Times New Roman"/>
          <w:szCs w:val="24"/>
        </w:rPr>
        <w:t xml:space="preserve">which in fact obliged </w:t>
      </w:r>
      <w:r w:rsidRPr="00A3253F">
        <w:rPr>
          <w:rFonts w:ascii="Times New Roman" w:hAnsi="Times New Roman"/>
          <w:szCs w:val="24"/>
        </w:rPr>
        <w:t xml:space="preserve">the Commission to adopt the Commission </w:t>
      </w:r>
      <w:r>
        <w:rPr>
          <w:rFonts w:ascii="Times New Roman" w:hAnsi="Times New Roman"/>
          <w:szCs w:val="24"/>
        </w:rPr>
        <w:t>r</w:t>
      </w:r>
      <w:r w:rsidRPr="00A3253F">
        <w:rPr>
          <w:rFonts w:ascii="Times New Roman" w:hAnsi="Times New Roman"/>
          <w:szCs w:val="24"/>
        </w:rPr>
        <w:t xml:space="preserve">egulation upon meeting the conditions </w:t>
      </w:r>
      <w:r>
        <w:rPr>
          <w:rFonts w:ascii="Times New Roman" w:hAnsi="Times New Roman"/>
          <w:szCs w:val="24"/>
        </w:rPr>
        <w:t xml:space="preserve">set out in Article 17 of Regulation (EC) No 1107/2009 </w:t>
      </w:r>
      <w:r w:rsidRPr="00A3253F">
        <w:rPr>
          <w:rFonts w:ascii="Times New Roman" w:hAnsi="Times New Roman"/>
          <w:szCs w:val="24"/>
        </w:rPr>
        <w:t>without any discretion</w:t>
      </w:r>
      <w:r>
        <w:rPr>
          <w:rFonts w:ascii="Times New Roman" w:hAnsi="Times New Roman"/>
          <w:szCs w:val="24"/>
        </w:rPr>
        <w:t>. T</w:t>
      </w:r>
      <w:r w:rsidRPr="00890888">
        <w:rPr>
          <w:rFonts w:ascii="Times New Roman" w:hAnsi="Times New Roman"/>
          <w:szCs w:val="24"/>
        </w:rPr>
        <w:t>herefore</w:t>
      </w:r>
      <w:r>
        <w:rPr>
          <w:rFonts w:ascii="Times New Roman" w:hAnsi="Times New Roman"/>
          <w:szCs w:val="24"/>
        </w:rPr>
        <w:t>, the Commission did</w:t>
      </w:r>
      <w:r w:rsidRPr="00890888">
        <w:rPr>
          <w:rFonts w:ascii="Times New Roman" w:hAnsi="Times New Roman"/>
          <w:szCs w:val="24"/>
        </w:rPr>
        <w:t xml:space="preserve"> not exceed its implementing powers</w:t>
      </w:r>
      <w:r>
        <w:rPr>
          <w:rFonts w:ascii="Times New Roman" w:hAnsi="Times New Roman"/>
          <w:szCs w:val="24"/>
        </w:rPr>
        <w:t>.</w:t>
      </w:r>
    </w:p>
    <w:p w:rsidR="00680EFD" w:rsidRDefault="00680EFD"/>
    <w:sectPr w:rsidR="00680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E11" w:rsidRDefault="00870E11" w:rsidP="00870E11">
      <w:pPr>
        <w:spacing w:after="0"/>
      </w:pPr>
      <w:r>
        <w:separator/>
      </w:r>
    </w:p>
  </w:endnote>
  <w:endnote w:type="continuationSeparator" w:id="0">
    <w:p w:rsidR="00870E11" w:rsidRDefault="00870E11" w:rsidP="00870E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E11" w:rsidRDefault="00870E11" w:rsidP="00870E11">
      <w:pPr>
        <w:spacing w:after="0"/>
      </w:pPr>
      <w:r>
        <w:separator/>
      </w:r>
    </w:p>
  </w:footnote>
  <w:footnote w:type="continuationSeparator" w:id="0">
    <w:p w:rsidR="00870E11" w:rsidRDefault="00870E11" w:rsidP="00870E11">
      <w:pPr>
        <w:spacing w:after="0"/>
      </w:pPr>
      <w:r>
        <w:continuationSeparator/>
      </w:r>
    </w:p>
  </w:footnote>
  <w:footnote w:id="1">
    <w:p w:rsidR="00870E11" w:rsidRPr="00397A83" w:rsidRDefault="00870E11" w:rsidP="00870E11">
      <w:pPr>
        <w:pStyle w:val="FootnoteText"/>
        <w:rPr>
          <w:rFonts w:ascii="Times New Roman" w:hAnsi="Times New Roman"/>
          <w:lang w:val="fr-BE"/>
        </w:rPr>
      </w:pPr>
      <w:r w:rsidRPr="00397A83">
        <w:rPr>
          <w:rStyle w:val="FootnoteReference"/>
          <w:rFonts w:ascii="Times New Roman" w:hAnsi="Times New Roman"/>
        </w:rPr>
        <w:footnoteRef/>
      </w:r>
      <w:r w:rsidRPr="00397A83">
        <w:rPr>
          <w:rFonts w:ascii="Times New Roman" w:hAnsi="Times New Roman"/>
          <w:lang w:val="fr-BE"/>
        </w:rPr>
        <w:t xml:space="preserve"> </w:t>
      </w:r>
      <w:r>
        <w:rPr>
          <w:rFonts w:ascii="Times New Roman" w:hAnsi="Times New Roman"/>
          <w:lang w:val="fr-BE"/>
        </w:rPr>
        <w:tab/>
      </w:r>
      <w:r w:rsidRPr="00397A83">
        <w:rPr>
          <w:rFonts w:ascii="Times New Roman" w:hAnsi="Times New Roman"/>
          <w:lang w:val="fr-BE"/>
        </w:rPr>
        <w:t>OJ L 33, 5.2.2019, p. 1</w:t>
      </w:r>
    </w:p>
  </w:footnote>
  <w:footnote w:id="2">
    <w:p w:rsidR="00870E11" w:rsidRPr="00397A83" w:rsidRDefault="00870E11" w:rsidP="00870E11">
      <w:pPr>
        <w:pStyle w:val="FootnoteText"/>
        <w:rPr>
          <w:rFonts w:ascii="Times New Roman" w:hAnsi="Times New Roman"/>
        </w:rPr>
      </w:pPr>
      <w:r w:rsidRPr="00397A83">
        <w:rPr>
          <w:rStyle w:val="FootnoteReference"/>
          <w:rFonts w:ascii="Times New Roman" w:hAnsi="Times New Roman"/>
        </w:rPr>
        <w:footnoteRef/>
      </w:r>
      <w:r w:rsidRPr="00397A83">
        <w:rPr>
          <w:rFonts w:ascii="Times New Roman" w:hAnsi="Times New Roman"/>
        </w:rPr>
        <w:t xml:space="preserve"> </w:t>
      </w:r>
      <w:r w:rsidRPr="00397A83">
        <w:rPr>
          <w:rFonts w:ascii="Times New Roman" w:hAnsi="Times New Roman"/>
        </w:rPr>
        <w:tab/>
        <w:t>OJ L 132, 30.5.2018, p.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C0298"/>
    <w:multiLevelType w:val="hybridMultilevel"/>
    <w:tmpl w:val="7494E44A"/>
    <w:lvl w:ilvl="0" w:tplc="3C4813B0">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1B74703"/>
    <w:multiLevelType w:val="hybridMultilevel"/>
    <w:tmpl w:val="424A86AA"/>
    <w:lvl w:ilvl="0" w:tplc="90B27698">
      <w:start w:val="1"/>
      <w:numFmt w:val="decimal"/>
      <w:lvlText w:val="%1."/>
      <w:lvlJc w:val="left"/>
      <w:pPr>
        <w:ind w:left="1080" w:hanging="72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E11"/>
    <w:rsid w:val="0007238C"/>
    <w:rsid w:val="000A1623"/>
    <w:rsid w:val="000D6EB1"/>
    <w:rsid w:val="00110BA4"/>
    <w:rsid w:val="001262BB"/>
    <w:rsid w:val="00131AC6"/>
    <w:rsid w:val="001855CC"/>
    <w:rsid w:val="001C3806"/>
    <w:rsid w:val="002871F7"/>
    <w:rsid w:val="00643679"/>
    <w:rsid w:val="00680EFD"/>
    <w:rsid w:val="006843AE"/>
    <w:rsid w:val="00870E11"/>
    <w:rsid w:val="00AD10AA"/>
    <w:rsid w:val="00B24044"/>
    <w:rsid w:val="00B34A98"/>
    <w:rsid w:val="00B65AA4"/>
    <w:rsid w:val="00ED700E"/>
    <w:rsid w:val="00F7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373707-F795-4932-8054-B2A556E5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E11"/>
    <w:pPr>
      <w:spacing w:after="240" w:line="240" w:lineRule="auto"/>
      <w:jc w:val="both"/>
    </w:pPr>
    <w:rPr>
      <w:rFonts w:ascii="Courier New" w:eastAsia="Times New Roman" w:hAnsi="Courier New"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DGName">
    <w:name w:val="Z_DGName"/>
    <w:basedOn w:val="Normal"/>
    <w:uiPriority w:val="99"/>
    <w:rsid w:val="000A1623"/>
    <w:pPr>
      <w:ind w:right="85"/>
    </w:pPr>
    <w:rPr>
      <w:rFonts w:ascii="Arial" w:hAnsi="Arial" w:cs="Arial"/>
      <w:color w:val="000000"/>
      <w:sz w:val="16"/>
      <w:szCs w:val="16"/>
      <w:lang w:val="fr-FR" w:eastAsia="fr-BE"/>
    </w:rPr>
  </w:style>
  <w:style w:type="paragraph" w:customStyle="1" w:styleId="NoSpacingGray-80">
    <w:name w:val="No Spacing + Gray-80%"/>
    <w:aliases w:val="Justified,Left:  0,5 cm + Left:  0,5 cm,Right:  0,08 cm"/>
    <w:basedOn w:val="NoSpacing"/>
    <w:rsid w:val="000A1623"/>
    <w:pPr>
      <w:ind w:right="707"/>
    </w:pPr>
    <w:rPr>
      <w:rFonts w:eastAsia="Times New Roman" w:cs="Times New Roman"/>
      <w:color w:val="000000"/>
    </w:rPr>
  </w:style>
  <w:style w:type="paragraph" w:styleId="NoSpacing">
    <w:name w:val="No Spacing"/>
    <w:link w:val="NoSpacingChar"/>
    <w:autoRedefine/>
    <w:uiPriority w:val="1"/>
    <w:qFormat/>
    <w:rsid w:val="000A1623"/>
    <w:pPr>
      <w:keepLines/>
      <w:spacing w:after="0" w:line="240" w:lineRule="auto"/>
      <w:jc w:val="both"/>
    </w:pPr>
    <w:rPr>
      <w:rFonts w:ascii="Times New Roman" w:hAnsi="Times New Roman"/>
      <w:color w:val="333333"/>
      <w:sz w:val="20"/>
      <w:szCs w:val="20"/>
      <w:lang w:val="fr-BE" w:eastAsia="en-GB"/>
    </w:rPr>
  </w:style>
  <w:style w:type="paragraph" w:styleId="Header">
    <w:name w:val="header"/>
    <w:basedOn w:val="Normal"/>
    <w:link w:val="HeaderChar"/>
    <w:uiPriority w:val="99"/>
    <w:unhideWhenUsed/>
    <w:rsid w:val="000A1623"/>
    <w:pPr>
      <w:tabs>
        <w:tab w:val="center" w:pos="4513"/>
        <w:tab w:val="right" w:pos="9026"/>
      </w:tabs>
      <w:spacing w:after="0"/>
    </w:pPr>
  </w:style>
  <w:style w:type="character" w:customStyle="1" w:styleId="HeaderChar">
    <w:name w:val="Header Char"/>
    <w:basedOn w:val="DefaultParagraphFont"/>
    <w:link w:val="Header"/>
    <w:uiPriority w:val="99"/>
    <w:rsid w:val="000A1623"/>
  </w:style>
  <w:style w:type="paragraph" w:styleId="Footer">
    <w:name w:val="footer"/>
    <w:basedOn w:val="Normal"/>
    <w:link w:val="FooterChar"/>
    <w:uiPriority w:val="99"/>
    <w:unhideWhenUsed/>
    <w:rsid w:val="000A1623"/>
    <w:pPr>
      <w:tabs>
        <w:tab w:val="center" w:pos="4513"/>
        <w:tab w:val="right" w:pos="9026"/>
      </w:tabs>
      <w:spacing w:after="0"/>
    </w:pPr>
  </w:style>
  <w:style w:type="character" w:customStyle="1" w:styleId="FooterChar">
    <w:name w:val="Footer Char"/>
    <w:basedOn w:val="DefaultParagraphFont"/>
    <w:link w:val="Footer"/>
    <w:uiPriority w:val="99"/>
    <w:rsid w:val="000A1623"/>
  </w:style>
  <w:style w:type="character" w:customStyle="1" w:styleId="NoSpacingChar">
    <w:name w:val="No Spacing Char"/>
    <w:link w:val="NoSpacing"/>
    <w:uiPriority w:val="1"/>
    <w:locked/>
    <w:rsid w:val="000A1623"/>
    <w:rPr>
      <w:rFonts w:ascii="Times New Roman" w:hAnsi="Times New Roman"/>
      <w:color w:val="333333"/>
      <w:sz w:val="20"/>
      <w:szCs w:val="20"/>
      <w:lang w:val="fr-BE" w:eastAsia="en-GB"/>
    </w:rPr>
  </w:style>
  <w:style w:type="paragraph" w:styleId="ListParagraph">
    <w:name w:val="List Paragraph"/>
    <w:basedOn w:val="Normal"/>
    <w:uiPriority w:val="34"/>
    <w:qFormat/>
    <w:rsid w:val="000A1623"/>
    <w:pPr>
      <w:ind w:left="720"/>
      <w:contextualSpacing/>
    </w:pPr>
  </w:style>
  <w:style w:type="paragraph" w:customStyle="1" w:styleId="Heading2capitalletters">
    <w:name w:val="Heading 2 (capital letters)"/>
    <w:basedOn w:val="Normal"/>
    <w:link w:val="Heading2capitallettersChar"/>
    <w:qFormat/>
    <w:rsid w:val="000A1623"/>
    <w:rPr>
      <w:rFonts w:ascii="Times New Roman" w:hAnsi="Times New Roman"/>
      <w:b/>
      <w:szCs w:val="24"/>
      <w:u w:val="single"/>
      <w:lang w:val="fr-BE"/>
    </w:rPr>
  </w:style>
  <w:style w:type="character" w:customStyle="1" w:styleId="Heading2capitallettersChar">
    <w:name w:val="Heading 2 (capital letters) Char"/>
    <w:basedOn w:val="DefaultParagraphFont"/>
    <w:link w:val="Heading2capitalletters"/>
    <w:rsid w:val="000A1623"/>
    <w:rPr>
      <w:rFonts w:ascii="Times New Roman" w:hAnsi="Times New Roman" w:cs="Times New Roman"/>
      <w:b/>
      <w:sz w:val="24"/>
      <w:szCs w:val="24"/>
      <w:u w:val="single"/>
      <w:lang w:val="fr-BE"/>
    </w:rPr>
  </w:style>
  <w:style w:type="paragraph" w:customStyle="1" w:styleId="Heading3number">
    <w:name w:val="Heading 3 (number)"/>
    <w:basedOn w:val="Normal"/>
    <w:link w:val="Heading3numberChar"/>
    <w:qFormat/>
    <w:rsid w:val="000A1623"/>
    <w:pPr>
      <w:ind w:left="284"/>
    </w:pPr>
    <w:rPr>
      <w:rFonts w:ascii="Times New Roman" w:hAnsi="Times New Roman"/>
      <w:b/>
      <w:szCs w:val="24"/>
      <w:u w:val="single"/>
      <w:lang w:val="fr-BE"/>
    </w:rPr>
  </w:style>
  <w:style w:type="character" w:customStyle="1" w:styleId="Heading3numberChar">
    <w:name w:val="Heading 3 (number) Char"/>
    <w:basedOn w:val="DefaultParagraphFont"/>
    <w:link w:val="Heading3number"/>
    <w:rsid w:val="000A1623"/>
    <w:rPr>
      <w:rFonts w:ascii="Times New Roman" w:hAnsi="Times New Roman" w:cs="Times New Roman"/>
      <w:b/>
      <w:sz w:val="24"/>
      <w:szCs w:val="24"/>
      <w:u w:val="single"/>
      <w:lang w:val="fr-BE"/>
    </w:rPr>
  </w:style>
  <w:style w:type="paragraph" w:customStyle="1" w:styleId="ParagraphNr">
    <w:name w:val="Paragraph Nr"/>
    <w:basedOn w:val="Normal"/>
    <w:link w:val="ParagraphNrChar"/>
    <w:autoRedefine/>
    <w:qFormat/>
    <w:rsid w:val="00B24044"/>
    <w:pPr>
      <w:keepNext/>
      <w:spacing w:after="120"/>
      <w:ind w:left="567" w:right="-28" w:hanging="567"/>
    </w:pPr>
    <w:rPr>
      <w:b/>
      <w:szCs w:val="24"/>
    </w:rPr>
  </w:style>
  <w:style w:type="character" w:customStyle="1" w:styleId="ParagraphNrChar">
    <w:name w:val="Paragraph Nr Char"/>
    <w:basedOn w:val="DefaultParagraphFont"/>
    <w:link w:val="ParagraphNr"/>
    <w:rsid w:val="00B24044"/>
    <w:rPr>
      <w:b/>
      <w:sz w:val="24"/>
      <w:szCs w:val="24"/>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rsid w:val="00870E11"/>
    <w:pPr>
      <w:ind w:left="357" w:hanging="357"/>
    </w:pPr>
    <w:rPr>
      <w:sz w:val="20"/>
    </w:rPr>
  </w:style>
  <w:style w:type="character" w:customStyle="1" w:styleId="FootnoteTextChar">
    <w:name w:val="Footnote Text Char"/>
    <w:basedOn w:val="DefaultParagraphFont"/>
    <w:uiPriority w:val="99"/>
    <w:semiHidden/>
    <w:rsid w:val="00870E11"/>
    <w:rPr>
      <w:rFonts w:ascii="Courier New" w:eastAsia="Times New Roman" w:hAnsi="Courier New" w:cs="Times New Roman"/>
      <w:sz w:val="20"/>
      <w:szCs w:val="20"/>
      <w:lang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870E11"/>
    <w:rPr>
      <w:vertAlign w:val="superscript"/>
    </w:rPr>
  </w:style>
  <w:style w:type="paragraph" w:styleId="NormalWeb">
    <w:name w:val="Normal (Web)"/>
    <w:aliases w:val=" webb,webb"/>
    <w:basedOn w:val="Normal"/>
    <w:link w:val="NormalWebChar1"/>
    <w:uiPriority w:val="99"/>
    <w:rsid w:val="00870E11"/>
    <w:pPr>
      <w:spacing w:before="100" w:beforeAutospacing="1" w:after="100" w:afterAutospacing="1"/>
      <w:jc w:val="left"/>
    </w:pPr>
    <w:rPr>
      <w:rFonts w:ascii="Times New Roman" w:hAnsi="Times New Roman"/>
      <w:szCs w:val="24"/>
    </w:rPr>
  </w:style>
  <w:style w:type="character" w:customStyle="1" w:styleId="NormalWebChar1">
    <w:name w:val="Normal (Web) Char1"/>
    <w:aliases w:val=" webb Char,webb Char1"/>
    <w:link w:val="NormalWeb"/>
    <w:uiPriority w:val="99"/>
    <w:rsid w:val="00870E11"/>
    <w:rPr>
      <w:rFonts w:ascii="Times New Roman" w:eastAsia="Times New Roman" w:hAnsi="Times New Roman" w:cs="Times New Roman"/>
      <w:sz w:val="24"/>
      <w:szCs w:val="24"/>
      <w:lang w:eastAsia="en-GB"/>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uiPriority w:val="99"/>
    <w:rsid w:val="00870E11"/>
    <w:rPr>
      <w:rFonts w:ascii="Courier New" w:eastAsia="Times New Roman" w:hAnsi="Courier New" w:cs="Times New Roman"/>
      <w:sz w:val="20"/>
      <w:szCs w:val="20"/>
      <w:lang w:eastAsia="en-G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870E11"/>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ZnakZnak">
    <w:name w:val="Znak Znak"/>
    <w:basedOn w:val="Normal"/>
    <w:uiPriority w:val="99"/>
    <w:rsid w:val="00870E11"/>
    <w:pPr>
      <w:spacing w:after="0" w:line="360" w:lineRule="auto"/>
    </w:pPr>
    <w:rPr>
      <w:rFonts w:ascii="Verdana" w:hAnsi="Verdana"/>
      <w:sz w:val="20"/>
      <w:lang w:val="pl-PL" w:eastAsia="pl-PL"/>
    </w:rPr>
  </w:style>
  <w:style w:type="paragraph" w:customStyle="1" w:styleId="Normal12a">
    <w:name w:val="Normal12a"/>
    <w:qFormat/>
    <w:rsid w:val="00870E11"/>
    <w:pPr>
      <w:widowControl w:val="0"/>
      <w:spacing w:after="24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1115</Words>
  <Characters>6260</Characters>
  <Application>Microsoft Office Word</Application>
  <DocSecurity>0</DocSecurity>
  <Lines>96</Lines>
  <Paragraphs>23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Veronique (SG)</dc:creator>
  <cp:keywords/>
  <dc:description/>
  <cp:lastModifiedBy>VINCENT Veronique (SG)</cp:lastModifiedBy>
  <cp:revision>1</cp:revision>
  <dcterms:created xsi:type="dcterms:W3CDTF">2019-08-09T08:43:00Z</dcterms:created>
  <dcterms:modified xsi:type="dcterms:W3CDTF">2019-08-09T08:43:00Z</dcterms:modified>
</cp:coreProperties>
</file>