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8DF" w:rsidRPr="00053940" w:rsidRDefault="003A08DF" w:rsidP="003A08DF">
      <w:pPr>
        <w:pStyle w:val="Normal12a"/>
        <w:spacing w:after="720"/>
        <w:jc w:val="center"/>
        <w:rPr>
          <w:b/>
          <w:szCs w:val="24"/>
          <w:lang w:val="la-Latn"/>
        </w:rPr>
      </w:pPr>
      <w:r w:rsidRPr="00053940">
        <w:rPr>
          <w:b/>
          <w:lang w:val="la-Latn"/>
        </w:rPr>
        <w:t>Suite donnée à la résolution non législative du Parlement européen sur le projet de règlement d’exécution de la Commission modifiant le règlement d’exécution (UE) nº </w:t>
      </w:r>
      <w:r w:rsidRPr="00B70F74">
        <w:rPr>
          <w:b/>
          <w:lang w:val="la-Latn"/>
        </w:rPr>
        <w:t>540</w:t>
      </w:r>
      <w:r w:rsidRPr="00053940">
        <w:rPr>
          <w:b/>
          <w:lang w:val="la-Latn"/>
        </w:rPr>
        <w:t>/</w:t>
      </w:r>
      <w:r w:rsidRPr="00B70F74">
        <w:rPr>
          <w:b/>
          <w:lang w:val="la-Latn"/>
        </w:rPr>
        <w:t>2011</w:t>
      </w:r>
      <w:r w:rsidRPr="00053940">
        <w:rPr>
          <w:b/>
          <w:lang w:val="la-Latn"/>
        </w:rPr>
        <w:t xml:space="preserve"> de la Commission en ce qui concerne la prolongation de la période d’approbation des substances actives «abamectine», «Bacillus subtilis» (Cohn </w:t>
      </w:r>
      <w:r w:rsidRPr="00B70F74">
        <w:rPr>
          <w:b/>
          <w:lang w:val="la-Latn"/>
        </w:rPr>
        <w:t>1872</w:t>
      </w:r>
      <w:r w:rsidRPr="00053940">
        <w:rPr>
          <w:b/>
          <w:lang w:val="la-Latn"/>
        </w:rPr>
        <w:t>) – souche QST </w:t>
      </w:r>
      <w:r w:rsidRPr="00B70F74">
        <w:rPr>
          <w:b/>
          <w:lang w:val="la-Latn"/>
        </w:rPr>
        <w:t>713</w:t>
      </w:r>
      <w:r w:rsidRPr="00053940">
        <w:rPr>
          <w:b/>
          <w:lang w:val="la-Latn"/>
        </w:rPr>
        <w:t>, «Bacillus thuringiensis» subsp. aizawai, «Bacillus thuringiensis» subsp. israeliensis, «Bacillus thuringiensis» subsp. kurstaki, «Beauveria bassiana», «benfluraline», «clodinafop», «clopyralid», «Cydia pomonella Granulovirus (CpGV)», «cyprodinil», «dichlorprop</w:t>
      </w:r>
      <w:r w:rsidRPr="00053940">
        <w:rPr>
          <w:lang w:val="la-Latn"/>
        </w:rPr>
        <w:noBreakHyphen/>
      </w:r>
      <w:r w:rsidRPr="00053940">
        <w:rPr>
          <w:b/>
          <w:lang w:val="la-Latn"/>
        </w:rPr>
        <w:t>P», «époxiconazole», «fenpyroximate», «fluazinam», «flutolanil», «fosétyl», «Lecanicillium muscarium», «mépanipyrim», «mépiquat», «Metarhizium anisopliae var. anisopliae», «metconazole», «metrafenone», «Phlebiopsis gigantea», «pirimicarbe», «Pseudomonas chlororaphis – souche MA </w:t>
      </w:r>
      <w:r w:rsidRPr="00B70F74">
        <w:rPr>
          <w:b/>
          <w:lang w:val="la-Latn"/>
        </w:rPr>
        <w:t>342</w:t>
      </w:r>
      <w:r w:rsidRPr="00053940">
        <w:rPr>
          <w:b/>
          <w:lang w:val="la-Latn"/>
        </w:rPr>
        <w:t>», «pyriméthanile», «Pythium oligandrum», «rimsulfuron», «spinosad», «Streptomyces K</w:t>
      </w:r>
      <w:r w:rsidRPr="00B70F74">
        <w:rPr>
          <w:b/>
          <w:lang w:val="la-Latn"/>
        </w:rPr>
        <w:t>61</w:t>
      </w:r>
      <w:r w:rsidRPr="00053940">
        <w:rPr>
          <w:b/>
          <w:lang w:val="la-Latn"/>
        </w:rPr>
        <w:t>», «thiacloprid», «tolclofos</w:t>
      </w:r>
      <w:r w:rsidRPr="00053940">
        <w:rPr>
          <w:lang w:val="la-Latn"/>
        </w:rPr>
        <w:noBreakHyphen/>
      </w:r>
      <w:r w:rsidRPr="00053940">
        <w:rPr>
          <w:b/>
          <w:lang w:val="la-Latn"/>
        </w:rPr>
        <w:t>méthyl», «Trichoderma asperellum», «Trichoderma atroviride», «Trichoderma gamsii», «Trichoderma harzianum», «triclopyr», «trinexapac», «triticonazole», «Verticillium albo-atrum» et «zirame»</w:t>
      </w:r>
    </w:p>
    <w:p w:rsidR="003A08DF" w:rsidRPr="00F2055E" w:rsidRDefault="003A08DF" w:rsidP="003A08DF">
      <w:pPr>
        <w:widowControl w:val="0"/>
        <w:numPr>
          <w:ilvl w:val="0"/>
          <w:numId w:val="2"/>
        </w:numPr>
        <w:ind w:left="567" w:hanging="567"/>
        <w:outlineLvl w:val="0"/>
        <w:rPr>
          <w:rFonts w:ascii="Times New Roman" w:hAnsi="Times New Roman"/>
          <w:szCs w:val="24"/>
          <w:lang w:val="fr-BE"/>
        </w:rPr>
      </w:pPr>
      <w:r w:rsidRPr="00F2055E">
        <w:rPr>
          <w:rFonts w:ascii="Times New Roman" w:hAnsi="Times New Roman"/>
          <w:b/>
          <w:lang w:val="fr-BE"/>
        </w:rPr>
        <w:t>Résolution présentée conformément à l’article </w:t>
      </w:r>
      <w:r w:rsidRPr="00B70F74">
        <w:rPr>
          <w:rFonts w:ascii="Times New Roman" w:hAnsi="Times New Roman"/>
          <w:b/>
          <w:lang w:val="fr-BE"/>
        </w:rPr>
        <w:t>106</w:t>
      </w:r>
      <w:r w:rsidRPr="00F2055E">
        <w:rPr>
          <w:rFonts w:ascii="Times New Roman" w:hAnsi="Times New Roman"/>
          <w:b/>
          <w:lang w:val="fr-BE"/>
        </w:rPr>
        <w:t>, paragraphe </w:t>
      </w:r>
      <w:r w:rsidRPr="00B70F74">
        <w:rPr>
          <w:rFonts w:ascii="Times New Roman" w:hAnsi="Times New Roman"/>
          <w:b/>
          <w:lang w:val="fr-BE"/>
        </w:rPr>
        <w:t>2</w:t>
      </w:r>
      <w:r w:rsidRPr="00F2055E">
        <w:rPr>
          <w:rFonts w:ascii="Times New Roman" w:hAnsi="Times New Roman"/>
          <w:b/>
          <w:lang w:val="fr-BE"/>
        </w:rPr>
        <w:t>, paragraphe </w:t>
      </w:r>
      <w:r w:rsidRPr="00B70F74">
        <w:rPr>
          <w:rFonts w:ascii="Times New Roman" w:hAnsi="Times New Roman"/>
          <w:b/>
          <w:lang w:val="fr-BE"/>
        </w:rPr>
        <w:t>3</w:t>
      </w:r>
      <w:r w:rsidRPr="00F2055E">
        <w:rPr>
          <w:rFonts w:ascii="Times New Roman" w:hAnsi="Times New Roman"/>
          <w:b/>
          <w:lang w:val="fr-BE"/>
        </w:rPr>
        <w:t>, et paragraphe </w:t>
      </w:r>
      <w:r w:rsidRPr="00B70F74">
        <w:rPr>
          <w:rFonts w:ascii="Times New Roman" w:hAnsi="Times New Roman"/>
          <w:b/>
          <w:lang w:val="fr-BE"/>
        </w:rPr>
        <w:t>4</w:t>
      </w:r>
      <w:r w:rsidRPr="00F2055E">
        <w:rPr>
          <w:rFonts w:ascii="Times New Roman" w:hAnsi="Times New Roman"/>
          <w:b/>
          <w:lang w:val="fr-BE"/>
        </w:rPr>
        <w:t>, point c), du règlement intérieur du Parlement européen</w:t>
      </w:r>
    </w:p>
    <w:p w:rsidR="003A08DF" w:rsidRPr="00F2055E" w:rsidRDefault="003A08DF" w:rsidP="003A08DF">
      <w:pPr>
        <w:widowControl w:val="0"/>
        <w:ind w:left="567" w:hanging="567"/>
        <w:outlineLvl w:val="0"/>
        <w:rPr>
          <w:rFonts w:ascii="Times New Roman" w:hAnsi="Times New Roman"/>
          <w:smallCaps/>
          <w:szCs w:val="24"/>
          <w:lang w:val="fr-BE"/>
        </w:rPr>
      </w:pPr>
      <w:r w:rsidRPr="00B70F74">
        <w:rPr>
          <w:rFonts w:ascii="Times New Roman" w:hAnsi="Times New Roman"/>
          <w:b/>
          <w:lang w:val="fr-BE"/>
        </w:rPr>
        <w:t>2</w:t>
      </w:r>
      <w:r w:rsidRPr="00F2055E">
        <w:rPr>
          <w:rFonts w:ascii="Times New Roman" w:hAnsi="Times New Roman"/>
          <w:b/>
          <w:lang w:val="fr-BE"/>
        </w:rPr>
        <w:t>.</w:t>
      </w:r>
      <w:r w:rsidRPr="00F2055E">
        <w:rPr>
          <w:lang w:val="fr-BE"/>
        </w:rPr>
        <w:tab/>
      </w:r>
      <w:r w:rsidRPr="00F2055E">
        <w:rPr>
          <w:rFonts w:ascii="Times New Roman" w:hAnsi="Times New Roman"/>
          <w:b/>
          <w:lang w:val="fr-BE"/>
        </w:rPr>
        <w:t xml:space="preserve">Numéros de référence: </w:t>
      </w:r>
      <w:r w:rsidRPr="00B70F74">
        <w:rPr>
          <w:rFonts w:ascii="Times New Roman" w:hAnsi="Times New Roman"/>
          <w:smallCaps/>
          <w:lang w:val="fr-BE"/>
        </w:rPr>
        <w:t>2019</w:t>
      </w:r>
      <w:r w:rsidRPr="00F2055E">
        <w:rPr>
          <w:rFonts w:ascii="Times New Roman" w:hAnsi="Times New Roman"/>
          <w:smallCaps/>
          <w:lang w:val="fr-BE"/>
        </w:rPr>
        <w:t>/</w:t>
      </w:r>
      <w:r w:rsidRPr="00B70F74">
        <w:rPr>
          <w:rFonts w:ascii="Times New Roman" w:hAnsi="Times New Roman"/>
          <w:smallCaps/>
          <w:lang w:val="fr-BE"/>
        </w:rPr>
        <w:t>2541</w:t>
      </w:r>
      <w:r w:rsidRPr="00F2055E">
        <w:rPr>
          <w:rFonts w:ascii="Times New Roman" w:hAnsi="Times New Roman"/>
          <w:smallCaps/>
          <w:lang w:val="fr-BE"/>
        </w:rPr>
        <w:t xml:space="preserve"> (RSP) / B</w:t>
      </w:r>
      <w:r w:rsidRPr="00B70F74">
        <w:rPr>
          <w:rFonts w:ascii="Times New Roman" w:hAnsi="Times New Roman"/>
          <w:smallCaps/>
          <w:lang w:val="fr-BE"/>
        </w:rPr>
        <w:t>8</w:t>
      </w:r>
      <w:r w:rsidRPr="00F2055E">
        <w:rPr>
          <w:rFonts w:ascii="Times New Roman" w:hAnsi="Times New Roman"/>
          <w:smallCaps/>
          <w:lang w:val="fr-BE"/>
        </w:rPr>
        <w:t>-</w:t>
      </w:r>
      <w:r w:rsidRPr="00B70F74">
        <w:rPr>
          <w:rFonts w:ascii="Times New Roman" w:hAnsi="Times New Roman"/>
          <w:smallCaps/>
          <w:lang w:val="fr-BE"/>
        </w:rPr>
        <w:t>0139</w:t>
      </w:r>
      <w:r w:rsidRPr="00F2055E">
        <w:rPr>
          <w:rFonts w:ascii="Times New Roman" w:hAnsi="Times New Roman"/>
          <w:smallCaps/>
          <w:lang w:val="fr-BE"/>
        </w:rPr>
        <w:t>/</w:t>
      </w:r>
      <w:r w:rsidRPr="00B70F74">
        <w:rPr>
          <w:rFonts w:ascii="Times New Roman" w:hAnsi="Times New Roman"/>
          <w:smallCaps/>
          <w:lang w:val="fr-BE"/>
        </w:rPr>
        <w:t>2019</w:t>
      </w:r>
      <w:r w:rsidRPr="00F2055E">
        <w:rPr>
          <w:rFonts w:ascii="Times New Roman" w:hAnsi="Times New Roman"/>
          <w:smallCaps/>
          <w:lang w:val="fr-BE"/>
        </w:rPr>
        <w:t xml:space="preserve"> / P</w:t>
      </w:r>
      <w:r w:rsidRPr="00B70F74">
        <w:rPr>
          <w:rFonts w:ascii="Times New Roman" w:hAnsi="Times New Roman"/>
          <w:smallCaps/>
          <w:lang w:val="fr-BE"/>
        </w:rPr>
        <w:t>8</w:t>
      </w:r>
      <w:r w:rsidRPr="00F2055E">
        <w:rPr>
          <w:rFonts w:ascii="Times New Roman" w:hAnsi="Times New Roman"/>
          <w:smallCaps/>
          <w:lang w:val="fr-BE"/>
        </w:rPr>
        <w:t>_TA-PROV(</w:t>
      </w:r>
      <w:r w:rsidRPr="00B70F74">
        <w:rPr>
          <w:rFonts w:ascii="Times New Roman" w:hAnsi="Times New Roman"/>
          <w:smallCaps/>
          <w:lang w:val="fr-BE"/>
        </w:rPr>
        <w:t>2019</w:t>
      </w:r>
      <w:r w:rsidRPr="00F2055E">
        <w:rPr>
          <w:rFonts w:ascii="Times New Roman" w:hAnsi="Times New Roman"/>
          <w:smallCaps/>
          <w:lang w:val="fr-BE"/>
        </w:rPr>
        <w:t>)</w:t>
      </w:r>
      <w:r w:rsidRPr="00B70F74">
        <w:rPr>
          <w:rFonts w:ascii="Times New Roman" w:hAnsi="Times New Roman"/>
          <w:smallCaps/>
          <w:lang w:val="fr-BE"/>
        </w:rPr>
        <w:t>0199</w:t>
      </w:r>
    </w:p>
    <w:p w:rsidR="003A08DF" w:rsidRPr="00F2055E" w:rsidRDefault="003A08DF" w:rsidP="003A08DF">
      <w:pPr>
        <w:widowControl w:val="0"/>
        <w:ind w:left="567" w:hanging="567"/>
        <w:outlineLvl w:val="0"/>
        <w:rPr>
          <w:rFonts w:ascii="Times New Roman" w:hAnsi="Times New Roman"/>
          <w:lang w:val="fr-BE"/>
        </w:rPr>
      </w:pPr>
      <w:r w:rsidRPr="00B70F74">
        <w:rPr>
          <w:rFonts w:ascii="Times New Roman" w:hAnsi="Times New Roman"/>
          <w:b/>
          <w:lang w:val="fr-BE"/>
        </w:rPr>
        <w:t>3</w:t>
      </w:r>
      <w:r w:rsidRPr="00F2055E">
        <w:rPr>
          <w:rFonts w:ascii="Times New Roman" w:hAnsi="Times New Roman"/>
          <w:b/>
          <w:lang w:val="fr-BE"/>
        </w:rPr>
        <w:t>.</w:t>
      </w:r>
      <w:r w:rsidRPr="00F2055E">
        <w:rPr>
          <w:lang w:val="fr-BE"/>
        </w:rPr>
        <w:tab/>
      </w:r>
      <w:r w:rsidRPr="00F2055E">
        <w:rPr>
          <w:rFonts w:ascii="Times New Roman" w:hAnsi="Times New Roman"/>
          <w:b/>
          <w:lang w:val="fr-BE"/>
        </w:rPr>
        <w:t xml:space="preserve">Date d’adoption de la résolution: </w:t>
      </w:r>
      <w:r w:rsidRPr="00B70F74">
        <w:rPr>
          <w:rFonts w:ascii="Times New Roman" w:hAnsi="Times New Roman"/>
          <w:smallCaps/>
          <w:lang w:val="fr-BE"/>
        </w:rPr>
        <w:t>13</w:t>
      </w:r>
      <w:r w:rsidRPr="00F2055E">
        <w:rPr>
          <w:rFonts w:ascii="Times New Roman" w:hAnsi="Times New Roman"/>
          <w:smallCaps/>
          <w:lang w:val="fr-BE"/>
        </w:rPr>
        <w:t> </w:t>
      </w:r>
      <w:r w:rsidR="009642E4">
        <w:rPr>
          <w:rFonts w:ascii="Times New Roman" w:hAnsi="Times New Roman"/>
          <w:szCs w:val="24"/>
          <w:lang w:val="fr-BE"/>
        </w:rPr>
        <w:t>m</w:t>
      </w:r>
      <w:bookmarkStart w:id="0" w:name="_GoBack"/>
      <w:bookmarkEnd w:id="0"/>
      <w:r w:rsidR="009642E4">
        <w:rPr>
          <w:rFonts w:ascii="Times New Roman" w:hAnsi="Times New Roman"/>
          <w:szCs w:val="24"/>
          <w:lang w:val="fr-BE"/>
        </w:rPr>
        <w:t>ars</w:t>
      </w:r>
      <w:r w:rsidRPr="00F2055E">
        <w:rPr>
          <w:rFonts w:ascii="Times New Roman" w:hAnsi="Times New Roman"/>
          <w:smallCaps/>
          <w:lang w:val="fr-BE"/>
        </w:rPr>
        <w:t> </w:t>
      </w:r>
      <w:r w:rsidRPr="00B70F74">
        <w:rPr>
          <w:rFonts w:ascii="Times New Roman" w:hAnsi="Times New Roman"/>
          <w:smallCaps/>
          <w:lang w:val="fr-BE"/>
        </w:rPr>
        <w:t>2019</w:t>
      </w:r>
    </w:p>
    <w:p w:rsidR="003A08DF" w:rsidRPr="00F2055E" w:rsidRDefault="003A08DF" w:rsidP="003A08DF">
      <w:pPr>
        <w:pStyle w:val="NormalWeb"/>
        <w:widowControl w:val="0"/>
        <w:spacing w:before="0" w:beforeAutospacing="0" w:after="240" w:afterAutospacing="0"/>
        <w:ind w:left="567" w:hanging="567"/>
        <w:jc w:val="both"/>
        <w:rPr>
          <w:b/>
          <w:bCs/>
          <w:color w:val="000000"/>
          <w:lang w:val="fr-BE"/>
        </w:rPr>
      </w:pPr>
      <w:r w:rsidRPr="00B70F74">
        <w:rPr>
          <w:b/>
          <w:color w:val="000000"/>
          <w:lang w:val="fr-BE"/>
        </w:rPr>
        <w:t>4</w:t>
      </w:r>
      <w:r w:rsidRPr="00F2055E">
        <w:rPr>
          <w:b/>
          <w:color w:val="000000"/>
          <w:lang w:val="fr-BE"/>
        </w:rPr>
        <w:t>.</w:t>
      </w:r>
      <w:r w:rsidRPr="00F2055E">
        <w:rPr>
          <w:lang w:val="fr-BE"/>
        </w:rPr>
        <w:tab/>
      </w:r>
      <w:r w:rsidRPr="00F2055E">
        <w:rPr>
          <w:b/>
          <w:lang w:val="fr-BE"/>
        </w:rPr>
        <w:t>Commission parlementaire compétente:</w:t>
      </w:r>
      <w:r w:rsidRPr="00F2055E">
        <w:rPr>
          <w:lang w:val="fr-BE"/>
        </w:rPr>
        <w:t xml:space="preserve"> commission de l’environnement, de la santé publique et de la sécurité alimentaire (ENVI</w:t>
      </w:r>
      <w:r w:rsidRPr="00F2055E">
        <w:rPr>
          <w:color w:val="000000"/>
          <w:lang w:val="fr-BE"/>
        </w:rPr>
        <w:t>)</w:t>
      </w:r>
    </w:p>
    <w:p w:rsidR="003A08DF" w:rsidRPr="00F2055E" w:rsidRDefault="003A08DF" w:rsidP="003A08DF">
      <w:pPr>
        <w:widowControl w:val="0"/>
        <w:ind w:left="567" w:hanging="567"/>
        <w:rPr>
          <w:rFonts w:ascii="Times New Roman" w:hAnsi="Times New Roman"/>
          <w:b/>
          <w:color w:val="000000"/>
          <w:szCs w:val="24"/>
          <w:lang w:val="fr-BE"/>
        </w:rPr>
      </w:pPr>
      <w:r w:rsidRPr="00B70F74">
        <w:rPr>
          <w:rFonts w:ascii="Times New Roman" w:hAnsi="Times New Roman"/>
          <w:b/>
          <w:color w:val="000000"/>
          <w:lang w:val="fr-BE"/>
        </w:rPr>
        <w:t>5</w:t>
      </w:r>
      <w:r w:rsidRPr="00F2055E">
        <w:rPr>
          <w:rFonts w:ascii="Times New Roman" w:hAnsi="Times New Roman"/>
          <w:b/>
          <w:color w:val="000000"/>
          <w:lang w:val="fr-BE"/>
        </w:rPr>
        <w:t>.</w:t>
      </w:r>
      <w:r w:rsidRPr="00F2055E">
        <w:rPr>
          <w:lang w:val="fr-BE"/>
        </w:rPr>
        <w:tab/>
      </w:r>
      <w:r w:rsidRPr="00F2055E">
        <w:rPr>
          <w:rFonts w:ascii="Times New Roman" w:hAnsi="Times New Roman"/>
          <w:b/>
          <w:color w:val="000000"/>
          <w:lang w:val="fr-BE"/>
        </w:rPr>
        <w:t>Analyse/évaluation succincte de la résolution et des demandes qu’elle contient:</w:t>
      </w:r>
    </w:p>
    <w:p w:rsidR="003A08DF" w:rsidRPr="00F2055E" w:rsidRDefault="003A08DF" w:rsidP="003A08DF">
      <w:pPr>
        <w:spacing w:after="120"/>
        <w:rPr>
          <w:rFonts w:ascii="Times New Roman" w:hAnsi="Times New Roman"/>
          <w:szCs w:val="24"/>
          <w:highlight w:val="red"/>
          <w:lang w:val="fr-BE"/>
        </w:rPr>
      </w:pPr>
      <w:r w:rsidRPr="00F2055E">
        <w:rPr>
          <w:rFonts w:ascii="Times New Roman" w:hAnsi="Times New Roman"/>
          <w:lang w:val="fr-BE"/>
        </w:rPr>
        <w:t>La résolution fait référence à plusieurs propriétés dangereuses de la substance «thiaclopride», telles que la perturbation du système endocrinien, la génotoxicité, la cytotoxicité, les effets sur le développement neurologique, la neurotoxicité et l’immunotoxicité (</w:t>
      </w:r>
      <w:r w:rsidRPr="00F2055E">
        <w:rPr>
          <w:rFonts w:ascii="Times New Roman" w:hAnsi="Times New Roman"/>
          <w:b/>
          <w:lang w:val="fr-BE"/>
        </w:rPr>
        <w:t>considérants L, M</w:t>
      </w:r>
      <w:r w:rsidRPr="00F2055E">
        <w:rPr>
          <w:rFonts w:ascii="Times New Roman" w:hAnsi="Times New Roman"/>
          <w:lang w:val="fr-BE"/>
        </w:rPr>
        <w:t>), à sa classification en tant que substance cancérogène de catégorie </w:t>
      </w:r>
      <w:r w:rsidRPr="00B70F74">
        <w:rPr>
          <w:rFonts w:ascii="Times New Roman" w:hAnsi="Times New Roman"/>
          <w:lang w:val="fr-BE"/>
        </w:rPr>
        <w:t>2</w:t>
      </w:r>
      <w:r w:rsidRPr="00F2055E">
        <w:rPr>
          <w:rFonts w:ascii="Times New Roman" w:hAnsi="Times New Roman"/>
          <w:lang w:val="fr-BE"/>
        </w:rPr>
        <w:t xml:space="preserve"> (</w:t>
      </w:r>
      <w:r w:rsidRPr="00F2055E">
        <w:rPr>
          <w:rFonts w:ascii="Times New Roman" w:hAnsi="Times New Roman"/>
          <w:b/>
          <w:lang w:val="fr-BE"/>
        </w:rPr>
        <w:t>considérant N</w:t>
      </w:r>
      <w:r w:rsidRPr="00F2055E">
        <w:rPr>
          <w:rFonts w:ascii="Times New Roman" w:hAnsi="Times New Roman"/>
          <w:lang w:val="fr-BE"/>
        </w:rPr>
        <w:t>), aux conclusions négatives de l’Autorité européenne de sécurité des aliments (EFSA) dans le cadre de la procédure de renouvellement (</w:t>
      </w:r>
      <w:r w:rsidRPr="00F2055E">
        <w:rPr>
          <w:rFonts w:ascii="Times New Roman" w:hAnsi="Times New Roman"/>
          <w:b/>
          <w:lang w:val="fr-BE"/>
        </w:rPr>
        <w:t>considérant O</w:t>
      </w:r>
      <w:r w:rsidRPr="00F2055E">
        <w:rPr>
          <w:rFonts w:ascii="Times New Roman" w:hAnsi="Times New Roman"/>
          <w:lang w:val="fr-BE"/>
        </w:rPr>
        <w:t>) et à sa toxicité pour les abeilles et autres pollinisateurs (</w:t>
      </w:r>
      <w:r w:rsidRPr="00F2055E">
        <w:rPr>
          <w:rFonts w:ascii="Times New Roman" w:hAnsi="Times New Roman"/>
          <w:b/>
          <w:lang w:val="fr-BE"/>
        </w:rPr>
        <w:t>considérants S, T, U et V</w:t>
      </w:r>
      <w:r w:rsidRPr="00F2055E">
        <w:rPr>
          <w:rFonts w:ascii="Times New Roman" w:hAnsi="Times New Roman"/>
          <w:lang w:val="fr-BE"/>
        </w:rPr>
        <w:t>).</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La résolution affirme que le projet de règlement de la Commission excède les compétences d’exécution prévues dans le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xml:space="preserve"> (</w:t>
      </w:r>
      <w:r w:rsidRPr="00F2055E">
        <w:rPr>
          <w:rFonts w:ascii="Times New Roman" w:hAnsi="Times New Roman"/>
          <w:b/>
          <w:lang w:val="fr-BE"/>
        </w:rPr>
        <w:t>paragraphe </w:t>
      </w:r>
      <w:r w:rsidRPr="00B70F74">
        <w:rPr>
          <w:rFonts w:ascii="Times New Roman" w:hAnsi="Times New Roman"/>
          <w:b/>
          <w:lang w:val="fr-BE"/>
        </w:rPr>
        <w:t>1</w:t>
      </w:r>
      <w:r w:rsidRPr="00F2055E">
        <w:rPr>
          <w:rFonts w:ascii="Times New Roman" w:hAnsi="Times New Roman"/>
          <w:lang w:val="fr-BE"/>
        </w:rPr>
        <w:t>) concernant la mise sur le marché des produits phytopharmaceutiques.</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La résolution considère que les éléments probants ne permettent pas d’établir que les risques inacceptables pour les animaux, la sécurité alimentaire et les pollinisateurs seront évités. Elle considère également que le projet de règlement d’exécution de la Commission ne se fonde pas sur l’existence d’un besoin urgent, pour l’agriculture dans l’Union européenne, de la substance active «thiaclopride» et qu’il ne respecte pas le principe de précaution (</w:t>
      </w:r>
      <w:r w:rsidRPr="00F2055E">
        <w:rPr>
          <w:rFonts w:ascii="Times New Roman" w:hAnsi="Times New Roman"/>
          <w:b/>
          <w:lang w:val="fr-BE"/>
        </w:rPr>
        <w:t>paragraphes </w:t>
      </w:r>
      <w:r w:rsidRPr="00B70F74">
        <w:rPr>
          <w:rFonts w:ascii="Times New Roman" w:hAnsi="Times New Roman"/>
          <w:b/>
          <w:lang w:val="fr-BE"/>
        </w:rPr>
        <w:t>3</w:t>
      </w:r>
      <w:r w:rsidRPr="00F2055E">
        <w:rPr>
          <w:rFonts w:ascii="Times New Roman" w:hAnsi="Times New Roman"/>
          <w:b/>
          <w:lang w:val="fr-BE"/>
        </w:rPr>
        <w:t xml:space="preserve"> et </w:t>
      </w:r>
      <w:r w:rsidRPr="00B70F74">
        <w:rPr>
          <w:rFonts w:ascii="Times New Roman" w:hAnsi="Times New Roman"/>
          <w:b/>
          <w:lang w:val="fr-BE"/>
        </w:rPr>
        <w:t>4</w:t>
      </w:r>
      <w:r w:rsidRPr="00F2055E">
        <w:rPr>
          <w:rFonts w:ascii="Times New Roman" w:hAnsi="Times New Roman"/>
          <w:lang w:val="fr-BE"/>
        </w:rPr>
        <w:t>).</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La résolution estime qu’il y a lieu que la Commission propose un statut spécial pour les abeilles mellifères (</w:t>
      </w:r>
      <w:r w:rsidRPr="00F2055E">
        <w:rPr>
          <w:rFonts w:ascii="Times New Roman" w:hAnsi="Times New Roman"/>
          <w:b/>
          <w:lang w:val="fr-BE"/>
        </w:rPr>
        <w:t>paragraphe </w:t>
      </w:r>
      <w:r w:rsidRPr="00B70F74">
        <w:rPr>
          <w:rFonts w:ascii="Times New Roman" w:hAnsi="Times New Roman"/>
          <w:b/>
          <w:lang w:val="fr-BE"/>
        </w:rPr>
        <w:t>5</w:t>
      </w:r>
      <w:r w:rsidRPr="00F2055E">
        <w:rPr>
          <w:rFonts w:ascii="Times New Roman" w:hAnsi="Times New Roman"/>
          <w:lang w:val="fr-BE"/>
        </w:rPr>
        <w:t xml:space="preserve">), qui tienne compte du fait que ni la viabilité à long terme de l’agriculture, ni la production végétale, ni d’autres animaux sauvages et animaux producteurs d’aliments ne peuvent exister sans les pollinisateurs. et qu’elle propose de </w:t>
      </w:r>
      <w:r w:rsidRPr="00F2055E">
        <w:rPr>
          <w:rFonts w:ascii="Times New Roman" w:hAnsi="Times New Roman"/>
          <w:lang w:val="fr-BE"/>
        </w:rPr>
        <w:lastRenderedPageBreak/>
        <w:t>modifier et d’harmoniser à cet égard les règlements pertinents, et d’en améliorer la cohérence, en vue d’assurer un niveau élevé de protection des abeilles mellifères et des autres pollinisateurs.</w:t>
      </w:r>
    </w:p>
    <w:p w:rsidR="003A08DF" w:rsidRPr="00F2055E" w:rsidRDefault="003A08DF" w:rsidP="003A08DF">
      <w:pPr>
        <w:spacing w:after="120"/>
        <w:rPr>
          <w:rFonts w:ascii="Times New Roman" w:hAnsi="Times New Roman"/>
          <w:b/>
          <w:szCs w:val="24"/>
          <w:lang w:val="fr-BE"/>
        </w:rPr>
      </w:pPr>
      <w:r w:rsidRPr="00F2055E">
        <w:rPr>
          <w:rFonts w:ascii="Times New Roman" w:hAnsi="Times New Roman"/>
          <w:lang w:val="fr-BE"/>
        </w:rPr>
        <w:t>La résolution demande à la Commission:</w:t>
      </w:r>
    </w:p>
    <w:p w:rsidR="003A08DF" w:rsidRPr="00F2055E" w:rsidRDefault="003A08DF" w:rsidP="003A08DF">
      <w:pPr>
        <w:numPr>
          <w:ilvl w:val="0"/>
          <w:numId w:val="1"/>
        </w:numPr>
        <w:spacing w:after="120"/>
        <w:ind w:left="0" w:hanging="284"/>
        <w:rPr>
          <w:rFonts w:ascii="Times New Roman" w:hAnsi="Times New Roman"/>
          <w:szCs w:val="24"/>
          <w:lang w:val="fr-BE"/>
        </w:rPr>
      </w:pPr>
      <w:r w:rsidRPr="00F2055E">
        <w:rPr>
          <w:rFonts w:ascii="Times New Roman" w:hAnsi="Times New Roman"/>
          <w:lang w:val="fr-BE"/>
        </w:rPr>
        <w:t>de retirer son projet de règlement d’exécution et de présenter à la commission un nouveau projet qui tienne compte des effets chroniques de la substance active «thiaclopride» sur les abeilles mellifères, la santé humaine et animale et l’environnement (</w:t>
      </w:r>
      <w:r w:rsidRPr="00F2055E">
        <w:rPr>
          <w:rFonts w:ascii="Times New Roman" w:hAnsi="Times New Roman"/>
          <w:b/>
          <w:lang w:val="fr-BE"/>
        </w:rPr>
        <w:t>paragraphe </w:t>
      </w:r>
      <w:r w:rsidRPr="00B70F74">
        <w:rPr>
          <w:rFonts w:ascii="Times New Roman" w:hAnsi="Times New Roman"/>
          <w:b/>
          <w:lang w:val="fr-BE"/>
        </w:rPr>
        <w:t>6</w:t>
      </w:r>
      <w:r w:rsidRPr="00F2055E">
        <w:rPr>
          <w:rFonts w:ascii="Times New Roman" w:hAnsi="Times New Roman"/>
          <w:lang w:val="fr-BE"/>
        </w:rPr>
        <w:t>); et</w:t>
      </w:r>
    </w:p>
    <w:p w:rsidR="003A08DF" w:rsidRPr="00F2055E" w:rsidRDefault="003A08DF" w:rsidP="003A08DF">
      <w:pPr>
        <w:numPr>
          <w:ilvl w:val="0"/>
          <w:numId w:val="1"/>
        </w:numPr>
        <w:spacing w:after="120"/>
        <w:ind w:left="0" w:hanging="284"/>
        <w:rPr>
          <w:rFonts w:ascii="Times New Roman" w:hAnsi="Times New Roman"/>
          <w:szCs w:val="24"/>
          <w:lang w:val="fr-BE"/>
        </w:rPr>
      </w:pPr>
      <w:r w:rsidRPr="00F2055E">
        <w:rPr>
          <w:rFonts w:ascii="Times New Roman" w:hAnsi="Times New Roman"/>
          <w:lang w:val="fr-BE"/>
        </w:rPr>
        <w:t>d’interdire sans délai les substances actives appartenant à la catégorie des néonicotinoïdes et les substances qui ont les mêmes effets, y compris le thiaclopride (</w:t>
      </w:r>
      <w:r w:rsidRPr="00F2055E">
        <w:rPr>
          <w:rFonts w:ascii="Times New Roman" w:hAnsi="Times New Roman"/>
          <w:b/>
          <w:lang w:val="fr-BE"/>
        </w:rPr>
        <w:t>paragraphe </w:t>
      </w:r>
      <w:r w:rsidRPr="00B70F74">
        <w:rPr>
          <w:rFonts w:ascii="Times New Roman" w:hAnsi="Times New Roman"/>
          <w:b/>
          <w:lang w:val="fr-BE"/>
        </w:rPr>
        <w:t>7</w:t>
      </w:r>
      <w:r w:rsidRPr="00F2055E">
        <w:rPr>
          <w:rFonts w:ascii="Times New Roman" w:hAnsi="Times New Roman"/>
          <w:lang w:val="fr-BE"/>
        </w:rPr>
        <w:t>).</w:t>
      </w:r>
    </w:p>
    <w:p w:rsidR="003A08DF" w:rsidRPr="00F2055E" w:rsidRDefault="003A08DF" w:rsidP="003A08DF">
      <w:pPr>
        <w:ind w:left="567" w:hanging="567"/>
        <w:rPr>
          <w:rFonts w:ascii="Times New Roman" w:hAnsi="Times New Roman"/>
          <w:b/>
          <w:color w:val="000000"/>
          <w:szCs w:val="24"/>
          <w:lang w:val="fr-BE"/>
        </w:rPr>
      </w:pPr>
      <w:r w:rsidRPr="00B70F74">
        <w:rPr>
          <w:rFonts w:ascii="Times New Roman" w:hAnsi="Times New Roman"/>
          <w:b/>
          <w:color w:val="000000"/>
          <w:lang w:val="fr-BE"/>
        </w:rPr>
        <w:t>6</w:t>
      </w:r>
      <w:r w:rsidRPr="00F2055E">
        <w:rPr>
          <w:rFonts w:ascii="Times New Roman" w:hAnsi="Times New Roman"/>
          <w:b/>
          <w:color w:val="000000"/>
          <w:lang w:val="fr-BE"/>
        </w:rPr>
        <w:t>.</w:t>
      </w:r>
      <w:r w:rsidRPr="00F2055E">
        <w:rPr>
          <w:lang w:val="fr-BE"/>
        </w:rPr>
        <w:tab/>
      </w:r>
      <w:r w:rsidRPr="00F2055E">
        <w:rPr>
          <w:rFonts w:ascii="Times New Roman" w:hAnsi="Times New Roman"/>
          <w:b/>
          <w:color w:val="000000"/>
          <w:lang w:val="fr-BE"/>
        </w:rPr>
        <w:t>Réponses à ces demandes et aperçu des mesures que la Commission a prises ou envisage de prendre:</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La Commission tient tout d’abord à souligner qu’elle a déjà adopté le projet de règlement en tant que règlement d’exécution (UE) </w:t>
      </w:r>
      <w:r w:rsidRPr="00B70F74">
        <w:rPr>
          <w:rFonts w:ascii="Times New Roman" w:hAnsi="Times New Roman"/>
          <w:lang w:val="fr-BE"/>
        </w:rPr>
        <w:t>2019</w:t>
      </w:r>
      <w:r w:rsidRPr="00F2055E">
        <w:rPr>
          <w:rFonts w:ascii="Times New Roman" w:hAnsi="Times New Roman"/>
          <w:lang w:val="fr-BE"/>
        </w:rPr>
        <w:t>/</w:t>
      </w:r>
      <w:r w:rsidRPr="00B70F74">
        <w:rPr>
          <w:rFonts w:ascii="Times New Roman" w:hAnsi="Times New Roman"/>
          <w:lang w:val="fr-BE"/>
        </w:rPr>
        <w:t>168</w:t>
      </w:r>
      <w:r w:rsidRPr="00F2055E">
        <w:rPr>
          <w:rFonts w:ascii="Times New Roman" w:hAnsi="Times New Roman"/>
          <w:lang w:val="fr-BE"/>
        </w:rPr>
        <w:t xml:space="preserve"> de la Commission du </w:t>
      </w:r>
      <w:r w:rsidRPr="00B70F74">
        <w:rPr>
          <w:rFonts w:ascii="Times New Roman" w:hAnsi="Times New Roman"/>
          <w:lang w:val="fr-BE"/>
        </w:rPr>
        <w:t>31</w:t>
      </w:r>
      <w:r w:rsidRPr="00F2055E">
        <w:rPr>
          <w:rFonts w:ascii="Times New Roman" w:hAnsi="Times New Roman"/>
          <w:lang w:val="fr-BE"/>
        </w:rPr>
        <w:t> janvier </w:t>
      </w:r>
      <w:r w:rsidRPr="00B70F74">
        <w:rPr>
          <w:rFonts w:ascii="Times New Roman" w:hAnsi="Times New Roman"/>
          <w:lang w:val="fr-BE"/>
        </w:rPr>
        <w:t>2019</w:t>
      </w:r>
      <w:r>
        <w:rPr>
          <w:rStyle w:val="FootnoteReference"/>
          <w:rFonts w:ascii="Times New Roman" w:hAnsi="Times New Roman"/>
        </w:rPr>
        <w:footnoteReference w:id="1"/>
      </w:r>
      <w:r w:rsidRPr="00F2055E">
        <w:rPr>
          <w:rFonts w:ascii="Times New Roman" w:hAnsi="Times New Roman"/>
          <w:lang w:val="fr-BE"/>
        </w:rPr>
        <w:t xml:space="preserve">, prolongeant la période d’approbation du thiaclopride jusqu’au </w:t>
      </w:r>
      <w:r w:rsidRPr="00B70F74">
        <w:rPr>
          <w:rFonts w:ascii="Times New Roman" w:hAnsi="Times New Roman"/>
          <w:lang w:val="fr-BE"/>
        </w:rPr>
        <w:t>30</w:t>
      </w:r>
      <w:r w:rsidRPr="00F2055E">
        <w:rPr>
          <w:rFonts w:ascii="Times New Roman" w:hAnsi="Times New Roman"/>
          <w:lang w:val="fr-BE"/>
        </w:rPr>
        <w:t> avril </w:t>
      </w:r>
      <w:r w:rsidRPr="00B70F74">
        <w:rPr>
          <w:rFonts w:ascii="Times New Roman" w:hAnsi="Times New Roman"/>
          <w:lang w:val="fr-BE"/>
        </w:rPr>
        <w:t>2020</w:t>
      </w:r>
      <w:r w:rsidRPr="00F2055E">
        <w:rPr>
          <w:rFonts w:ascii="Times New Roman" w:hAnsi="Times New Roman"/>
          <w:lang w:val="fr-BE"/>
        </w:rPr>
        <w:t>.</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 xml:space="preserve">En ce qui concerne le </w:t>
      </w:r>
      <w:r w:rsidRPr="00F2055E">
        <w:rPr>
          <w:rFonts w:ascii="Times New Roman" w:hAnsi="Times New Roman"/>
          <w:b/>
          <w:lang w:val="fr-BE"/>
        </w:rPr>
        <w:t>paragraphe </w:t>
      </w:r>
      <w:r w:rsidRPr="00B70F74">
        <w:rPr>
          <w:rFonts w:ascii="Times New Roman" w:hAnsi="Times New Roman"/>
          <w:b/>
          <w:lang w:val="fr-BE"/>
        </w:rPr>
        <w:t>1</w:t>
      </w:r>
      <w:r w:rsidRPr="00F2055E">
        <w:rPr>
          <w:rFonts w:ascii="Times New Roman" w:hAnsi="Times New Roman"/>
          <w:lang w:val="fr-BE"/>
        </w:rPr>
        <w:t>, comme expliqué ci-dessous, la Commission considère que le projet de règlement est pleinement conforme aux dispositions, buts et objectifs du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dont la finalité principale est d’assurer un niveau élevé de protection de la santé humaine et animale et de l’environnement.</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 xml:space="preserve">En ce qui concerne les </w:t>
      </w:r>
      <w:r w:rsidRPr="00F2055E">
        <w:rPr>
          <w:rFonts w:ascii="Times New Roman" w:hAnsi="Times New Roman"/>
          <w:b/>
          <w:lang w:val="fr-BE"/>
        </w:rPr>
        <w:t>paragraphes </w:t>
      </w:r>
      <w:r w:rsidRPr="00B70F74">
        <w:rPr>
          <w:rFonts w:ascii="Times New Roman" w:hAnsi="Times New Roman"/>
          <w:b/>
          <w:lang w:val="fr-BE"/>
        </w:rPr>
        <w:t>3</w:t>
      </w:r>
      <w:r w:rsidRPr="00F2055E">
        <w:rPr>
          <w:rFonts w:ascii="Times New Roman" w:hAnsi="Times New Roman"/>
          <w:b/>
          <w:lang w:val="fr-BE"/>
        </w:rPr>
        <w:t xml:space="preserve"> et </w:t>
      </w:r>
      <w:r w:rsidRPr="00B70F74">
        <w:rPr>
          <w:rFonts w:ascii="Times New Roman" w:hAnsi="Times New Roman"/>
          <w:b/>
          <w:lang w:val="fr-BE"/>
        </w:rPr>
        <w:t>4</w:t>
      </w:r>
      <w:r w:rsidRPr="00F2055E">
        <w:rPr>
          <w:rFonts w:ascii="Times New Roman" w:hAnsi="Times New Roman"/>
          <w:lang w:val="fr-BE"/>
        </w:rPr>
        <w:t xml:space="preserve">, la Commission souligne que la période d’approbation du thiaclopride a dû être étendue étant donné que le processus décisionnel concernant le renouvellement n’a pas pu être achevé avant la date d’expiration antérieure du </w:t>
      </w:r>
      <w:r w:rsidRPr="00B70F74">
        <w:rPr>
          <w:rFonts w:ascii="Times New Roman" w:hAnsi="Times New Roman"/>
          <w:lang w:val="fr-BE"/>
        </w:rPr>
        <w:t>30</w:t>
      </w:r>
      <w:r w:rsidRPr="00F2055E">
        <w:rPr>
          <w:rFonts w:ascii="Times New Roman" w:hAnsi="Times New Roman"/>
          <w:lang w:val="fr-BE"/>
        </w:rPr>
        <w:t> avril </w:t>
      </w:r>
      <w:r w:rsidRPr="00B70F74">
        <w:rPr>
          <w:rFonts w:ascii="Times New Roman" w:hAnsi="Times New Roman"/>
          <w:lang w:val="fr-BE"/>
        </w:rPr>
        <w:t>2019</w:t>
      </w:r>
      <w:r w:rsidRPr="00F2055E">
        <w:rPr>
          <w:rFonts w:ascii="Times New Roman" w:hAnsi="Times New Roman"/>
          <w:lang w:val="fr-BE"/>
        </w:rPr>
        <w:t xml:space="preserve">. En réalité, l’État membre rapporteur a reçu le dossier le </w:t>
      </w:r>
      <w:r w:rsidRPr="00B70F74">
        <w:rPr>
          <w:rFonts w:ascii="Times New Roman" w:hAnsi="Times New Roman"/>
          <w:lang w:val="fr-BE"/>
        </w:rPr>
        <w:t>31</w:t>
      </w:r>
      <w:r w:rsidRPr="00F2055E">
        <w:rPr>
          <w:rFonts w:ascii="Times New Roman" w:hAnsi="Times New Roman"/>
          <w:lang w:val="fr-BE"/>
        </w:rPr>
        <w:t> octobre </w:t>
      </w:r>
      <w:r w:rsidRPr="00B70F74">
        <w:rPr>
          <w:rFonts w:ascii="Times New Roman" w:hAnsi="Times New Roman"/>
          <w:lang w:val="fr-BE"/>
        </w:rPr>
        <w:t>2014</w:t>
      </w:r>
      <w:r w:rsidRPr="00F2055E">
        <w:rPr>
          <w:rFonts w:ascii="Times New Roman" w:hAnsi="Times New Roman"/>
          <w:lang w:val="fr-BE"/>
        </w:rPr>
        <w:t xml:space="preserve"> et a soumis le projet de rapport d’évaluation en vue du renouvellement à l’Autorité européenne de sécurité des aliments (EFSA) le </w:t>
      </w:r>
      <w:r w:rsidRPr="00B70F74">
        <w:rPr>
          <w:rFonts w:ascii="Times New Roman" w:hAnsi="Times New Roman"/>
          <w:lang w:val="fr-BE"/>
        </w:rPr>
        <w:t>31</w:t>
      </w:r>
      <w:r w:rsidRPr="00F2055E">
        <w:rPr>
          <w:rFonts w:ascii="Times New Roman" w:hAnsi="Times New Roman"/>
          <w:lang w:val="fr-BE"/>
        </w:rPr>
        <w:t> octobre </w:t>
      </w:r>
      <w:r w:rsidRPr="00B70F74">
        <w:rPr>
          <w:rFonts w:ascii="Times New Roman" w:hAnsi="Times New Roman"/>
          <w:lang w:val="fr-BE"/>
        </w:rPr>
        <w:t>2017</w:t>
      </w:r>
      <w:r w:rsidRPr="00F2055E">
        <w:rPr>
          <w:rFonts w:ascii="Times New Roman" w:hAnsi="Times New Roman"/>
          <w:lang w:val="fr-BE"/>
        </w:rPr>
        <w:t xml:space="preserve">, avec un retard de </w:t>
      </w:r>
      <w:r w:rsidRPr="00B70F74">
        <w:rPr>
          <w:rFonts w:ascii="Times New Roman" w:hAnsi="Times New Roman"/>
          <w:lang w:val="fr-BE"/>
        </w:rPr>
        <w:t>24</w:t>
      </w:r>
      <w:r w:rsidRPr="00F2055E">
        <w:rPr>
          <w:rFonts w:ascii="Times New Roman" w:hAnsi="Times New Roman"/>
          <w:lang w:val="fr-BE"/>
        </w:rPr>
        <w:t xml:space="preserve"> mois. L’EFSA a finalisé ses conclusions sur l’examen collégial de l’évaluation des risques liés aux pesticides contenant la substance active «thiaclopride» le </w:t>
      </w:r>
      <w:r w:rsidRPr="00B70F74">
        <w:rPr>
          <w:rFonts w:ascii="Times New Roman" w:hAnsi="Times New Roman"/>
          <w:lang w:val="fr-BE"/>
        </w:rPr>
        <w:t>22</w:t>
      </w:r>
      <w:r w:rsidRPr="00F2055E">
        <w:rPr>
          <w:rFonts w:ascii="Times New Roman" w:hAnsi="Times New Roman"/>
          <w:lang w:val="fr-BE"/>
        </w:rPr>
        <w:t> janvier </w:t>
      </w:r>
      <w:r w:rsidRPr="00B70F74">
        <w:rPr>
          <w:rFonts w:ascii="Times New Roman" w:hAnsi="Times New Roman"/>
          <w:lang w:val="fr-BE"/>
        </w:rPr>
        <w:t>2019</w:t>
      </w:r>
      <w:r w:rsidRPr="00F2055E">
        <w:rPr>
          <w:rFonts w:ascii="Times New Roman" w:hAnsi="Times New Roman"/>
          <w:lang w:val="fr-BE"/>
        </w:rPr>
        <w:t>, avec un retard supplémentaire de quatre mois par rapport à ce que prévoit le règlement (UE) nº </w:t>
      </w:r>
      <w:r w:rsidRPr="00B70F74">
        <w:rPr>
          <w:rFonts w:ascii="Times New Roman" w:hAnsi="Times New Roman"/>
          <w:lang w:val="fr-BE"/>
        </w:rPr>
        <w:t>844</w:t>
      </w:r>
      <w:r w:rsidRPr="00F2055E">
        <w:rPr>
          <w:rFonts w:ascii="Times New Roman" w:hAnsi="Times New Roman"/>
          <w:lang w:val="fr-BE"/>
        </w:rPr>
        <w:t>/</w:t>
      </w:r>
      <w:r w:rsidRPr="00B70F74">
        <w:rPr>
          <w:rFonts w:ascii="Times New Roman" w:hAnsi="Times New Roman"/>
          <w:lang w:val="fr-BE"/>
        </w:rPr>
        <w:t>2012</w:t>
      </w:r>
      <w:r w:rsidRPr="00F2055E">
        <w:rPr>
          <w:rFonts w:ascii="Times New Roman" w:hAnsi="Times New Roman"/>
          <w:lang w:val="fr-BE"/>
        </w:rPr>
        <w:t>. Ce retard s’explique par une période de «suspension» de trois mois au cours de l’examen collégial, en raison d’une demande de données supplémentaires adressée au demandeur, et par un retard d’un mois pendant la phase d’approbation interne à l’EFSA. Les raisons de ces retards étaient indépendantes de la volonté du demandeur. Par conséquent, conformément à l’article </w:t>
      </w:r>
      <w:r w:rsidRPr="00B70F74">
        <w:rPr>
          <w:rFonts w:ascii="Times New Roman" w:hAnsi="Times New Roman"/>
          <w:lang w:val="fr-BE"/>
        </w:rPr>
        <w:t>17</w:t>
      </w:r>
      <w:r w:rsidRPr="00F2055E">
        <w:rPr>
          <w:rFonts w:ascii="Times New Roman" w:hAnsi="Times New Roman"/>
          <w:lang w:val="fr-BE"/>
        </w:rPr>
        <w:t xml:space="preserve"> du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la Commission était tenue de prolonger la période d’approbation du thiaclopride. Cette prolongation est sans préjudice de la décision que la Commission prendra en ce qui concerne le renouvellement ou non de l’approbation.</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La Commission tient également à souligner que, si le thiaclopride est effectivement classé comme toxique pour la reproduction, catégorie </w:t>
      </w:r>
      <w:r w:rsidRPr="00B70F74">
        <w:rPr>
          <w:rFonts w:ascii="Times New Roman" w:hAnsi="Times New Roman"/>
          <w:lang w:val="fr-BE"/>
        </w:rPr>
        <w:t>1</w:t>
      </w:r>
      <w:r w:rsidRPr="00F2055E">
        <w:rPr>
          <w:rFonts w:ascii="Times New Roman" w:hAnsi="Times New Roman"/>
          <w:lang w:val="fr-BE"/>
        </w:rPr>
        <w:t>B, conformément au règlement (CE) nº </w:t>
      </w:r>
      <w:r w:rsidRPr="00B70F74">
        <w:rPr>
          <w:rFonts w:ascii="Times New Roman" w:hAnsi="Times New Roman"/>
          <w:lang w:val="fr-BE"/>
        </w:rPr>
        <w:t>1272</w:t>
      </w:r>
      <w:r w:rsidRPr="00F2055E">
        <w:rPr>
          <w:rFonts w:ascii="Times New Roman" w:hAnsi="Times New Roman"/>
          <w:lang w:val="fr-BE"/>
        </w:rPr>
        <w:t>/</w:t>
      </w:r>
      <w:r w:rsidRPr="00B70F74">
        <w:rPr>
          <w:rFonts w:ascii="Times New Roman" w:hAnsi="Times New Roman"/>
          <w:lang w:val="fr-BE"/>
        </w:rPr>
        <w:t>2008</w:t>
      </w:r>
      <w:r w:rsidRPr="00F2055E">
        <w:rPr>
          <w:rFonts w:ascii="Times New Roman" w:hAnsi="Times New Roman"/>
          <w:lang w:val="fr-BE"/>
        </w:rPr>
        <w:t xml:space="preserve"> relatif à la classification, à l’étiquetage et à l’emballage des substances et des mélanges, et qu’il remplit donc l’un des critères d’exclusion (à savoir le point </w:t>
      </w:r>
      <w:r w:rsidRPr="00B70F74">
        <w:rPr>
          <w:rFonts w:ascii="Times New Roman" w:hAnsi="Times New Roman"/>
          <w:lang w:val="fr-BE"/>
        </w:rPr>
        <w:t>3</w:t>
      </w:r>
      <w:r w:rsidRPr="00F2055E">
        <w:rPr>
          <w:rFonts w:ascii="Times New Roman" w:hAnsi="Times New Roman"/>
          <w:lang w:val="fr-BE"/>
        </w:rPr>
        <w:t>.</w:t>
      </w:r>
      <w:r w:rsidRPr="00B70F74">
        <w:rPr>
          <w:rFonts w:ascii="Times New Roman" w:hAnsi="Times New Roman"/>
          <w:lang w:val="fr-BE"/>
        </w:rPr>
        <w:t>6</w:t>
      </w:r>
      <w:r w:rsidRPr="00F2055E">
        <w:rPr>
          <w:rFonts w:ascii="Times New Roman" w:hAnsi="Times New Roman"/>
          <w:lang w:val="fr-BE"/>
        </w:rPr>
        <w:t>.</w:t>
      </w:r>
      <w:r w:rsidRPr="00B70F74">
        <w:rPr>
          <w:rFonts w:ascii="Times New Roman" w:hAnsi="Times New Roman"/>
          <w:lang w:val="fr-BE"/>
        </w:rPr>
        <w:t>4</w:t>
      </w:r>
      <w:r w:rsidRPr="00F2055E">
        <w:rPr>
          <w:rFonts w:ascii="Times New Roman" w:hAnsi="Times New Roman"/>
          <w:lang w:val="fr-BE"/>
        </w:rPr>
        <w:t xml:space="preserve"> de l’annexe II) du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ce critère d’exclusion prévoit des exceptions. Le demandeur avait fourni des informations pour pouvoir bénéficier des exceptions prévues par les législateurs. En outre, l’article </w:t>
      </w:r>
      <w:r w:rsidRPr="00B70F74">
        <w:rPr>
          <w:rFonts w:ascii="Times New Roman" w:hAnsi="Times New Roman"/>
          <w:lang w:val="fr-BE"/>
        </w:rPr>
        <w:t>17</w:t>
      </w:r>
      <w:r w:rsidRPr="00F2055E">
        <w:rPr>
          <w:rFonts w:ascii="Times New Roman" w:hAnsi="Times New Roman"/>
          <w:lang w:val="fr-BE"/>
        </w:rPr>
        <w:t xml:space="preserve"> du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xml:space="preserve"> ne fait pas de distinction entre les substances qui remplissent les critères d’exclusion et celles qui ne les remplissent pas. La classification du thiaclopride ne constitue donc pas un motif de non-prolongation de la période d’approbation de cette substance et ne permet pas de déroger à </w:t>
      </w:r>
      <w:r w:rsidRPr="00F2055E">
        <w:rPr>
          <w:rFonts w:ascii="Times New Roman" w:hAnsi="Times New Roman"/>
          <w:lang w:val="fr-BE"/>
        </w:rPr>
        <w:lastRenderedPageBreak/>
        <w:t>l’obligation de suivre la procédure de renouvellement prévue par le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Le demandeur ne saurait se voir refuser la possibilité d’exercer ses droits en vertu du règlement, à savoir invoquer les exceptions que ce dernier prévoit, ou son droit d’être entendu afin d’accélérer le processus.</w:t>
      </w:r>
    </w:p>
    <w:p w:rsidR="003A08DF" w:rsidRPr="00F2055E" w:rsidRDefault="003A08DF" w:rsidP="003A08DF">
      <w:pPr>
        <w:spacing w:after="120"/>
        <w:rPr>
          <w:rFonts w:ascii="Times New Roman" w:hAnsi="Times New Roman"/>
          <w:szCs w:val="24"/>
          <w:lang w:val="fr-BE"/>
        </w:rPr>
      </w:pPr>
      <w:r w:rsidRPr="00F2055E">
        <w:rPr>
          <w:rFonts w:ascii="Times New Roman" w:hAnsi="Times New Roman"/>
          <w:lang w:val="fr-BE"/>
        </w:rPr>
        <w:t xml:space="preserve">En ce qui concerne les </w:t>
      </w:r>
      <w:r w:rsidRPr="00F2055E">
        <w:rPr>
          <w:rFonts w:ascii="Times New Roman" w:hAnsi="Times New Roman"/>
          <w:b/>
          <w:lang w:val="fr-BE"/>
        </w:rPr>
        <w:t>paragraphes </w:t>
      </w:r>
      <w:r w:rsidRPr="00B70F74">
        <w:rPr>
          <w:rFonts w:ascii="Times New Roman" w:hAnsi="Times New Roman"/>
          <w:b/>
          <w:lang w:val="fr-BE"/>
        </w:rPr>
        <w:t>5</w:t>
      </w:r>
      <w:r w:rsidRPr="00F2055E">
        <w:rPr>
          <w:rFonts w:ascii="Times New Roman" w:hAnsi="Times New Roman"/>
          <w:b/>
          <w:lang w:val="fr-BE"/>
        </w:rPr>
        <w:t xml:space="preserve"> et </w:t>
      </w:r>
      <w:r w:rsidRPr="00B70F74">
        <w:rPr>
          <w:rFonts w:ascii="Times New Roman" w:hAnsi="Times New Roman"/>
          <w:b/>
          <w:lang w:val="fr-BE"/>
        </w:rPr>
        <w:t>6</w:t>
      </w:r>
      <w:r w:rsidRPr="00F2055E">
        <w:rPr>
          <w:rFonts w:ascii="Times New Roman" w:hAnsi="Times New Roman"/>
          <w:lang w:val="fr-BE"/>
        </w:rPr>
        <w:t>, la Commission attache une grande importance à la protection des abeilles. En vertu du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xml:space="preserve">, seules les substances n’ayant pas d’effets néfastes inacceptables sur les abeilles peuvent être approuvées, à condition que toutes les autres exigences en matière de sécurité soient également respectées. En ce qui concerne le </w:t>
      </w:r>
      <w:r w:rsidRPr="00F2055E">
        <w:rPr>
          <w:rFonts w:ascii="Times New Roman" w:hAnsi="Times New Roman"/>
          <w:b/>
          <w:lang w:val="fr-BE"/>
        </w:rPr>
        <w:t>paragraphe </w:t>
      </w:r>
      <w:r w:rsidRPr="00B70F74">
        <w:rPr>
          <w:rFonts w:ascii="Times New Roman" w:hAnsi="Times New Roman"/>
          <w:b/>
          <w:lang w:val="fr-BE"/>
        </w:rPr>
        <w:t>7</w:t>
      </w:r>
      <w:r w:rsidRPr="00F2055E">
        <w:rPr>
          <w:rFonts w:ascii="Times New Roman" w:hAnsi="Times New Roman"/>
          <w:lang w:val="fr-BE"/>
        </w:rPr>
        <w:t>, tous les néonicotinoïdes ne présentent pas la même toxicité pour les abeilles. Les néonicotinoïdes les plus toxiques (chlotianidine, thiaméthoxame et imidaclopride) sont réservés exclusivement aux utilisations dans des serres depuis mai </w:t>
      </w:r>
      <w:r w:rsidRPr="00B70F74">
        <w:rPr>
          <w:rFonts w:ascii="Times New Roman" w:hAnsi="Times New Roman"/>
          <w:lang w:val="fr-BE"/>
        </w:rPr>
        <w:t>2018</w:t>
      </w:r>
      <w:r>
        <w:rPr>
          <w:rStyle w:val="FootnoteReference"/>
          <w:rFonts w:ascii="Times New Roman" w:hAnsi="Times New Roman"/>
        </w:rPr>
        <w:footnoteReference w:id="2"/>
      </w:r>
      <w:r w:rsidRPr="00F2055E">
        <w:rPr>
          <w:rFonts w:ascii="Times New Roman" w:hAnsi="Times New Roman"/>
          <w:lang w:val="fr-BE"/>
        </w:rPr>
        <w:t>.</w:t>
      </w:r>
    </w:p>
    <w:p w:rsidR="00680EFD" w:rsidRDefault="003A08DF" w:rsidP="003A08DF">
      <w:r w:rsidRPr="00F2055E">
        <w:rPr>
          <w:rFonts w:ascii="Times New Roman" w:hAnsi="Times New Roman"/>
          <w:lang w:val="fr-BE"/>
        </w:rPr>
        <w:t>En conclusion, la Commission considère qu’elle applique le cadre réglementaire convenu par les colégislateurs, qui, en réalité, obligeait la Commission à adopter le règlement de la Commission dès lors que les conditions établies à l’article </w:t>
      </w:r>
      <w:r w:rsidRPr="00B70F74">
        <w:rPr>
          <w:rFonts w:ascii="Times New Roman" w:hAnsi="Times New Roman"/>
          <w:lang w:val="fr-BE"/>
        </w:rPr>
        <w:t>17</w:t>
      </w:r>
      <w:r w:rsidRPr="00F2055E">
        <w:rPr>
          <w:rFonts w:ascii="Times New Roman" w:hAnsi="Times New Roman"/>
          <w:lang w:val="fr-BE"/>
        </w:rPr>
        <w:t xml:space="preserve"> du règlement (CE) nº </w:t>
      </w:r>
      <w:r w:rsidRPr="00B70F74">
        <w:rPr>
          <w:rFonts w:ascii="Times New Roman" w:hAnsi="Times New Roman"/>
          <w:lang w:val="fr-BE"/>
        </w:rPr>
        <w:t>1107</w:t>
      </w:r>
      <w:r w:rsidRPr="00F2055E">
        <w:rPr>
          <w:rFonts w:ascii="Times New Roman" w:hAnsi="Times New Roman"/>
          <w:lang w:val="fr-BE"/>
        </w:rPr>
        <w:t>/</w:t>
      </w:r>
      <w:r w:rsidRPr="00B70F74">
        <w:rPr>
          <w:rFonts w:ascii="Times New Roman" w:hAnsi="Times New Roman"/>
          <w:lang w:val="fr-BE"/>
        </w:rPr>
        <w:t>2009</w:t>
      </w:r>
      <w:r w:rsidRPr="00F2055E">
        <w:rPr>
          <w:rFonts w:ascii="Times New Roman" w:hAnsi="Times New Roman"/>
          <w:lang w:val="fr-BE"/>
        </w:rPr>
        <w:t xml:space="preserve"> étaient remplies, sans aucune marge d’appréciation. </w:t>
      </w:r>
      <w:r w:rsidRPr="007967D1">
        <w:rPr>
          <w:rFonts w:ascii="Times New Roman" w:hAnsi="Times New Roman"/>
          <w:lang w:val="fr-BE"/>
        </w:rPr>
        <w:t>La Commission n’a donc pas excédé ses compétences d’exécution.</w:t>
      </w:r>
    </w:p>
    <w:sectPr w:rsidR="00680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8DF" w:rsidRDefault="003A08DF" w:rsidP="003A08DF">
      <w:pPr>
        <w:spacing w:after="0"/>
      </w:pPr>
      <w:r>
        <w:separator/>
      </w:r>
    </w:p>
  </w:endnote>
  <w:endnote w:type="continuationSeparator" w:id="0">
    <w:p w:rsidR="003A08DF" w:rsidRDefault="003A08DF" w:rsidP="003A08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8DF" w:rsidRDefault="003A08DF" w:rsidP="003A08DF">
      <w:pPr>
        <w:spacing w:after="0"/>
      </w:pPr>
      <w:r>
        <w:separator/>
      </w:r>
    </w:p>
  </w:footnote>
  <w:footnote w:type="continuationSeparator" w:id="0">
    <w:p w:rsidR="003A08DF" w:rsidRDefault="003A08DF" w:rsidP="003A08DF">
      <w:pPr>
        <w:spacing w:after="0"/>
      </w:pPr>
      <w:r>
        <w:continuationSeparator/>
      </w:r>
    </w:p>
  </w:footnote>
  <w:footnote w:id="1">
    <w:p w:rsidR="003A08DF" w:rsidRPr="008D145F" w:rsidRDefault="003A08DF" w:rsidP="003A08DF">
      <w:pPr>
        <w:pStyle w:val="FootnoteText"/>
        <w:rPr>
          <w:rFonts w:ascii="Times New Roman" w:hAnsi="Times New Roman"/>
          <w:lang w:val="fr-BE"/>
        </w:rPr>
      </w:pPr>
      <w:r>
        <w:rPr>
          <w:rStyle w:val="FootnoteReference"/>
          <w:rFonts w:ascii="Times New Roman" w:hAnsi="Times New Roman"/>
        </w:rPr>
        <w:footnoteRef/>
      </w:r>
      <w:r w:rsidRPr="008D145F">
        <w:rPr>
          <w:rFonts w:ascii="Times New Roman" w:hAnsi="Times New Roman"/>
          <w:lang w:val="fr-BE"/>
        </w:rPr>
        <w:t xml:space="preserve"> </w:t>
      </w:r>
      <w:r w:rsidRPr="008D145F">
        <w:rPr>
          <w:lang w:val="fr-BE"/>
        </w:rPr>
        <w:tab/>
      </w:r>
      <w:r w:rsidRPr="008D145F">
        <w:rPr>
          <w:rFonts w:ascii="Times New Roman" w:hAnsi="Times New Roman"/>
          <w:lang w:val="fr-BE"/>
        </w:rPr>
        <w:t>JO L 33 du 5.2.2019, p. 1.</w:t>
      </w:r>
    </w:p>
  </w:footnote>
  <w:footnote w:id="2">
    <w:p w:rsidR="003A08DF" w:rsidRPr="008D145F" w:rsidRDefault="003A08DF" w:rsidP="003A08DF">
      <w:pPr>
        <w:pStyle w:val="FootnoteText"/>
        <w:rPr>
          <w:rFonts w:ascii="Times New Roman" w:hAnsi="Times New Roman"/>
          <w:lang w:val="fr-BE"/>
        </w:rPr>
      </w:pPr>
      <w:r>
        <w:rPr>
          <w:rStyle w:val="FootnoteReference"/>
          <w:rFonts w:ascii="Times New Roman" w:hAnsi="Times New Roman"/>
        </w:rPr>
        <w:footnoteRef/>
      </w:r>
      <w:r w:rsidRPr="008D145F">
        <w:rPr>
          <w:rFonts w:ascii="Times New Roman" w:hAnsi="Times New Roman"/>
          <w:lang w:val="fr-BE"/>
        </w:rPr>
        <w:t xml:space="preserve"> </w:t>
      </w:r>
      <w:r w:rsidRPr="008D145F">
        <w:rPr>
          <w:lang w:val="fr-BE"/>
        </w:rPr>
        <w:tab/>
      </w:r>
      <w:r w:rsidRPr="008D145F">
        <w:rPr>
          <w:rFonts w:ascii="Times New Roman" w:hAnsi="Times New Roman"/>
          <w:lang w:val="fr-BE"/>
        </w:rPr>
        <w:t>JO L 132 du 30.5.2018, p.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9C0298"/>
    <w:multiLevelType w:val="hybridMultilevel"/>
    <w:tmpl w:val="7494E44A"/>
    <w:lvl w:ilvl="0" w:tplc="3C4813B0">
      <w:start w:val="1"/>
      <w:numFmt w:val="bullet"/>
      <w:lvlText w:val=""/>
      <w:lvlJc w:val="left"/>
      <w:pPr>
        <w:ind w:left="1080" w:hanging="360"/>
      </w:pPr>
      <w:rPr>
        <w:rFonts w:ascii="Symbol" w:hAnsi="Symbo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1B74703"/>
    <w:multiLevelType w:val="hybridMultilevel"/>
    <w:tmpl w:val="424A86AA"/>
    <w:lvl w:ilvl="0" w:tplc="90B27698">
      <w:start w:val="1"/>
      <w:numFmt w:val="decimal"/>
      <w:lvlText w:val="%1."/>
      <w:lvlJc w:val="left"/>
      <w:pPr>
        <w:ind w:left="1080" w:hanging="72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8DF"/>
    <w:rsid w:val="0007238C"/>
    <w:rsid w:val="000A1623"/>
    <w:rsid w:val="000D6EB1"/>
    <w:rsid w:val="00110BA4"/>
    <w:rsid w:val="001262BB"/>
    <w:rsid w:val="00131AC6"/>
    <w:rsid w:val="001855CC"/>
    <w:rsid w:val="001C3806"/>
    <w:rsid w:val="002871F7"/>
    <w:rsid w:val="003A08DF"/>
    <w:rsid w:val="00643679"/>
    <w:rsid w:val="00680EFD"/>
    <w:rsid w:val="006843AE"/>
    <w:rsid w:val="009642E4"/>
    <w:rsid w:val="00AD10AA"/>
    <w:rsid w:val="00B24044"/>
    <w:rsid w:val="00B34A98"/>
    <w:rsid w:val="00B65AA4"/>
    <w:rsid w:val="00ED700E"/>
    <w:rsid w:val="00F7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8E93"/>
  <w15:chartTrackingRefBased/>
  <w15:docId w15:val="{24DC7B5B-7B9E-4AE5-9260-AD280230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8DF"/>
    <w:pPr>
      <w:spacing w:after="240" w:line="240" w:lineRule="auto"/>
      <w:jc w:val="both"/>
    </w:pPr>
    <w:rPr>
      <w:rFonts w:ascii="Courier New" w:eastAsia="Times New Roman" w:hAnsi="Courier New"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DGName">
    <w:name w:val="Z_DGName"/>
    <w:basedOn w:val="Normal"/>
    <w:uiPriority w:val="99"/>
    <w:rsid w:val="000A1623"/>
    <w:pPr>
      <w:ind w:right="85"/>
    </w:pPr>
    <w:rPr>
      <w:rFonts w:ascii="Arial" w:hAnsi="Arial" w:cs="Arial"/>
      <w:color w:val="000000"/>
      <w:sz w:val="16"/>
      <w:szCs w:val="16"/>
      <w:lang w:val="fr-FR" w:eastAsia="fr-BE"/>
    </w:rPr>
  </w:style>
  <w:style w:type="paragraph" w:customStyle="1" w:styleId="NoSpacingGray-80">
    <w:name w:val="No Spacing + Gray-80%"/>
    <w:aliases w:val="Justified,Left:  0,5 cm + Left:  0,5 cm,Right:  0,08 cm"/>
    <w:basedOn w:val="NoSpacing"/>
    <w:rsid w:val="000A1623"/>
    <w:pPr>
      <w:ind w:right="707"/>
    </w:pPr>
    <w:rPr>
      <w:rFonts w:eastAsia="Times New Roman" w:cs="Times New Roman"/>
      <w:color w:val="000000"/>
    </w:rPr>
  </w:style>
  <w:style w:type="paragraph" w:styleId="NoSpacing">
    <w:name w:val="No Spacing"/>
    <w:link w:val="NoSpacingChar"/>
    <w:autoRedefine/>
    <w:uiPriority w:val="1"/>
    <w:qFormat/>
    <w:rsid w:val="000A1623"/>
    <w:pPr>
      <w:keepLines/>
      <w:spacing w:after="0" w:line="240" w:lineRule="auto"/>
      <w:jc w:val="both"/>
    </w:pPr>
    <w:rPr>
      <w:rFonts w:ascii="Times New Roman" w:hAnsi="Times New Roman"/>
      <w:color w:val="333333"/>
      <w:sz w:val="20"/>
      <w:szCs w:val="20"/>
      <w:lang w:val="fr-BE" w:eastAsia="en-GB"/>
    </w:rPr>
  </w:style>
  <w:style w:type="paragraph" w:styleId="Header">
    <w:name w:val="header"/>
    <w:basedOn w:val="Normal"/>
    <w:link w:val="HeaderChar"/>
    <w:uiPriority w:val="99"/>
    <w:unhideWhenUsed/>
    <w:rsid w:val="000A1623"/>
    <w:pPr>
      <w:tabs>
        <w:tab w:val="center" w:pos="4513"/>
        <w:tab w:val="right" w:pos="9026"/>
      </w:tabs>
      <w:spacing w:after="0"/>
    </w:pPr>
  </w:style>
  <w:style w:type="character" w:customStyle="1" w:styleId="HeaderChar">
    <w:name w:val="Header Char"/>
    <w:basedOn w:val="DefaultParagraphFont"/>
    <w:link w:val="Header"/>
    <w:uiPriority w:val="99"/>
    <w:rsid w:val="000A1623"/>
  </w:style>
  <w:style w:type="paragraph" w:styleId="Footer">
    <w:name w:val="footer"/>
    <w:basedOn w:val="Normal"/>
    <w:link w:val="FooterChar"/>
    <w:uiPriority w:val="99"/>
    <w:unhideWhenUsed/>
    <w:rsid w:val="000A1623"/>
    <w:pPr>
      <w:tabs>
        <w:tab w:val="center" w:pos="4513"/>
        <w:tab w:val="right" w:pos="9026"/>
      </w:tabs>
      <w:spacing w:after="0"/>
    </w:pPr>
  </w:style>
  <w:style w:type="character" w:customStyle="1" w:styleId="FooterChar">
    <w:name w:val="Footer Char"/>
    <w:basedOn w:val="DefaultParagraphFont"/>
    <w:link w:val="Footer"/>
    <w:uiPriority w:val="99"/>
    <w:rsid w:val="000A1623"/>
  </w:style>
  <w:style w:type="character" w:customStyle="1" w:styleId="NoSpacingChar">
    <w:name w:val="No Spacing Char"/>
    <w:link w:val="NoSpacing"/>
    <w:uiPriority w:val="1"/>
    <w:locked/>
    <w:rsid w:val="000A1623"/>
    <w:rPr>
      <w:rFonts w:ascii="Times New Roman" w:hAnsi="Times New Roman"/>
      <w:color w:val="333333"/>
      <w:sz w:val="20"/>
      <w:szCs w:val="20"/>
      <w:lang w:val="fr-BE" w:eastAsia="en-GB"/>
    </w:rPr>
  </w:style>
  <w:style w:type="paragraph" w:styleId="ListParagraph">
    <w:name w:val="List Paragraph"/>
    <w:basedOn w:val="Normal"/>
    <w:uiPriority w:val="34"/>
    <w:qFormat/>
    <w:rsid w:val="000A1623"/>
    <w:pPr>
      <w:ind w:left="720"/>
      <w:contextualSpacing/>
    </w:pPr>
  </w:style>
  <w:style w:type="paragraph" w:customStyle="1" w:styleId="Heading2capitalletters">
    <w:name w:val="Heading 2 (capital letters)"/>
    <w:basedOn w:val="Normal"/>
    <w:link w:val="Heading2capitallettersChar"/>
    <w:qFormat/>
    <w:rsid w:val="000A1623"/>
    <w:rPr>
      <w:rFonts w:ascii="Times New Roman" w:hAnsi="Times New Roman"/>
      <w:b/>
      <w:szCs w:val="24"/>
      <w:u w:val="single"/>
      <w:lang w:val="fr-BE"/>
    </w:rPr>
  </w:style>
  <w:style w:type="character" w:customStyle="1" w:styleId="Heading2capitallettersChar">
    <w:name w:val="Heading 2 (capital letters) Char"/>
    <w:basedOn w:val="DefaultParagraphFont"/>
    <w:link w:val="Heading2capitalletters"/>
    <w:rsid w:val="000A1623"/>
    <w:rPr>
      <w:rFonts w:ascii="Times New Roman" w:hAnsi="Times New Roman" w:cs="Times New Roman"/>
      <w:b/>
      <w:sz w:val="24"/>
      <w:szCs w:val="24"/>
      <w:u w:val="single"/>
      <w:lang w:val="fr-BE"/>
    </w:rPr>
  </w:style>
  <w:style w:type="paragraph" w:customStyle="1" w:styleId="Heading3number">
    <w:name w:val="Heading 3 (number)"/>
    <w:basedOn w:val="Normal"/>
    <w:link w:val="Heading3numberChar"/>
    <w:qFormat/>
    <w:rsid w:val="000A1623"/>
    <w:pPr>
      <w:ind w:left="284"/>
    </w:pPr>
    <w:rPr>
      <w:rFonts w:ascii="Times New Roman" w:hAnsi="Times New Roman"/>
      <w:b/>
      <w:szCs w:val="24"/>
      <w:u w:val="single"/>
      <w:lang w:val="fr-BE"/>
    </w:rPr>
  </w:style>
  <w:style w:type="character" w:customStyle="1" w:styleId="Heading3numberChar">
    <w:name w:val="Heading 3 (number) Char"/>
    <w:basedOn w:val="DefaultParagraphFont"/>
    <w:link w:val="Heading3number"/>
    <w:rsid w:val="000A1623"/>
    <w:rPr>
      <w:rFonts w:ascii="Times New Roman" w:hAnsi="Times New Roman" w:cs="Times New Roman"/>
      <w:b/>
      <w:sz w:val="24"/>
      <w:szCs w:val="24"/>
      <w:u w:val="single"/>
      <w:lang w:val="fr-BE"/>
    </w:rPr>
  </w:style>
  <w:style w:type="paragraph" w:customStyle="1" w:styleId="ParagraphNr">
    <w:name w:val="Paragraph Nr"/>
    <w:basedOn w:val="Normal"/>
    <w:link w:val="ParagraphNrChar"/>
    <w:autoRedefine/>
    <w:qFormat/>
    <w:rsid w:val="00B24044"/>
    <w:pPr>
      <w:keepNext/>
      <w:spacing w:after="120"/>
      <w:ind w:left="567" w:right="-28" w:hanging="567"/>
    </w:pPr>
    <w:rPr>
      <w:b/>
      <w:szCs w:val="24"/>
    </w:rPr>
  </w:style>
  <w:style w:type="character" w:customStyle="1" w:styleId="ParagraphNrChar">
    <w:name w:val="Paragraph Nr Char"/>
    <w:basedOn w:val="DefaultParagraphFont"/>
    <w:link w:val="ParagraphNr"/>
    <w:rsid w:val="00B24044"/>
    <w:rPr>
      <w:b/>
      <w:sz w:val="24"/>
      <w:szCs w:val="24"/>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rsid w:val="003A08DF"/>
    <w:pPr>
      <w:ind w:left="357" w:hanging="357"/>
    </w:pPr>
    <w:rPr>
      <w:sz w:val="20"/>
    </w:rPr>
  </w:style>
  <w:style w:type="character" w:customStyle="1" w:styleId="FootnoteTextChar">
    <w:name w:val="Footnote Text Char"/>
    <w:basedOn w:val="DefaultParagraphFont"/>
    <w:uiPriority w:val="99"/>
    <w:semiHidden/>
    <w:rsid w:val="003A08DF"/>
    <w:rPr>
      <w:rFonts w:ascii="Courier New" w:eastAsia="Times New Roman" w:hAnsi="Courier New" w:cs="Times New Roman"/>
      <w:sz w:val="20"/>
      <w:szCs w:val="20"/>
      <w:lang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3A08DF"/>
    <w:rPr>
      <w:vertAlign w:val="superscript"/>
    </w:rPr>
  </w:style>
  <w:style w:type="paragraph" w:styleId="NormalWeb">
    <w:name w:val="Normal (Web)"/>
    <w:aliases w:val=" webb,webb"/>
    <w:basedOn w:val="Normal"/>
    <w:link w:val="NormalWebChar"/>
    <w:uiPriority w:val="99"/>
    <w:rsid w:val="003A08DF"/>
    <w:pPr>
      <w:spacing w:before="100" w:beforeAutospacing="1" w:after="100" w:afterAutospacing="1"/>
      <w:jc w:val="left"/>
    </w:pPr>
    <w:rPr>
      <w:rFonts w:ascii="Times New Roman" w:hAnsi="Times New Roman"/>
      <w:szCs w:val="24"/>
    </w:rPr>
  </w:style>
  <w:style w:type="character" w:customStyle="1" w:styleId="NormalWebChar">
    <w:name w:val="Normal (Web) Char"/>
    <w:aliases w:val=" webb Char,webb Char"/>
    <w:link w:val="NormalWeb"/>
    <w:uiPriority w:val="99"/>
    <w:rsid w:val="003A08DF"/>
    <w:rPr>
      <w:rFonts w:ascii="Times New Roman" w:eastAsia="Times New Roman" w:hAnsi="Times New Roman" w:cs="Times New Roman"/>
      <w:sz w:val="24"/>
      <w:szCs w:val="24"/>
      <w:lang w:eastAsia="en-GB"/>
    </w:rPr>
  </w:style>
  <w:style w:type="character" w:customStyle="1" w:styleId="FootnoteTextChar2">
    <w:name w:val="Footnote Text Char2"/>
    <w:aliases w:val="Footnote Text Char1 Char Char,Footnote Text Char Char Char Char,Fußnotentext Char Char1 Char Char Char,Fußnotentext Char1 Char1 Char Char Char Char,Fußnotentext Char Char Char Char Char Char Char1 Char,Footnote Text Char1 Char1"/>
    <w:link w:val="FootnoteText"/>
    <w:uiPriority w:val="99"/>
    <w:rsid w:val="003A08DF"/>
    <w:rPr>
      <w:rFonts w:ascii="Courier New" w:eastAsia="Times New Roman" w:hAnsi="Courier New" w:cs="Times New Roman"/>
      <w:sz w:val="20"/>
      <w:szCs w:val="20"/>
      <w:lang w:eastAsia="en-GB"/>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3A08DF"/>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ZnakZnak">
    <w:name w:val="Znak Znak"/>
    <w:basedOn w:val="Normal"/>
    <w:uiPriority w:val="99"/>
    <w:rsid w:val="003A08DF"/>
    <w:pPr>
      <w:spacing w:after="0" w:line="360" w:lineRule="auto"/>
    </w:pPr>
    <w:rPr>
      <w:rFonts w:ascii="Verdana" w:hAnsi="Verdana"/>
      <w:sz w:val="20"/>
      <w:lang w:val="pl-PL" w:eastAsia="pl-PL"/>
    </w:rPr>
  </w:style>
  <w:style w:type="paragraph" w:customStyle="1" w:styleId="Normal12a">
    <w:name w:val="Normal12a"/>
    <w:qFormat/>
    <w:rsid w:val="003A08DF"/>
    <w:pPr>
      <w:widowControl w:val="0"/>
      <w:spacing w:after="240" w:line="240" w:lineRule="auto"/>
    </w:pPr>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1291</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Veronique (SG)</dc:creator>
  <cp:keywords/>
  <dc:description/>
  <cp:lastModifiedBy>VINCENT Veronique (SG)</cp:lastModifiedBy>
  <cp:revision>2</cp:revision>
  <dcterms:created xsi:type="dcterms:W3CDTF">2019-08-28T15:24:00Z</dcterms:created>
  <dcterms:modified xsi:type="dcterms:W3CDTF">2019-08-28T15:44:00Z</dcterms:modified>
</cp:coreProperties>
</file>