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E1" w:rsidRPr="007A3352" w:rsidRDefault="00A326E1" w:rsidP="00A326E1">
      <w:pPr>
        <w:spacing w:after="720"/>
        <w:jc w:val="center"/>
        <w:rPr>
          <w:rFonts w:ascii="Times New Roman" w:hAnsi="Times New Roman"/>
          <w:b/>
          <w:lang w:val="fr-FR"/>
        </w:rPr>
      </w:pPr>
      <w:r w:rsidRPr="007A3352">
        <w:rPr>
          <w:rFonts w:ascii="Times New Roman" w:hAnsi="Times New Roman"/>
          <w:b/>
          <w:lang w:val="fr-FR"/>
        </w:rPr>
        <w:t>Suite donnée à la résolution non législative du Parlement européen sur le projet de décision d’exécution de la Commission autorisant la mise sur le marché de produits contenant du soja génétiquement modifié MON 87751 (MON-87751-7), consistant en ce soja ou produits à partir de celui-ci, en application du règlement (CE) nº 1829/2003 du Parlement européen et du Conseil</w:t>
      </w:r>
    </w:p>
    <w:p w:rsidR="00A326E1" w:rsidRPr="007A3352" w:rsidRDefault="00A326E1" w:rsidP="00A326E1">
      <w:pPr>
        <w:numPr>
          <w:ilvl w:val="0"/>
          <w:numId w:val="3"/>
        </w:numPr>
        <w:ind w:left="567" w:hanging="567"/>
        <w:rPr>
          <w:rFonts w:ascii="Times New Roman" w:hAnsi="Times New Roman"/>
          <w:b/>
          <w:szCs w:val="24"/>
          <w:lang w:val="fr-FR"/>
        </w:rPr>
      </w:pPr>
      <w:r w:rsidRPr="007A3352">
        <w:rPr>
          <w:rFonts w:ascii="Times New Roman" w:hAnsi="Times New Roman"/>
          <w:b/>
          <w:lang w:val="fr-FR"/>
        </w:rPr>
        <w:t>Résolution présentée, conformément à l’article 106, paragraphes 2 et 3, du règlement intérieur du Parlement européen</w:t>
      </w:r>
    </w:p>
    <w:p w:rsidR="00A326E1" w:rsidRPr="007A3352" w:rsidRDefault="00A326E1" w:rsidP="00A326E1">
      <w:pPr>
        <w:numPr>
          <w:ilvl w:val="0"/>
          <w:numId w:val="3"/>
        </w:numPr>
        <w:ind w:left="567" w:hanging="567"/>
        <w:rPr>
          <w:rFonts w:ascii="Times New Roman" w:hAnsi="Times New Roman"/>
          <w:szCs w:val="24"/>
          <w:lang w:val="fr-FR"/>
        </w:rPr>
      </w:pPr>
      <w:r w:rsidRPr="007A3352">
        <w:rPr>
          <w:rFonts w:ascii="Times New Roman" w:hAnsi="Times New Roman"/>
          <w:b/>
          <w:lang w:val="fr-FR"/>
        </w:rPr>
        <w:t xml:space="preserve">Numéros de référence: </w:t>
      </w:r>
      <w:r w:rsidRPr="007A3352">
        <w:rPr>
          <w:rFonts w:ascii="Times New Roman" w:hAnsi="Times New Roman"/>
          <w:lang w:val="fr-FR"/>
        </w:rPr>
        <w:t>2019/2603 (RSP) / B8-0216/2019 / P8_TA-</w:t>
      </w:r>
      <w:proofErr w:type="gramStart"/>
      <w:r w:rsidRPr="007A3352">
        <w:rPr>
          <w:rFonts w:ascii="Times New Roman" w:hAnsi="Times New Roman"/>
          <w:lang w:val="fr-FR"/>
        </w:rPr>
        <w:t>PROV(</w:t>
      </w:r>
      <w:proofErr w:type="gramEnd"/>
      <w:r w:rsidRPr="007A3352">
        <w:rPr>
          <w:rFonts w:ascii="Times New Roman" w:hAnsi="Times New Roman"/>
          <w:lang w:val="fr-FR"/>
        </w:rPr>
        <w:t>2019)0313</w:t>
      </w:r>
    </w:p>
    <w:p w:rsidR="00A326E1" w:rsidRPr="007A3352" w:rsidRDefault="00A326E1" w:rsidP="00A326E1">
      <w:pPr>
        <w:numPr>
          <w:ilvl w:val="0"/>
          <w:numId w:val="3"/>
        </w:numPr>
        <w:ind w:left="567" w:hanging="567"/>
        <w:rPr>
          <w:rFonts w:ascii="Times New Roman" w:hAnsi="Times New Roman"/>
          <w:szCs w:val="24"/>
          <w:lang w:val="fr-FR"/>
        </w:rPr>
      </w:pPr>
      <w:r w:rsidRPr="007A3352">
        <w:rPr>
          <w:rFonts w:ascii="Times New Roman" w:hAnsi="Times New Roman"/>
          <w:b/>
          <w:lang w:val="fr-FR"/>
        </w:rPr>
        <w:t xml:space="preserve">Date d’adoption de la résolution: </w:t>
      </w:r>
      <w:r w:rsidRPr="007A3352">
        <w:rPr>
          <w:rFonts w:ascii="Times New Roman" w:hAnsi="Times New Roman"/>
          <w:lang w:val="fr-FR"/>
        </w:rPr>
        <w:t>27 mars 2019</w:t>
      </w:r>
    </w:p>
    <w:p w:rsidR="00A326E1" w:rsidRPr="007A3352" w:rsidRDefault="00A326E1" w:rsidP="00A326E1">
      <w:pPr>
        <w:numPr>
          <w:ilvl w:val="0"/>
          <w:numId w:val="3"/>
        </w:numPr>
        <w:ind w:left="567" w:hanging="567"/>
        <w:rPr>
          <w:rFonts w:ascii="Times New Roman" w:hAnsi="Times New Roman"/>
          <w:lang w:val="fr-FR"/>
        </w:rPr>
      </w:pPr>
      <w:r w:rsidRPr="007A3352">
        <w:rPr>
          <w:rFonts w:ascii="Times New Roman" w:hAnsi="Times New Roman"/>
          <w:b/>
          <w:lang w:val="fr-FR"/>
        </w:rPr>
        <w:t>Commission parlementaire compétente</w:t>
      </w:r>
      <w:r w:rsidRPr="007A3352">
        <w:rPr>
          <w:b/>
          <w:lang w:val="fr-FR"/>
        </w:rPr>
        <w:t>:</w:t>
      </w:r>
      <w:r w:rsidRPr="007A3352">
        <w:rPr>
          <w:lang w:val="fr-FR"/>
        </w:rPr>
        <w:t xml:space="preserve"> </w:t>
      </w:r>
      <w:r w:rsidRPr="007A3352">
        <w:rPr>
          <w:rFonts w:ascii="Times New Roman" w:hAnsi="Times New Roman"/>
          <w:lang w:val="fr-FR"/>
        </w:rPr>
        <w:t>commission de l’environnement, de la santé publique et de la sécurité alimentaire (ENVI)</w:t>
      </w:r>
    </w:p>
    <w:p w:rsidR="00A326E1" w:rsidRPr="007A3352" w:rsidRDefault="00A326E1" w:rsidP="00A326E1">
      <w:pPr>
        <w:widowControl w:val="0"/>
        <w:numPr>
          <w:ilvl w:val="0"/>
          <w:numId w:val="3"/>
        </w:numPr>
        <w:ind w:left="567" w:hanging="567"/>
        <w:rPr>
          <w:rFonts w:ascii="Times New Roman" w:hAnsi="Times New Roman"/>
          <w:szCs w:val="24"/>
          <w:lang w:val="fr-FR"/>
        </w:rPr>
      </w:pPr>
      <w:r w:rsidRPr="007A3352">
        <w:rPr>
          <w:rFonts w:ascii="Times New Roman" w:hAnsi="Times New Roman"/>
          <w:b/>
          <w:lang w:val="fr-FR"/>
        </w:rPr>
        <w:t>Analyse/évaluation succincte de la résolution et des demandes qu’elle contient:</w:t>
      </w:r>
    </w:p>
    <w:p w:rsidR="00A326E1" w:rsidRPr="007A3352" w:rsidRDefault="00A326E1" w:rsidP="00A326E1">
      <w:pPr>
        <w:rPr>
          <w:rFonts w:ascii="Times New Roman" w:hAnsi="Times New Roman"/>
          <w:szCs w:val="24"/>
          <w:lang w:val="fr-FR"/>
        </w:rPr>
      </w:pPr>
      <w:r w:rsidRPr="007A3352">
        <w:rPr>
          <w:rFonts w:ascii="Times New Roman" w:hAnsi="Times New Roman"/>
          <w:lang w:val="fr-FR"/>
        </w:rPr>
        <w:t>Dans sa résolution, le Parlement européen demande le retrait du projet de décision d’exécution de la Commission (</w:t>
      </w:r>
      <w:r w:rsidRPr="007A3352">
        <w:rPr>
          <w:rFonts w:ascii="Times New Roman" w:hAnsi="Times New Roman"/>
          <w:b/>
          <w:lang w:val="fr-FR"/>
        </w:rPr>
        <w:t>paragraphe 3</w:t>
      </w:r>
      <w:r w:rsidRPr="007A3352">
        <w:rPr>
          <w:rFonts w:ascii="Times New Roman" w:hAnsi="Times New Roman"/>
          <w:lang w:val="fr-FR"/>
        </w:rPr>
        <w:t>), au motif que ce dernier excède les compétences d’exécution prévues dans le règlement (CE) nº 1829/2003 (</w:t>
      </w:r>
      <w:r w:rsidRPr="007A3352">
        <w:rPr>
          <w:rFonts w:ascii="Times New Roman" w:hAnsi="Times New Roman"/>
          <w:b/>
          <w:lang w:val="fr-FR"/>
        </w:rPr>
        <w:t>paragraphe 1</w:t>
      </w:r>
      <w:r w:rsidRPr="007A3352">
        <w:rPr>
          <w:rFonts w:ascii="Times New Roman" w:hAnsi="Times New Roman"/>
          <w:lang w:val="fr-FR"/>
        </w:rPr>
        <w:t>) et qu’il n’est pas compatible avec l’objectif du règlement (CE) nº 1829/2003 ni avec les principes généraux prévus dans le règlement (CE) nº 178/2002, à savoir la protection de la vie et de la santé des personnes, de la santé et du bien-être des animaux, de l’environnement et des intérêts des consommateurs (</w:t>
      </w:r>
      <w:r w:rsidRPr="007A3352">
        <w:rPr>
          <w:rFonts w:ascii="Times New Roman" w:hAnsi="Times New Roman"/>
          <w:b/>
          <w:lang w:val="fr-FR"/>
        </w:rPr>
        <w:t>paragraphe 2</w:t>
      </w:r>
      <w:r w:rsidRPr="007A3352">
        <w:rPr>
          <w:rFonts w:ascii="Times New Roman" w:hAnsi="Times New Roman"/>
          <w:lang w:val="fr-FR"/>
        </w:rPr>
        <w:t>). En outre, le Parlement invite la Commission à suspendre toute décision d’exécution relative à l’autorisation d’organismes génétiquement modifiés (OGM) jusqu’à ce que la procédure d’autorisation ait été révisée de manière à remédier aux lacunes de la procédure actuelle, qui s’est révélée inadéquate (</w:t>
      </w:r>
      <w:r w:rsidRPr="007A3352">
        <w:rPr>
          <w:rFonts w:ascii="Times New Roman" w:hAnsi="Times New Roman"/>
          <w:b/>
          <w:lang w:val="fr-FR"/>
        </w:rPr>
        <w:t>paragraphe 5</w:t>
      </w:r>
      <w:r w:rsidRPr="007A3352">
        <w:rPr>
          <w:rFonts w:ascii="Times New Roman" w:hAnsi="Times New Roman"/>
          <w:lang w:val="fr-FR"/>
        </w:rPr>
        <w:t xml:space="preserve">). Le Parlement demande également le retrait des propositions relatives aux autorisations d’OGM si le comité permanent ne rend aucun avis </w:t>
      </w:r>
      <w:r w:rsidRPr="007A3352">
        <w:rPr>
          <w:rFonts w:ascii="Times New Roman" w:hAnsi="Times New Roman"/>
          <w:b/>
          <w:lang w:val="fr-FR"/>
        </w:rPr>
        <w:t>(paragraphe 6)</w:t>
      </w:r>
      <w:r w:rsidRPr="007A3352">
        <w:rPr>
          <w:rFonts w:ascii="Times New Roman" w:hAnsi="Times New Roman"/>
          <w:lang w:val="fr-FR"/>
        </w:rPr>
        <w:t xml:space="preserve">. Le Parlement demande au Conseil de s’attacher d’urgence à mener à bien ses travaux sur la proposition de la Commission modifiant le règlement (UE) nº 182/2011 </w:t>
      </w:r>
      <w:r w:rsidRPr="007A3352">
        <w:rPr>
          <w:rFonts w:ascii="Times New Roman" w:hAnsi="Times New Roman"/>
          <w:b/>
          <w:lang w:val="fr-FR"/>
        </w:rPr>
        <w:t>(paragraphe 4)</w:t>
      </w:r>
      <w:r w:rsidRPr="007A3352">
        <w:rPr>
          <w:rFonts w:ascii="Times New Roman" w:hAnsi="Times New Roman"/>
          <w:lang w:val="fr-FR"/>
        </w:rPr>
        <w:t>.</w:t>
      </w:r>
    </w:p>
    <w:p w:rsidR="00A326E1" w:rsidRPr="007A3352" w:rsidRDefault="00A326E1" w:rsidP="00A326E1">
      <w:pPr>
        <w:rPr>
          <w:rFonts w:ascii="Times New Roman" w:hAnsi="Times New Roman"/>
          <w:szCs w:val="24"/>
          <w:lang w:val="fr-FR"/>
        </w:rPr>
      </w:pPr>
      <w:r w:rsidRPr="007A3352">
        <w:rPr>
          <w:rFonts w:ascii="Times New Roman" w:hAnsi="Times New Roman"/>
          <w:lang w:val="fr-FR"/>
        </w:rPr>
        <w:t xml:space="preserve">Le Parlement européen, dans sa résolution, indique que les protéines </w:t>
      </w:r>
      <w:proofErr w:type="spellStart"/>
      <w:r w:rsidRPr="007A3352">
        <w:rPr>
          <w:rFonts w:ascii="Times New Roman" w:hAnsi="Times New Roman"/>
          <w:lang w:val="fr-FR"/>
        </w:rPr>
        <w:t>Bt</w:t>
      </w:r>
      <w:proofErr w:type="spellEnd"/>
      <w:r w:rsidRPr="007A3352">
        <w:rPr>
          <w:rFonts w:ascii="Times New Roman" w:hAnsi="Times New Roman"/>
          <w:lang w:val="fr-FR"/>
        </w:rPr>
        <w:t xml:space="preserve"> ont des propriétés adjuvantes et peuvent accentuer la réponse du système immunitaire aux allergènes végétaux produits par les graines de soja (</w:t>
      </w:r>
      <w:r w:rsidRPr="007A3352">
        <w:rPr>
          <w:rFonts w:ascii="Times New Roman" w:hAnsi="Times New Roman"/>
          <w:b/>
          <w:lang w:val="fr-FR"/>
        </w:rPr>
        <w:t>considérant D</w:t>
      </w:r>
      <w:r w:rsidRPr="007A3352">
        <w:rPr>
          <w:rFonts w:ascii="Times New Roman" w:hAnsi="Times New Roman"/>
          <w:lang w:val="fr-FR"/>
        </w:rPr>
        <w:t>). Il rappelle également que des études de toxicité par administration répétée sur 28 jours ont été effectuées sur des souris, l’une avec la protéine Cry1A.105 et l’autre avec la protéine Cry2Ab2 (</w:t>
      </w:r>
      <w:r w:rsidRPr="007A3352">
        <w:rPr>
          <w:rFonts w:ascii="Times New Roman" w:hAnsi="Times New Roman"/>
          <w:b/>
          <w:lang w:val="fr-FR"/>
        </w:rPr>
        <w:t>considérant H</w:t>
      </w:r>
      <w:r w:rsidRPr="007A3352">
        <w:rPr>
          <w:rFonts w:ascii="Times New Roman" w:hAnsi="Times New Roman"/>
          <w:lang w:val="fr-FR"/>
        </w:rPr>
        <w:t>). Il indique que ces études ne reproduisent pas l’exposition dans des conditions pratiques (</w:t>
      </w:r>
      <w:r w:rsidRPr="007A3352">
        <w:rPr>
          <w:rFonts w:ascii="Times New Roman" w:hAnsi="Times New Roman"/>
          <w:b/>
          <w:lang w:val="fr-FR"/>
        </w:rPr>
        <w:t>considérant I</w:t>
      </w:r>
      <w:r w:rsidRPr="007A3352">
        <w:rPr>
          <w:rFonts w:ascii="Times New Roman" w:hAnsi="Times New Roman"/>
          <w:lang w:val="fr-FR"/>
        </w:rPr>
        <w:t>) et que deux études de toxicité ne répondent pas entièrement aux critères fixés par l’Organisation de coopération et de développement économiques (OCDE) (</w:t>
      </w:r>
      <w:r w:rsidRPr="007A3352">
        <w:rPr>
          <w:rFonts w:ascii="Times New Roman" w:hAnsi="Times New Roman"/>
          <w:b/>
          <w:lang w:val="fr-FR"/>
        </w:rPr>
        <w:t>considérant J</w:t>
      </w:r>
      <w:r w:rsidRPr="007A3352">
        <w:rPr>
          <w:rFonts w:ascii="Times New Roman" w:hAnsi="Times New Roman"/>
          <w:lang w:val="fr-FR"/>
        </w:rPr>
        <w:t>).</w:t>
      </w:r>
    </w:p>
    <w:p w:rsidR="00A326E1" w:rsidRPr="007A3352" w:rsidRDefault="00A326E1" w:rsidP="00A326E1">
      <w:pPr>
        <w:rPr>
          <w:rFonts w:ascii="Times New Roman" w:hAnsi="Times New Roman"/>
          <w:szCs w:val="24"/>
          <w:lang w:val="fr-FR"/>
        </w:rPr>
      </w:pPr>
      <w:r w:rsidRPr="007A3352">
        <w:rPr>
          <w:rFonts w:ascii="Times New Roman" w:hAnsi="Times New Roman"/>
          <w:lang w:val="fr-FR"/>
        </w:rPr>
        <w:t>Le Parlement européen déclare également que de nombreuses différences statistiquement significatives dans l’étude d’alimentation sur 90 jours auraient dû être examinées de manière plus approfondie, selon les observations d’une autorité compétente d’un État membre (</w:t>
      </w:r>
      <w:r w:rsidRPr="007A3352">
        <w:rPr>
          <w:rFonts w:ascii="Times New Roman" w:hAnsi="Times New Roman"/>
          <w:b/>
          <w:lang w:val="fr-FR"/>
        </w:rPr>
        <w:t>considérant K</w:t>
      </w:r>
      <w:r w:rsidRPr="007A3352">
        <w:rPr>
          <w:rFonts w:ascii="Times New Roman" w:hAnsi="Times New Roman"/>
          <w:lang w:val="fr-FR"/>
        </w:rPr>
        <w:t>). Le Parlement européen fait part de son désaccord avec l’évaluation, par l’Autorité européenne de sécurité des aliments (EFSA), de l’étude de toxicité sur 90 jours effectuée sur des rats, car l’étude n’a pas utilisé deux dosages différents du matériel d’essai, comme l’exige le règlement d’exécution (UE) nº 503/2013 (</w:t>
      </w:r>
      <w:r w:rsidRPr="007A3352">
        <w:rPr>
          <w:rFonts w:ascii="Times New Roman" w:hAnsi="Times New Roman"/>
          <w:b/>
          <w:lang w:val="fr-FR"/>
        </w:rPr>
        <w:t>considérant L</w:t>
      </w:r>
      <w:r w:rsidRPr="007A3352">
        <w:rPr>
          <w:rFonts w:ascii="Times New Roman" w:hAnsi="Times New Roman"/>
          <w:lang w:val="fr-FR"/>
        </w:rPr>
        <w:t>), ainsi qu’avec l’utilisation de farine de soja dégraissée alors que le lait de soja a été identifié comme le principal composant utilisé dans les régimes alimentaires humains (</w:t>
      </w:r>
      <w:r w:rsidRPr="007A3352">
        <w:rPr>
          <w:rFonts w:ascii="Times New Roman" w:hAnsi="Times New Roman"/>
          <w:b/>
          <w:lang w:val="fr-FR"/>
        </w:rPr>
        <w:t>considérant M</w:t>
      </w:r>
      <w:r w:rsidRPr="007A3352">
        <w:rPr>
          <w:rFonts w:ascii="Times New Roman" w:hAnsi="Times New Roman"/>
          <w:lang w:val="fr-FR"/>
        </w:rPr>
        <w:t>).</w:t>
      </w:r>
    </w:p>
    <w:p w:rsidR="00A326E1" w:rsidRPr="007A3352" w:rsidRDefault="00A326E1" w:rsidP="00A326E1">
      <w:pPr>
        <w:rPr>
          <w:rFonts w:ascii="Times New Roman" w:hAnsi="Times New Roman"/>
          <w:szCs w:val="24"/>
          <w:lang w:val="fr-FR"/>
        </w:rPr>
      </w:pPr>
      <w:r w:rsidRPr="007A3352">
        <w:rPr>
          <w:rFonts w:ascii="Times New Roman" w:hAnsi="Times New Roman"/>
          <w:lang w:val="fr-FR"/>
        </w:rPr>
        <w:lastRenderedPageBreak/>
        <w:t xml:space="preserve">Le Parlement rappelle, dans sa résolution, les résultats du vote du comité permanent de la chaîne alimentaire et de la santé animale au sujet du projet de décision d’exécution </w:t>
      </w:r>
      <w:r w:rsidRPr="007A3352">
        <w:rPr>
          <w:rFonts w:ascii="Times New Roman" w:hAnsi="Times New Roman"/>
          <w:b/>
          <w:lang w:val="fr-FR"/>
        </w:rPr>
        <w:t>(considérant R)</w:t>
      </w:r>
      <w:r w:rsidRPr="007A3352">
        <w:rPr>
          <w:rFonts w:ascii="Times New Roman" w:hAnsi="Times New Roman"/>
          <w:lang w:val="fr-FR"/>
        </w:rPr>
        <w:t xml:space="preserve">. Il indique en outre que le renvoi des projets de décisions d’autorisation à la Commission pour décision finale, en raison de l’absence de soutien du comité permanent, est devenu la norme de la prise de décision sur les autorisations des denrées alimentaires et des aliments pour animaux génétiquement modifiés et que cette pratique n’est pas démocratique </w:t>
      </w:r>
      <w:r w:rsidRPr="007A3352">
        <w:rPr>
          <w:rFonts w:ascii="Times New Roman" w:hAnsi="Times New Roman"/>
          <w:b/>
          <w:lang w:val="fr-FR"/>
        </w:rPr>
        <w:t>(considérant S)</w:t>
      </w:r>
      <w:r w:rsidRPr="007A3352">
        <w:rPr>
          <w:rFonts w:ascii="Times New Roman" w:hAnsi="Times New Roman"/>
          <w:lang w:val="fr-FR"/>
        </w:rPr>
        <w:t xml:space="preserve">. Enfin, le Parlement rappelle qu’il a rejeté la proposition législative de la Commission du 22 avril 2015 modifiant le règlement (CE) nº 1829/2003 et qu’il a invité la Commission à la retirer et à en présenter une nouvelle </w:t>
      </w:r>
      <w:r w:rsidRPr="007A3352">
        <w:rPr>
          <w:rFonts w:ascii="Times New Roman" w:hAnsi="Times New Roman"/>
          <w:b/>
          <w:lang w:val="fr-FR"/>
        </w:rPr>
        <w:t>(considérant T)</w:t>
      </w:r>
      <w:r w:rsidRPr="007A3352">
        <w:rPr>
          <w:rFonts w:ascii="Times New Roman" w:hAnsi="Times New Roman"/>
          <w:lang w:val="fr-FR"/>
        </w:rPr>
        <w:t>.</w:t>
      </w:r>
    </w:p>
    <w:p w:rsidR="00A326E1" w:rsidRPr="007A3352" w:rsidRDefault="00A326E1" w:rsidP="00A326E1">
      <w:pPr>
        <w:widowControl w:val="0"/>
        <w:numPr>
          <w:ilvl w:val="0"/>
          <w:numId w:val="3"/>
        </w:numPr>
        <w:ind w:left="567" w:hanging="567"/>
        <w:rPr>
          <w:rFonts w:ascii="Times New Roman" w:hAnsi="Times New Roman"/>
          <w:b/>
          <w:i/>
          <w:szCs w:val="24"/>
          <w:lang w:val="fr-FR"/>
        </w:rPr>
      </w:pPr>
      <w:r w:rsidRPr="007A3352">
        <w:rPr>
          <w:rFonts w:ascii="Times New Roman" w:hAnsi="Times New Roman"/>
          <w:b/>
          <w:lang w:val="fr-FR"/>
        </w:rPr>
        <w:t>Réponse à ces demandes et aperçu des mesures que la Commission a prises ou envisage de prendre:</w:t>
      </w:r>
    </w:p>
    <w:p w:rsidR="00A326E1" w:rsidRPr="00825585" w:rsidRDefault="00A326E1" w:rsidP="00A326E1">
      <w:pPr>
        <w:rPr>
          <w:rFonts w:ascii="Times New Roman" w:hAnsi="Times New Roman"/>
          <w:szCs w:val="24"/>
          <w:lang w:val="fr-FR"/>
        </w:rPr>
      </w:pPr>
      <w:r w:rsidRPr="007A3352">
        <w:rPr>
          <w:rFonts w:ascii="Times New Roman" w:hAnsi="Times New Roman"/>
          <w:lang w:val="fr-FR"/>
        </w:rPr>
        <w:t xml:space="preserve">La Commission tient à préciser que le projet de décision d’exécution en question autorise la mise sur le marché de produits contenant </w:t>
      </w:r>
      <w:r w:rsidRPr="00825585">
        <w:rPr>
          <w:rFonts w:ascii="Times New Roman" w:hAnsi="Times New Roman"/>
          <w:lang w:val="fr-FR"/>
        </w:rPr>
        <w:t xml:space="preserve">du soja génétiquement modifié MON 87751, consistant en ce </w:t>
      </w:r>
      <w:r>
        <w:rPr>
          <w:rFonts w:ascii="Times New Roman" w:hAnsi="Times New Roman"/>
          <w:lang w:val="fr-FR"/>
        </w:rPr>
        <w:t xml:space="preserve">soja </w:t>
      </w:r>
      <w:r w:rsidRPr="00825585">
        <w:rPr>
          <w:rFonts w:ascii="Times New Roman" w:hAnsi="Times New Roman"/>
          <w:lang w:val="fr-FR"/>
        </w:rPr>
        <w:t xml:space="preserve">ou produits à partir de celui-ci, mais pas la culture de ce </w:t>
      </w:r>
      <w:r>
        <w:rPr>
          <w:rFonts w:ascii="Times New Roman" w:hAnsi="Times New Roman"/>
          <w:lang w:val="fr-FR"/>
        </w:rPr>
        <w:t>soja</w:t>
      </w:r>
      <w:r w:rsidRPr="00825585">
        <w:rPr>
          <w:rFonts w:ascii="Times New Roman" w:hAnsi="Times New Roman"/>
          <w:lang w:val="fr-FR"/>
        </w:rPr>
        <w:t>.</w:t>
      </w:r>
    </w:p>
    <w:p w:rsidR="00A326E1" w:rsidRPr="007A3352" w:rsidRDefault="00A326E1" w:rsidP="00A326E1">
      <w:pPr>
        <w:rPr>
          <w:rFonts w:ascii="Times New Roman" w:hAnsi="Times New Roman"/>
          <w:szCs w:val="24"/>
          <w:lang w:val="fr-FR"/>
        </w:rPr>
      </w:pPr>
      <w:r w:rsidRPr="007A3352">
        <w:rPr>
          <w:rFonts w:ascii="Times New Roman" w:hAnsi="Times New Roman"/>
          <w:lang w:val="fr-FR"/>
        </w:rPr>
        <w:t xml:space="preserve">En ce qui concerne les </w:t>
      </w:r>
      <w:r w:rsidRPr="007A3352">
        <w:rPr>
          <w:rFonts w:ascii="Times New Roman" w:hAnsi="Times New Roman"/>
          <w:b/>
          <w:lang w:val="fr-FR"/>
        </w:rPr>
        <w:t>paragraphes 1 à 5</w:t>
      </w:r>
      <w:r w:rsidRPr="007A3352">
        <w:rPr>
          <w:rFonts w:ascii="Times New Roman" w:hAnsi="Times New Roman"/>
          <w:lang w:val="fr-FR"/>
        </w:rPr>
        <w:t xml:space="preserve"> de la résolution, la Commission tient à souligner que le parcours du projet de décision est conforme à la procédure décrite dans le règlement (UE) nº 182/2011 relatif à la comitologie et dans le règlement (CE) nº 1829/2003 concernant les denrées alimentaires et les aliments pour animaux génétiquement modifiés, comme illustré ci-dessous:</w:t>
      </w:r>
    </w:p>
    <w:p w:rsidR="00A326E1" w:rsidRPr="007A3352" w:rsidRDefault="00A326E1" w:rsidP="00A326E1">
      <w:pPr>
        <w:numPr>
          <w:ilvl w:val="0"/>
          <w:numId w:val="1"/>
        </w:numPr>
        <w:ind w:left="1077" w:hanging="357"/>
        <w:rPr>
          <w:rFonts w:ascii="Times New Roman" w:hAnsi="Times New Roman"/>
          <w:szCs w:val="24"/>
          <w:lang w:val="fr-FR"/>
        </w:rPr>
      </w:pPr>
      <w:proofErr w:type="gramStart"/>
      <w:r w:rsidRPr="007A3352">
        <w:rPr>
          <w:rFonts w:ascii="Times New Roman" w:hAnsi="Times New Roman"/>
          <w:lang w:val="fr-FR"/>
        </w:rPr>
        <w:t>la</w:t>
      </w:r>
      <w:proofErr w:type="gramEnd"/>
      <w:r w:rsidRPr="007A3352">
        <w:rPr>
          <w:rFonts w:ascii="Times New Roman" w:hAnsi="Times New Roman"/>
          <w:lang w:val="fr-FR"/>
        </w:rPr>
        <w:t xml:space="preserve"> demande d’autorisation du soja génétiquement modifié MON 87751 comme denrée alimentaire ou aliment pour animaux dans l’Union a été présentée par Monsanto </w:t>
      </w:r>
      <w:proofErr w:type="spellStart"/>
      <w:r w:rsidRPr="007A3352">
        <w:rPr>
          <w:rFonts w:ascii="Times New Roman" w:hAnsi="Times New Roman"/>
          <w:lang w:val="fr-FR"/>
        </w:rPr>
        <w:t>Company</w:t>
      </w:r>
      <w:proofErr w:type="spellEnd"/>
      <w:r w:rsidRPr="007A3352">
        <w:rPr>
          <w:rFonts w:ascii="Times New Roman" w:hAnsi="Times New Roman"/>
          <w:lang w:val="fr-FR"/>
        </w:rPr>
        <w:t xml:space="preserve"> le 26 septembre 2014;</w:t>
      </w:r>
    </w:p>
    <w:p w:rsidR="00A326E1" w:rsidRPr="007A3352" w:rsidRDefault="00A326E1" w:rsidP="00A326E1">
      <w:pPr>
        <w:numPr>
          <w:ilvl w:val="0"/>
          <w:numId w:val="1"/>
        </w:numPr>
        <w:ind w:left="1077" w:hanging="357"/>
        <w:rPr>
          <w:rFonts w:ascii="Times New Roman" w:hAnsi="Times New Roman"/>
          <w:snapToGrid w:val="0"/>
          <w:lang w:val="fr-FR"/>
        </w:rPr>
      </w:pPr>
      <w:proofErr w:type="gramStart"/>
      <w:r w:rsidRPr="007A3352">
        <w:rPr>
          <w:rFonts w:ascii="Times New Roman" w:hAnsi="Times New Roman"/>
          <w:snapToGrid w:val="0"/>
          <w:lang w:val="fr-FR"/>
        </w:rPr>
        <w:t>l’EFSA</w:t>
      </w:r>
      <w:proofErr w:type="gramEnd"/>
      <w:r w:rsidRPr="007A3352">
        <w:rPr>
          <w:rFonts w:ascii="Times New Roman" w:hAnsi="Times New Roman"/>
          <w:snapToGrid w:val="0"/>
          <w:lang w:val="fr-FR"/>
        </w:rPr>
        <w:t xml:space="preserve"> a réalisé une évaluation exhaustive des risques liés au produit et a émis, le 2 août 2018, un avis favorable dans lequel elle a conclu que</w:t>
      </w:r>
      <w:r w:rsidRPr="007A3352">
        <w:rPr>
          <w:rFonts w:ascii="Times New Roman" w:hAnsi="Times New Roman"/>
          <w:lang w:val="fr-FR"/>
        </w:rPr>
        <w:t xml:space="preserve"> le soja génétiquement modifié MON 87751 était aussi sûr que son homologue non génétiquement modifié et que les autres variétés commerciales non génétiquement modifiées testées, et équivalent sur le plan nutritionnel;</w:t>
      </w:r>
    </w:p>
    <w:p w:rsidR="00A326E1" w:rsidRPr="007A3352" w:rsidRDefault="00A326E1" w:rsidP="00A326E1">
      <w:pPr>
        <w:numPr>
          <w:ilvl w:val="0"/>
          <w:numId w:val="1"/>
        </w:numPr>
        <w:ind w:left="1077" w:hanging="357"/>
        <w:rPr>
          <w:rFonts w:ascii="Times New Roman" w:hAnsi="Times New Roman"/>
          <w:szCs w:val="24"/>
          <w:lang w:val="fr-FR"/>
        </w:rPr>
      </w:pPr>
      <w:proofErr w:type="gramStart"/>
      <w:r w:rsidRPr="007A3352">
        <w:rPr>
          <w:rFonts w:ascii="Times New Roman" w:hAnsi="Times New Roman"/>
          <w:lang w:val="fr-FR"/>
        </w:rPr>
        <w:t>dans</w:t>
      </w:r>
      <w:proofErr w:type="gramEnd"/>
      <w:r w:rsidRPr="007A3352">
        <w:rPr>
          <w:rFonts w:ascii="Times New Roman" w:hAnsi="Times New Roman"/>
          <w:lang w:val="fr-FR"/>
        </w:rPr>
        <w:t xml:space="preserve"> son avis, l’EFSA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rsidR="00A326E1" w:rsidRPr="007A3352" w:rsidRDefault="00A326E1" w:rsidP="00A326E1">
      <w:pPr>
        <w:numPr>
          <w:ilvl w:val="0"/>
          <w:numId w:val="1"/>
        </w:numPr>
        <w:rPr>
          <w:rFonts w:ascii="Times New Roman" w:hAnsi="Times New Roman"/>
          <w:szCs w:val="24"/>
          <w:lang w:val="fr-FR"/>
        </w:rPr>
      </w:pPr>
      <w:r w:rsidRPr="007A3352">
        <w:rPr>
          <w:rFonts w:ascii="Times New Roman" w:hAnsi="Times New Roman"/>
          <w:lang w:val="fr-FR"/>
        </w:rPr>
        <w:t>le public a commenté l’avis de l’EFSA et l’EFSA a examiné tous les commentaires scientifiques qui lui ont été transmis</w:t>
      </w:r>
      <w:r>
        <w:rPr>
          <w:rFonts w:ascii="Times New Roman" w:hAnsi="Times New Roman"/>
          <w:vertAlign w:val="superscript"/>
        </w:rPr>
        <w:footnoteReference w:id="1"/>
      </w:r>
      <w:r w:rsidRPr="007A3352">
        <w:rPr>
          <w:rFonts w:ascii="Times New Roman" w:hAnsi="Times New Roman"/>
          <w:lang w:val="fr-FR"/>
        </w:rPr>
        <w:t>;</w:t>
      </w:r>
    </w:p>
    <w:p w:rsidR="00A326E1" w:rsidRPr="007A3352" w:rsidRDefault="00A326E1" w:rsidP="00A326E1">
      <w:pPr>
        <w:numPr>
          <w:ilvl w:val="0"/>
          <w:numId w:val="1"/>
        </w:numPr>
        <w:ind w:left="1077" w:hanging="357"/>
        <w:rPr>
          <w:rFonts w:ascii="Times New Roman" w:hAnsi="Times New Roman"/>
          <w:szCs w:val="24"/>
          <w:lang w:val="fr-FR"/>
        </w:rPr>
      </w:pPr>
      <w:proofErr w:type="gramStart"/>
      <w:r w:rsidRPr="007A3352">
        <w:rPr>
          <w:rFonts w:ascii="Times New Roman" w:hAnsi="Times New Roman"/>
          <w:lang w:val="fr-FR"/>
        </w:rPr>
        <w:t>le</w:t>
      </w:r>
      <w:proofErr w:type="gramEnd"/>
      <w:r w:rsidRPr="007A3352">
        <w:rPr>
          <w:rFonts w:ascii="Times New Roman" w:hAnsi="Times New Roman"/>
          <w:lang w:val="fr-FR"/>
        </w:rPr>
        <w:t xml:space="preserve"> projet de décision a été soumis au vote du comité permanent le 7 mars 2019, à l’issue duquel aucune majorité qualifiée ne s’est dégagée en faveur ou à l’encontre de la décision;</w:t>
      </w:r>
    </w:p>
    <w:p w:rsidR="00A326E1" w:rsidRPr="007A3352" w:rsidRDefault="00A326E1" w:rsidP="00A326E1">
      <w:pPr>
        <w:numPr>
          <w:ilvl w:val="0"/>
          <w:numId w:val="1"/>
        </w:numPr>
        <w:ind w:left="1077" w:hanging="357"/>
        <w:rPr>
          <w:rFonts w:ascii="Times New Roman" w:hAnsi="Times New Roman"/>
          <w:szCs w:val="24"/>
          <w:lang w:val="fr-FR"/>
        </w:rPr>
      </w:pPr>
      <w:proofErr w:type="gramStart"/>
      <w:r w:rsidRPr="007A3352">
        <w:rPr>
          <w:rFonts w:ascii="Times New Roman" w:hAnsi="Times New Roman"/>
          <w:lang w:val="fr-FR"/>
        </w:rPr>
        <w:t>conformément</w:t>
      </w:r>
      <w:proofErr w:type="gramEnd"/>
      <w:r w:rsidRPr="007A3352">
        <w:rPr>
          <w:rFonts w:ascii="Times New Roman" w:hAnsi="Times New Roman"/>
          <w:lang w:val="fr-FR"/>
        </w:rPr>
        <w:t xml:space="preserve"> aux règles établies dans le règlement (UE) nº 182/2011 relatif à la comitologie, la Commission a proposé le projet de décision au comité d’appel le 11 avril 2019. Là non plus, aucune majorité qualifiée ne s’est dégagée en faveur ou à l’encontre de la décision;</w:t>
      </w:r>
    </w:p>
    <w:p w:rsidR="00A326E1" w:rsidRPr="007A3352" w:rsidRDefault="00A326E1" w:rsidP="00A326E1">
      <w:pPr>
        <w:numPr>
          <w:ilvl w:val="0"/>
          <w:numId w:val="1"/>
        </w:numPr>
        <w:ind w:left="1077" w:hanging="357"/>
        <w:rPr>
          <w:rFonts w:ascii="Times New Roman" w:hAnsi="Times New Roman"/>
          <w:szCs w:val="24"/>
          <w:lang w:val="fr-FR"/>
        </w:rPr>
      </w:pPr>
      <w:proofErr w:type="gramStart"/>
      <w:r w:rsidRPr="007A3352">
        <w:rPr>
          <w:rFonts w:ascii="Times New Roman" w:hAnsi="Times New Roman"/>
          <w:lang w:val="fr-FR"/>
        </w:rPr>
        <w:t>aussi</w:t>
      </w:r>
      <w:proofErr w:type="gramEnd"/>
      <w:r w:rsidRPr="007A3352">
        <w:rPr>
          <w:rFonts w:ascii="Times New Roman" w:hAnsi="Times New Roman"/>
          <w:lang w:val="fr-FR"/>
        </w:rPr>
        <w:t xml:space="preserve"> la Commission considère-t-elle qu’en adoptant une décision pleinement conforme à la procédure fixée par les </w:t>
      </w:r>
      <w:proofErr w:type="spellStart"/>
      <w:r w:rsidRPr="007A3352">
        <w:rPr>
          <w:rFonts w:ascii="Times New Roman" w:hAnsi="Times New Roman"/>
          <w:lang w:val="fr-FR"/>
        </w:rPr>
        <w:t>colégislateurs</w:t>
      </w:r>
      <w:proofErr w:type="spellEnd"/>
      <w:r w:rsidRPr="007A3352">
        <w:rPr>
          <w:rFonts w:ascii="Times New Roman" w:hAnsi="Times New Roman"/>
          <w:lang w:val="fr-FR"/>
        </w:rPr>
        <w:t xml:space="preserve"> dans la législation sur les OGM elle n’excède pas ses compétences d’exécution. En conséquence, aucun motif ne justifie le retrait du projet de décision d’autorisation du soja génétiquement modifié MON 87751. En outre, à la suite de l’introduction d’une </w:t>
      </w:r>
      <w:r w:rsidRPr="007A3352">
        <w:rPr>
          <w:rFonts w:ascii="Times New Roman" w:hAnsi="Times New Roman"/>
          <w:lang w:val="fr-FR"/>
        </w:rPr>
        <w:lastRenderedPageBreak/>
        <w:t>demande et de la publication de l’avis respectif de l’EFSA, l’article 7, paragraphe 3, et l’article 19, paragraphe 3, du règlement (CE) nº 1829/2003 imposent à la Commission d’agir, en l’occurrence d’adopter une décision finale concernant la demande;</w:t>
      </w:r>
    </w:p>
    <w:p w:rsidR="00A326E1" w:rsidRPr="007A3352" w:rsidRDefault="00A326E1" w:rsidP="00A326E1">
      <w:pPr>
        <w:numPr>
          <w:ilvl w:val="0"/>
          <w:numId w:val="1"/>
        </w:numPr>
        <w:ind w:left="1077" w:hanging="357"/>
        <w:rPr>
          <w:rFonts w:ascii="Times New Roman" w:hAnsi="Times New Roman"/>
          <w:szCs w:val="24"/>
          <w:lang w:val="fr-FR"/>
        </w:rPr>
      </w:pPr>
      <w:proofErr w:type="gramStart"/>
      <w:r w:rsidRPr="007A3352">
        <w:rPr>
          <w:rFonts w:ascii="Times New Roman" w:hAnsi="Times New Roman"/>
          <w:lang w:val="fr-FR"/>
        </w:rPr>
        <w:t>lors</w:t>
      </w:r>
      <w:proofErr w:type="gramEnd"/>
      <w:r w:rsidRPr="007A3352">
        <w:rPr>
          <w:rFonts w:ascii="Times New Roman" w:hAnsi="Times New Roman"/>
          <w:lang w:val="fr-FR"/>
        </w:rPr>
        <w:t xml:space="preserve"> de la réunion de la commission de l’environnement, de la santé publique et de la sécurité alimentaire du Parlement européen du 14 mars 2019, la Commission a longuement expliqué l’état d’avancement de la procédure d’autorisation et en quoi elle n’était pas allée au-delà de ses compétences d’exécution.</w:t>
      </w:r>
    </w:p>
    <w:p w:rsidR="00A326E1" w:rsidRPr="007A3352" w:rsidRDefault="00A326E1" w:rsidP="00A326E1">
      <w:pPr>
        <w:rPr>
          <w:rFonts w:ascii="Times New Roman" w:hAnsi="Times New Roman"/>
          <w:szCs w:val="24"/>
          <w:lang w:val="fr-FR"/>
        </w:rPr>
      </w:pPr>
      <w:r w:rsidRPr="007A3352">
        <w:rPr>
          <w:rFonts w:ascii="Times New Roman" w:hAnsi="Times New Roman"/>
          <w:lang w:val="fr-FR"/>
        </w:rPr>
        <w:t>En ce qui concerne les</w:t>
      </w:r>
      <w:r w:rsidRPr="007A3352">
        <w:rPr>
          <w:rFonts w:ascii="Times New Roman" w:hAnsi="Times New Roman"/>
          <w:b/>
          <w:lang w:val="fr-FR"/>
        </w:rPr>
        <w:t xml:space="preserve"> autres éléments de la résolution</w:t>
      </w:r>
      <w:r w:rsidRPr="007A3352">
        <w:rPr>
          <w:rFonts w:ascii="Times New Roman" w:hAnsi="Times New Roman"/>
          <w:lang w:val="fr-FR"/>
        </w:rPr>
        <w:t>, la Commission estime qu’ils ne relèvent pas du droit de regard, qui se limite à la question de savoir si le projet d’acte d’exécution va au-delà des compétences d’exécution prévues dans l’acte de base. La Commission n’est pas tenue de justifier ces points précis du projet d’acte d’exécution. Néanmoins, la Commission a examiné avec attention les positions exprimées par le Parlement européen et souhaite formuler les commentaires suivants:</w:t>
      </w:r>
    </w:p>
    <w:p w:rsidR="00A326E1" w:rsidRPr="007A3352" w:rsidRDefault="00A326E1" w:rsidP="00A326E1">
      <w:pPr>
        <w:numPr>
          <w:ilvl w:val="0"/>
          <w:numId w:val="2"/>
        </w:numPr>
        <w:ind w:left="720" w:hanging="357"/>
        <w:rPr>
          <w:rFonts w:ascii="Times New Roman" w:hAnsi="Times New Roman"/>
          <w:szCs w:val="24"/>
          <w:lang w:val="fr-FR"/>
        </w:rPr>
      </w:pPr>
      <w:r w:rsidRPr="007A3352">
        <w:rPr>
          <w:rFonts w:ascii="Times New Roman" w:hAnsi="Times New Roman"/>
          <w:lang w:val="fr-FR"/>
        </w:rPr>
        <w:t xml:space="preserve">en ce qui concerne les craintes soulevées dans les </w:t>
      </w:r>
      <w:r w:rsidRPr="007A3352">
        <w:rPr>
          <w:rFonts w:ascii="Times New Roman" w:hAnsi="Times New Roman"/>
          <w:b/>
          <w:lang w:val="fr-FR"/>
        </w:rPr>
        <w:t>considérants D, E, F et G</w:t>
      </w:r>
      <w:r w:rsidRPr="007A3352">
        <w:rPr>
          <w:rFonts w:ascii="Times New Roman" w:hAnsi="Times New Roman"/>
          <w:lang w:val="fr-FR"/>
        </w:rPr>
        <w:t>, la Commission souhaite souligner que le groupe scientifique de l’EFSA sur les OGM a examiné de manière approfondie les propriétés allergéniques et adjuvantes potentielles de certaines protéines Cry en tenant compte de toutes les informations disponibles, y compris de la littérature sur le sujet, et qu’il n’a pas mis en lumière de préoccupations en matière de sécurité (pour les propriétés allergéniques et non pour les propriétés adjuvantes). La fève de soja étant considérée comme un aliment allergénique commun, l’EFSA a minutieusement examiné les modifications potentielles de l’</w:t>
      </w:r>
      <w:proofErr w:type="spellStart"/>
      <w:r w:rsidRPr="007A3352">
        <w:rPr>
          <w:rFonts w:ascii="Times New Roman" w:hAnsi="Times New Roman"/>
          <w:lang w:val="fr-FR"/>
        </w:rPr>
        <w:t>allergénicité</w:t>
      </w:r>
      <w:proofErr w:type="spellEnd"/>
      <w:r w:rsidRPr="007A3352">
        <w:rPr>
          <w:rFonts w:ascii="Times New Roman" w:hAnsi="Times New Roman"/>
          <w:lang w:val="fr-FR"/>
        </w:rPr>
        <w:t xml:space="preserve"> endogène du soja génétiquement modifié, liées à l’événement de transformation, conformément au règlement d’exécution (UE) nº 503/2013 et ses lignes directrices. Sur la base des études obligatoires présentées, de deux études additionnelles également soumises par le demandeur, et des connaissances scientifiques actuelles, l’EFSA a conclu qu’il n’existe pas d’éléments indiquant une modification de l’</w:t>
      </w:r>
      <w:proofErr w:type="spellStart"/>
      <w:r w:rsidRPr="007A3352">
        <w:rPr>
          <w:rFonts w:ascii="Times New Roman" w:hAnsi="Times New Roman"/>
          <w:lang w:val="fr-FR"/>
        </w:rPr>
        <w:t>allergénicité</w:t>
      </w:r>
      <w:proofErr w:type="spellEnd"/>
      <w:r w:rsidRPr="007A3352">
        <w:rPr>
          <w:rFonts w:ascii="Times New Roman" w:hAnsi="Times New Roman"/>
          <w:lang w:val="fr-FR"/>
        </w:rPr>
        <w:t xml:space="preserve"> globale du soja génétiquement modifié par rapport à son homologue conventionnel;</w:t>
      </w:r>
    </w:p>
    <w:p w:rsidR="00A326E1" w:rsidRPr="007A3352" w:rsidRDefault="00A326E1" w:rsidP="00A326E1">
      <w:pPr>
        <w:numPr>
          <w:ilvl w:val="0"/>
          <w:numId w:val="2"/>
        </w:numPr>
        <w:ind w:left="720" w:hanging="357"/>
        <w:rPr>
          <w:rFonts w:ascii="Times New Roman" w:hAnsi="Times New Roman"/>
          <w:szCs w:val="24"/>
          <w:lang w:val="fr-FR"/>
        </w:rPr>
      </w:pPr>
      <w:proofErr w:type="gramStart"/>
      <w:r w:rsidRPr="007A3352">
        <w:rPr>
          <w:rFonts w:ascii="Times New Roman" w:hAnsi="Times New Roman"/>
          <w:lang w:val="fr-FR"/>
        </w:rPr>
        <w:t>en</w:t>
      </w:r>
      <w:proofErr w:type="gramEnd"/>
      <w:r w:rsidRPr="007A3352">
        <w:rPr>
          <w:rFonts w:ascii="Times New Roman" w:hAnsi="Times New Roman"/>
          <w:lang w:val="fr-FR"/>
        </w:rPr>
        <w:t xml:space="preserve"> ce qui concerne les craintes soulevées dans les </w:t>
      </w:r>
      <w:r w:rsidRPr="007A3352">
        <w:rPr>
          <w:rFonts w:ascii="Times New Roman" w:hAnsi="Times New Roman"/>
          <w:b/>
          <w:lang w:val="fr-FR"/>
        </w:rPr>
        <w:t>considérants</w:t>
      </w:r>
      <w:r w:rsidRPr="007A3352">
        <w:rPr>
          <w:rFonts w:ascii="Times New Roman" w:hAnsi="Times New Roman"/>
          <w:lang w:val="fr-FR"/>
        </w:rPr>
        <w:t xml:space="preserve"> </w:t>
      </w:r>
      <w:r w:rsidRPr="007A3352">
        <w:rPr>
          <w:rFonts w:ascii="Times New Roman" w:hAnsi="Times New Roman"/>
          <w:b/>
          <w:lang w:val="fr-FR"/>
        </w:rPr>
        <w:t>H, I et J</w:t>
      </w:r>
      <w:r w:rsidRPr="007A3352">
        <w:rPr>
          <w:rFonts w:ascii="Times New Roman" w:hAnsi="Times New Roman"/>
          <w:lang w:val="fr-FR"/>
        </w:rPr>
        <w:t>, la Commission souhaite souligner que les deux protéines Cry avaient déjà fait l’objet d’une évaluation du groupe scientifique sur les OGM (dans le contexte d’une autre demande, relative au maïs MON 89034), qui n’a pas mis en lumière de préoccupations en matière de sécurité pour la santé humaine et la santé animale. De plus, l’EFSA a minutieusement évalué l’ensemble des nouvelles données fournies par le demandeur, et a conclu qu’aucun effet néfaste n’était observé sur les souris ayant consommé chaque protéine Cry;</w:t>
      </w:r>
    </w:p>
    <w:p w:rsidR="00A326E1" w:rsidRPr="007A3352" w:rsidRDefault="00A326E1" w:rsidP="00A326E1">
      <w:pPr>
        <w:numPr>
          <w:ilvl w:val="0"/>
          <w:numId w:val="2"/>
        </w:numPr>
        <w:ind w:left="720" w:hanging="357"/>
        <w:rPr>
          <w:rFonts w:ascii="Times New Roman" w:hAnsi="Times New Roman"/>
          <w:szCs w:val="24"/>
          <w:lang w:val="fr-FR"/>
        </w:rPr>
      </w:pPr>
      <w:proofErr w:type="gramStart"/>
      <w:r w:rsidRPr="007A3352">
        <w:rPr>
          <w:rFonts w:ascii="Times New Roman" w:hAnsi="Times New Roman"/>
          <w:lang w:val="fr-FR"/>
        </w:rPr>
        <w:t>en</w:t>
      </w:r>
      <w:proofErr w:type="gramEnd"/>
      <w:r w:rsidRPr="007A3352">
        <w:rPr>
          <w:rFonts w:ascii="Times New Roman" w:hAnsi="Times New Roman"/>
          <w:lang w:val="fr-FR"/>
        </w:rPr>
        <w:t xml:space="preserve"> ce qui concerne les craintes soulevées dans les </w:t>
      </w:r>
      <w:r w:rsidRPr="007A3352">
        <w:rPr>
          <w:rFonts w:ascii="Times New Roman" w:hAnsi="Times New Roman"/>
          <w:b/>
          <w:lang w:val="fr-FR"/>
        </w:rPr>
        <w:t>considérants</w:t>
      </w:r>
      <w:r w:rsidRPr="007A3352">
        <w:rPr>
          <w:rFonts w:ascii="Times New Roman" w:hAnsi="Times New Roman"/>
          <w:lang w:val="fr-FR"/>
        </w:rPr>
        <w:t xml:space="preserve"> </w:t>
      </w:r>
      <w:r w:rsidRPr="007A3352">
        <w:rPr>
          <w:rFonts w:ascii="Times New Roman" w:hAnsi="Times New Roman"/>
          <w:b/>
          <w:lang w:val="fr-FR"/>
        </w:rPr>
        <w:t>K, L et M</w:t>
      </w:r>
      <w:r w:rsidRPr="007A3352">
        <w:rPr>
          <w:rFonts w:ascii="Times New Roman" w:hAnsi="Times New Roman"/>
          <w:lang w:val="fr-FR"/>
        </w:rPr>
        <w:t>, la Commission souhaite souligner que l’EFSA a réalisé une évaluation attentive et complète de l’étude d’alimentation sur 90 jours, conformément au règlement d’exécution (UE) nº 503/2013 et à ses propres documents d’orientation. L’EFSA a minutieusement évalué les différences statistiquement significatives observées entre le groupe témoin et le groupe d’essai, et a conclu que ces observations ne constituaient pas un effet néfaste, car les différences sont minimes ou ne sont pas en corrélation avec d’autres critères;</w:t>
      </w:r>
    </w:p>
    <w:p w:rsidR="00A326E1" w:rsidRPr="007A3352" w:rsidRDefault="00A326E1" w:rsidP="00A326E1">
      <w:pPr>
        <w:numPr>
          <w:ilvl w:val="0"/>
          <w:numId w:val="2"/>
        </w:numPr>
        <w:ind w:left="720" w:hanging="357"/>
        <w:rPr>
          <w:rFonts w:ascii="Times New Roman" w:hAnsi="Times New Roman"/>
          <w:szCs w:val="24"/>
          <w:lang w:val="fr-FR"/>
        </w:rPr>
      </w:pPr>
      <w:proofErr w:type="gramStart"/>
      <w:r w:rsidRPr="007A3352">
        <w:rPr>
          <w:rFonts w:ascii="Times New Roman" w:hAnsi="Times New Roman"/>
          <w:lang w:val="fr-FR"/>
        </w:rPr>
        <w:t>en</w:t>
      </w:r>
      <w:proofErr w:type="gramEnd"/>
      <w:r w:rsidRPr="007A3352">
        <w:rPr>
          <w:rFonts w:ascii="Times New Roman" w:hAnsi="Times New Roman"/>
          <w:lang w:val="fr-FR"/>
        </w:rPr>
        <w:t xml:space="preserve"> ce qui concerne les commentaires figurant dans le </w:t>
      </w:r>
      <w:r w:rsidRPr="007A3352">
        <w:rPr>
          <w:rFonts w:ascii="Times New Roman" w:hAnsi="Times New Roman"/>
          <w:b/>
          <w:lang w:val="fr-FR"/>
        </w:rPr>
        <w:t>considérant T</w:t>
      </w:r>
      <w:r w:rsidRPr="007A3352">
        <w:rPr>
          <w:rFonts w:ascii="Times New Roman" w:hAnsi="Times New Roman"/>
          <w:lang w:val="fr-FR"/>
        </w:rPr>
        <w:t xml:space="preserve"> et ayant trait à la proposition législative de la Commission modifiant le règlement (CE) nº 1829/2003, la Commission souhaite rappeler qu’elle déplore la décision du Parlement européen du 28 octobre 2015 rejetant ladite proposition. La Commission maintient sa proposition initiale qui, si elle était adoptée, permettrait aux États </w:t>
      </w:r>
      <w:r w:rsidRPr="007A3352">
        <w:rPr>
          <w:rFonts w:ascii="Times New Roman" w:hAnsi="Times New Roman"/>
          <w:lang w:val="fr-FR"/>
        </w:rPr>
        <w:lastRenderedPageBreak/>
        <w:t>membres de traiter, au niveau national, des questions qui ne sont pas couvertes par le processus décisionnel de l’Union;</w:t>
      </w:r>
    </w:p>
    <w:p w:rsidR="00A326E1" w:rsidRPr="007A3352" w:rsidRDefault="00A326E1" w:rsidP="00A326E1">
      <w:pPr>
        <w:numPr>
          <w:ilvl w:val="0"/>
          <w:numId w:val="2"/>
        </w:numPr>
        <w:ind w:left="720" w:hanging="357"/>
        <w:rPr>
          <w:rFonts w:ascii="Times New Roman" w:hAnsi="Times New Roman"/>
          <w:szCs w:val="24"/>
          <w:lang w:val="fr-FR"/>
        </w:rPr>
      </w:pPr>
      <w:proofErr w:type="gramStart"/>
      <w:r w:rsidRPr="007A3352">
        <w:rPr>
          <w:rFonts w:ascii="Times New Roman" w:hAnsi="Times New Roman"/>
          <w:lang w:val="fr-FR"/>
        </w:rPr>
        <w:t>en</w:t>
      </w:r>
      <w:proofErr w:type="gramEnd"/>
      <w:r w:rsidRPr="007A3352">
        <w:rPr>
          <w:rFonts w:ascii="Times New Roman" w:hAnsi="Times New Roman"/>
          <w:lang w:val="fr-FR"/>
        </w:rPr>
        <w:t xml:space="preserve"> outre, en ce qui concerne le manque de soutien des États membres en faveur des décisions sur les autorisations des OGM pour l’alimentation humaine et animale (</w:t>
      </w:r>
      <w:r w:rsidRPr="007A3352">
        <w:rPr>
          <w:rFonts w:ascii="Times New Roman" w:hAnsi="Times New Roman"/>
          <w:b/>
          <w:lang w:val="fr-FR"/>
        </w:rPr>
        <w:t>considérant R</w:t>
      </w:r>
      <w:r w:rsidRPr="007A3352">
        <w:rPr>
          <w:rFonts w:ascii="Times New Roman" w:hAnsi="Times New Roman"/>
          <w:lang w:val="fr-FR"/>
        </w:rPr>
        <w:t xml:space="preserve">), en date du 14 février 2017, la Commission a présenté au Conseil et au Parlement européen une proposition visant à modifier les règles de vote du comité d’appel qui, si elle était adoptée par les </w:t>
      </w:r>
      <w:proofErr w:type="spellStart"/>
      <w:r w:rsidRPr="007A3352">
        <w:rPr>
          <w:rFonts w:ascii="Times New Roman" w:hAnsi="Times New Roman"/>
          <w:lang w:val="fr-FR"/>
        </w:rPr>
        <w:t>colégislateurs</w:t>
      </w:r>
      <w:proofErr w:type="spellEnd"/>
      <w:r w:rsidRPr="007A3352">
        <w:rPr>
          <w:rFonts w:ascii="Times New Roman" w:hAnsi="Times New Roman"/>
          <w:lang w:val="fr-FR"/>
        </w:rPr>
        <w:t>, renforcerait la transparence et la responsabilité dans le processus décisionnel relatif aux OGM;</w:t>
      </w:r>
    </w:p>
    <w:p w:rsidR="00A326E1" w:rsidRPr="007A3352" w:rsidRDefault="00A326E1" w:rsidP="00A326E1">
      <w:pPr>
        <w:numPr>
          <w:ilvl w:val="0"/>
          <w:numId w:val="2"/>
        </w:numPr>
        <w:ind w:left="720"/>
        <w:rPr>
          <w:rFonts w:ascii="Times New Roman" w:hAnsi="Times New Roman"/>
          <w:szCs w:val="24"/>
          <w:lang w:val="fr-FR"/>
        </w:rPr>
      </w:pPr>
      <w:proofErr w:type="gramStart"/>
      <w:r w:rsidRPr="007A3352">
        <w:rPr>
          <w:rFonts w:ascii="Times New Roman" w:hAnsi="Times New Roman"/>
          <w:lang w:val="fr-FR"/>
        </w:rPr>
        <w:t>en</w:t>
      </w:r>
      <w:proofErr w:type="gramEnd"/>
      <w:r w:rsidRPr="007A3352">
        <w:rPr>
          <w:rFonts w:ascii="Times New Roman" w:hAnsi="Times New Roman"/>
          <w:lang w:val="fr-FR"/>
        </w:rPr>
        <w:t xml:space="preserve"> conclusion, la Commission tient à souligner que, comme pour toute procédure législative soumise dans le cadre de la procédure législative ordinaire, les règles en vigueur continuent de s’appliquer pendant les négociations entre les </w:t>
      </w:r>
      <w:proofErr w:type="spellStart"/>
      <w:r w:rsidRPr="007A3352">
        <w:rPr>
          <w:rFonts w:ascii="Times New Roman" w:hAnsi="Times New Roman"/>
          <w:lang w:val="fr-FR"/>
        </w:rPr>
        <w:t>colégislateurs</w:t>
      </w:r>
      <w:proofErr w:type="spellEnd"/>
      <w:r w:rsidRPr="007A3352">
        <w:rPr>
          <w:rFonts w:ascii="Times New Roman" w:hAnsi="Times New Roman"/>
          <w:lang w:val="fr-FR"/>
        </w:rPr>
        <w:t xml:space="preserve"> et jusqu’à l’obtention d’un accord définitif. En conséquence, la Commission doit continuer de traiter les demandes relatives aux denrées alimentaires et aux aliments pour animaux génétiquement modifiés.</w:t>
      </w:r>
    </w:p>
    <w:p w:rsidR="00680EFD" w:rsidRPr="00A326E1" w:rsidRDefault="00680EFD">
      <w:pPr>
        <w:rPr>
          <w:lang w:val="fr-FR"/>
        </w:rPr>
      </w:pPr>
    </w:p>
    <w:sectPr w:rsidR="00680EFD" w:rsidRPr="00A326E1" w:rsidSect="005A4609">
      <w:footnotePr>
        <w:numRestart w:val="eachSect"/>
      </w:footnotePr>
      <w:pgSz w:w="11906" w:h="16838" w:code="9"/>
      <w:pgMar w:top="1021" w:right="1558"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6E1" w:rsidRDefault="00A326E1" w:rsidP="00A326E1">
      <w:pPr>
        <w:spacing w:after="0"/>
      </w:pPr>
      <w:r>
        <w:separator/>
      </w:r>
    </w:p>
  </w:endnote>
  <w:endnote w:type="continuationSeparator" w:id="0">
    <w:p w:rsidR="00A326E1" w:rsidRDefault="00A326E1" w:rsidP="00A326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6E1" w:rsidRDefault="00A326E1" w:rsidP="00A326E1">
      <w:pPr>
        <w:spacing w:after="0"/>
      </w:pPr>
      <w:r>
        <w:separator/>
      </w:r>
    </w:p>
  </w:footnote>
  <w:footnote w:type="continuationSeparator" w:id="0">
    <w:p w:rsidR="00A326E1" w:rsidRDefault="00A326E1" w:rsidP="00A326E1">
      <w:pPr>
        <w:spacing w:after="0"/>
      </w:pPr>
      <w:r>
        <w:continuationSeparator/>
      </w:r>
    </w:p>
  </w:footnote>
  <w:footnote w:id="1">
    <w:p w:rsidR="00A326E1" w:rsidRPr="00A326E1" w:rsidRDefault="00A326E1" w:rsidP="00A326E1">
      <w:pPr>
        <w:pStyle w:val="FootnoteText"/>
        <w:spacing w:after="0"/>
        <w:rPr>
          <w:rFonts w:ascii="Times New Roman" w:hAnsi="Times New Roman"/>
          <w:lang w:val="pt-PT"/>
        </w:rPr>
      </w:pPr>
      <w:r w:rsidRPr="00A326E1">
        <w:rPr>
          <w:rStyle w:val="FootnoteReference"/>
          <w:rFonts w:ascii="Times New Roman" w:hAnsi="Times New Roman"/>
        </w:rPr>
        <w:footnoteRef/>
      </w:r>
      <w:r w:rsidRPr="00A326E1">
        <w:rPr>
          <w:rStyle w:val="FootnoteReference"/>
          <w:rFonts w:ascii="Times New Roman" w:hAnsi="Times New Roman"/>
          <w:lang w:val="pt-PT"/>
        </w:rPr>
        <w:t xml:space="preserve"> </w:t>
      </w:r>
      <w:r w:rsidRPr="00A326E1">
        <w:rPr>
          <w:rFonts w:ascii="Times New Roman" w:hAnsi="Times New Roman"/>
          <w:lang w:val="pt-PT"/>
        </w:rPr>
        <w:tab/>
      </w:r>
      <w:hyperlink r:id="rId1">
        <w:r w:rsidRPr="00A326E1">
          <w:rPr>
            <w:rStyle w:val="Hyperlink"/>
            <w:rFonts w:ascii="Times New Roman" w:hAnsi="Times New Roman"/>
            <w:color w:val="auto"/>
            <w:lang w:val="pt-PT"/>
          </w:rPr>
          <w:t>http://ec.europa.eu/food/plant/gmo/public_co</w:t>
        </w:r>
        <w:bookmarkStart w:id="0" w:name="_GoBack"/>
        <w:bookmarkEnd w:id="0"/>
        <w:r w:rsidRPr="00A326E1">
          <w:rPr>
            <w:rStyle w:val="Hyperlink"/>
            <w:rFonts w:ascii="Times New Roman" w:hAnsi="Times New Roman"/>
            <w:color w:val="auto"/>
            <w:lang w:val="pt-PT"/>
          </w:rPr>
          <w:t>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E82"/>
    <w:multiLevelType w:val="hybridMultilevel"/>
    <w:tmpl w:val="0316D07C"/>
    <w:lvl w:ilvl="0" w:tplc="010A33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C3073F9"/>
    <w:multiLevelType w:val="hybridMultilevel"/>
    <w:tmpl w:val="DA8A5DBE"/>
    <w:lvl w:ilvl="0" w:tplc="010A33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2D52E82"/>
    <w:multiLevelType w:val="hybridMultilevel"/>
    <w:tmpl w:val="419A2060"/>
    <w:lvl w:ilvl="0" w:tplc="492C7160">
      <w:start w:val="1"/>
      <w:numFmt w:val="decimal"/>
      <w:lvlText w:val="%1."/>
      <w:lvlJc w:val="left"/>
      <w:pPr>
        <w:ind w:left="862"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E1"/>
    <w:rsid w:val="0007238C"/>
    <w:rsid w:val="000A1623"/>
    <w:rsid w:val="000D6EB1"/>
    <w:rsid w:val="00110BA4"/>
    <w:rsid w:val="001262BB"/>
    <w:rsid w:val="00131AC6"/>
    <w:rsid w:val="001855CC"/>
    <w:rsid w:val="001C3806"/>
    <w:rsid w:val="002871F7"/>
    <w:rsid w:val="00643679"/>
    <w:rsid w:val="00680EFD"/>
    <w:rsid w:val="006843AE"/>
    <w:rsid w:val="00A326E1"/>
    <w:rsid w:val="00AD10AA"/>
    <w:rsid w:val="00B24044"/>
    <w:rsid w:val="00B34A98"/>
    <w:rsid w:val="00B65AA4"/>
    <w:rsid w:val="00ED700E"/>
    <w:rsid w:val="00F7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1D1853F-671A-4420-BEE9-BDBC588A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6E1"/>
    <w:pPr>
      <w:spacing w:after="120" w:line="240" w:lineRule="auto"/>
      <w:ind w:right="-28"/>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0A1623"/>
    <w:pPr>
      <w:ind w:right="85"/>
    </w:pPr>
    <w:rPr>
      <w:rFonts w:ascii="Arial" w:hAnsi="Arial" w:cs="Arial"/>
      <w:color w:val="000000"/>
      <w:sz w:val="16"/>
      <w:szCs w:val="16"/>
      <w:lang w:val="fr-FR" w:eastAsia="fr-BE"/>
    </w:rPr>
  </w:style>
  <w:style w:type="paragraph" w:customStyle="1" w:styleId="NoSpacingGray-80">
    <w:name w:val="No Spacing + Gray-80%"/>
    <w:aliases w:val="Justified,Left:  0,5 cm + Left:  0,5 cm,Right:  0,08 cm"/>
    <w:basedOn w:val="NoSpacing"/>
    <w:rsid w:val="000A1623"/>
    <w:pPr>
      <w:ind w:right="707"/>
    </w:pPr>
    <w:rPr>
      <w:rFonts w:eastAsia="Times New Roman" w:cs="Times New Roman"/>
      <w:color w:val="000000"/>
    </w:rPr>
  </w:style>
  <w:style w:type="paragraph" w:styleId="NoSpacing">
    <w:name w:val="No Spacing"/>
    <w:link w:val="NoSpacingChar"/>
    <w:autoRedefine/>
    <w:uiPriority w:val="1"/>
    <w:qFormat/>
    <w:rsid w:val="000A1623"/>
    <w:pPr>
      <w:keepLines/>
      <w:spacing w:after="0" w:line="240" w:lineRule="auto"/>
      <w:jc w:val="both"/>
    </w:pPr>
    <w:rPr>
      <w:rFonts w:ascii="Times New Roman" w:hAnsi="Times New Roman"/>
      <w:color w:val="333333"/>
      <w:sz w:val="20"/>
      <w:szCs w:val="20"/>
      <w:lang w:val="fr-BE" w:eastAsia="en-GB"/>
    </w:rPr>
  </w:style>
  <w:style w:type="paragraph" w:styleId="Header">
    <w:name w:val="header"/>
    <w:basedOn w:val="Normal"/>
    <w:link w:val="HeaderChar"/>
    <w:uiPriority w:val="99"/>
    <w:unhideWhenUsed/>
    <w:rsid w:val="000A1623"/>
    <w:pPr>
      <w:tabs>
        <w:tab w:val="center" w:pos="4513"/>
        <w:tab w:val="right" w:pos="9026"/>
      </w:tabs>
      <w:spacing w:after="0"/>
    </w:pPr>
  </w:style>
  <w:style w:type="character" w:customStyle="1" w:styleId="HeaderChar">
    <w:name w:val="Header Char"/>
    <w:basedOn w:val="DefaultParagraphFont"/>
    <w:link w:val="Header"/>
    <w:uiPriority w:val="99"/>
    <w:rsid w:val="000A1623"/>
  </w:style>
  <w:style w:type="paragraph" w:styleId="Footer">
    <w:name w:val="footer"/>
    <w:basedOn w:val="Normal"/>
    <w:link w:val="FooterChar"/>
    <w:uiPriority w:val="99"/>
    <w:unhideWhenUsed/>
    <w:rsid w:val="000A1623"/>
    <w:pPr>
      <w:tabs>
        <w:tab w:val="center" w:pos="4513"/>
        <w:tab w:val="right" w:pos="9026"/>
      </w:tabs>
      <w:spacing w:after="0"/>
    </w:pPr>
  </w:style>
  <w:style w:type="character" w:customStyle="1" w:styleId="FooterChar">
    <w:name w:val="Footer Char"/>
    <w:basedOn w:val="DefaultParagraphFont"/>
    <w:link w:val="Footer"/>
    <w:uiPriority w:val="99"/>
    <w:rsid w:val="000A1623"/>
  </w:style>
  <w:style w:type="character" w:customStyle="1" w:styleId="NoSpacingChar">
    <w:name w:val="No Spacing Char"/>
    <w:link w:val="NoSpacing"/>
    <w:uiPriority w:val="1"/>
    <w:locked/>
    <w:rsid w:val="000A1623"/>
    <w:rPr>
      <w:rFonts w:ascii="Times New Roman" w:hAnsi="Times New Roman"/>
      <w:color w:val="333333"/>
      <w:sz w:val="20"/>
      <w:szCs w:val="20"/>
      <w:lang w:val="fr-BE" w:eastAsia="en-GB"/>
    </w:rPr>
  </w:style>
  <w:style w:type="paragraph" w:styleId="ListParagraph">
    <w:name w:val="List Paragraph"/>
    <w:basedOn w:val="Normal"/>
    <w:uiPriority w:val="34"/>
    <w:qFormat/>
    <w:rsid w:val="000A1623"/>
    <w:pPr>
      <w:ind w:left="720"/>
      <w:contextualSpacing/>
    </w:pPr>
  </w:style>
  <w:style w:type="paragraph" w:customStyle="1" w:styleId="Heading2capitalletters">
    <w:name w:val="Heading 2 (capital letters)"/>
    <w:basedOn w:val="Normal"/>
    <w:link w:val="Heading2capitallettersChar"/>
    <w:qFormat/>
    <w:rsid w:val="000A1623"/>
    <w:pPr>
      <w:spacing w:after="240"/>
    </w:pPr>
    <w:rPr>
      <w:rFonts w:ascii="Times New Roman" w:hAnsi="Times New Roman"/>
      <w:b/>
      <w:szCs w:val="24"/>
      <w:u w:val="single"/>
      <w:lang w:val="fr-BE"/>
    </w:rPr>
  </w:style>
  <w:style w:type="character" w:customStyle="1" w:styleId="Heading2capitallettersChar">
    <w:name w:val="Heading 2 (capital letters) Char"/>
    <w:basedOn w:val="DefaultParagraphFont"/>
    <w:link w:val="Heading2capitalletters"/>
    <w:rsid w:val="000A1623"/>
    <w:rPr>
      <w:rFonts w:ascii="Times New Roman" w:hAnsi="Times New Roman" w:cs="Times New Roman"/>
      <w:b/>
      <w:sz w:val="24"/>
      <w:szCs w:val="24"/>
      <w:u w:val="single"/>
      <w:lang w:val="fr-BE"/>
    </w:rPr>
  </w:style>
  <w:style w:type="paragraph" w:customStyle="1" w:styleId="Heading3number">
    <w:name w:val="Heading 3 (number)"/>
    <w:basedOn w:val="Normal"/>
    <w:link w:val="Heading3numberChar"/>
    <w:qFormat/>
    <w:rsid w:val="000A1623"/>
    <w:pPr>
      <w:spacing w:after="240"/>
      <w:ind w:left="284"/>
    </w:pPr>
    <w:rPr>
      <w:rFonts w:ascii="Times New Roman" w:hAnsi="Times New Roman"/>
      <w:b/>
      <w:szCs w:val="24"/>
      <w:u w:val="single"/>
      <w:lang w:val="fr-BE"/>
    </w:rPr>
  </w:style>
  <w:style w:type="character" w:customStyle="1" w:styleId="Heading3numberChar">
    <w:name w:val="Heading 3 (number) Char"/>
    <w:basedOn w:val="DefaultParagraphFont"/>
    <w:link w:val="Heading3number"/>
    <w:rsid w:val="000A1623"/>
    <w:rPr>
      <w:rFonts w:ascii="Times New Roman" w:hAnsi="Times New Roman" w:cs="Times New Roman"/>
      <w:b/>
      <w:sz w:val="24"/>
      <w:szCs w:val="24"/>
      <w:u w:val="single"/>
      <w:lang w:val="fr-BE"/>
    </w:rPr>
  </w:style>
  <w:style w:type="paragraph" w:customStyle="1" w:styleId="ParagraphNr">
    <w:name w:val="Paragraph Nr"/>
    <w:basedOn w:val="Normal"/>
    <w:link w:val="ParagraphNrChar"/>
    <w:autoRedefine/>
    <w:qFormat/>
    <w:rsid w:val="00B24044"/>
    <w:pPr>
      <w:keepNext/>
      <w:ind w:left="567" w:hanging="567"/>
    </w:pPr>
    <w:rPr>
      <w:b/>
      <w:szCs w:val="24"/>
    </w:rPr>
  </w:style>
  <w:style w:type="character" w:customStyle="1" w:styleId="ParagraphNrChar">
    <w:name w:val="Paragraph Nr Char"/>
    <w:basedOn w:val="DefaultParagraphFont"/>
    <w:link w:val="ParagraphNr"/>
    <w:rsid w:val="00B24044"/>
    <w:rPr>
      <w:b/>
      <w:sz w:val="24"/>
      <w:szCs w:val="24"/>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A326E1"/>
    <w:pPr>
      <w:ind w:left="357" w:hanging="357"/>
    </w:pPr>
    <w:rPr>
      <w:sz w:val="20"/>
    </w:rPr>
  </w:style>
  <w:style w:type="character" w:customStyle="1" w:styleId="FootnoteTextChar">
    <w:name w:val="Footnote Text Char"/>
    <w:basedOn w:val="DefaultParagraphFont"/>
    <w:uiPriority w:val="99"/>
    <w:semiHidden/>
    <w:rsid w:val="00A326E1"/>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A326E1"/>
    <w:rPr>
      <w:vertAlign w:val="superscript"/>
    </w:rPr>
  </w:style>
  <w:style w:type="character" w:styleId="Hyperlink">
    <w:name w:val="Hyperlink"/>
    <w:aliases w:val="Char1"/>
    <w:uiPriority w:val="99"/>
    <w:qFormat/>
    <w:rsid w:val="00A326E1"/>
    <w:rPr>
      <w:color w:val="0000FF"/>
      <w:u w:val="single"/>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A326E1"/>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A326E1"/>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uiPriority w:val="99"/>
    <w:rsid w:val="00A326E1"/>
    <w:pPr>
      <w:spacing w:after="0" w:line="360" w:lineRule="auto"/>
    </w:pPr>
    <w:rPr>
      <w:rFonts w:ascii="Verdana" w:hAnsi="Verdana"/>
      <w:sz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1795</Words>
  <Characters>9982</Characters>
  <Application>Microsoft Office Word</Application>
  <DocSecurity>0</DocSecurity>
  <Lines>153</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1</cp:revision>
  <dcterms:created xsi:type="dcterms:W3CDTF">2019-08-26T15:16:00Z</dcterms:created>
  <dcterms:modified xsi:type="dcterms:W3CDTF">2019-08-26T15:17:00Z</dcterms:modified>
</cp:coreProperties>
</file>