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299E9" w14:textId="52D61515" w:rsidR="00C90222" w:rsidRPr="001C4FF2" w:rsidRDefault="00C90222" w:rsidP="001613AE">
      <w:pPr>
        <w:spacing w:after="720"/>
        <w:jc w:val="center"/>
        <w:rPr>
          <w:rFonts w:ascii="Times New Roman" w:eastAsia="Calibri" w:hAnsi="Times New Roman"/>
          <w:b/>
          <w:bCs/>
          <w:szCs w:val="24"/>
          <w:lang w:eastAsia="en-US"/>
        </w:rPr>
      </w:pPr>
      <w:r w:rsidRPr="001C4FF2">
        <w:rPr>
          <w:rFonts w:ascii="Times New Roman" w:eastAsia="Calibri" w:hAnsi="Times New Roman"/>
          <w:b/>
          <w:bCs/>
          <w:color w:val="000000"/>
          <w:szCs w:val="24"/>
          <w:lang w:eastAsia="en-US"/>
        </w:rPr>
        <w:t xml:space="preserve">Follow up to the European Parliament </w:t>
      </w:r>
      <w:r w:rsidRPr="001C4FF2">
        <w:rPr>
          <w:rFonts w:ascii="Times New Roman" w:hAnsi="Times New Roman"/>
          <w:b/>
          <w:szCs w:val="24"/>
        </w:rPr>
        <w:t xml:space="preserve">non-legislative </w:t>
      </w:r>
      <w:r w:rsidRPr="001C4FF2">
        <w:rPr>
          <w:rFonts w:ascii="Times New Roman" w:eastAsia="Calibri" w:hAnsi="Times New Roman"/>
          <w:b/>
          <w:bCs/>
          <w:szCs w:val="24"/>
          <w:lang w:eastAsia="en-US"/>
        </w:rPr>
        <w:t>resolution</w:t>
      </w:r>
      <w:r w:rsidRPr="001C4FF2">
        <w:rPr>
          <w:rFonts w:ascii="Times New Roman" w:eastAsia="Calibri" w:hAnsi="Times New Roman"/>
          <w:b/>
          <w:bCs/>
          <w:color w:val="000000"/>
          <w:szCs w:val="24"/>
          <w:lang w:eastAsia="en-US"/>
        </w:rPr>
        <w:t xml:space="preserve"> </w:t>
      </w:r>
      <w:r w:rsidR="001613AE">
        <w:rPr>
          <w:rFonts w:ascii="Times New Roman" w:eastAsia="Calibri" w:hAnsi="Times New Roman"/>
          <w:b/>
          <w:bCs/>
          <w:color w:val="000000"/>
          <w:szCs w:val="24"/>
          <w:lang w:eastAsia="en-US"/>
        </w:rPr>
        <w:t xml:space="preserve">on the </w:t>
      </w:r>
      <w:r w:rsidR="001613AE" w:rsidRPr="001613AE">
        <w:rPr>
          <w:rFonts w:ascii="Times New Roman" w:hAnsi="Times New Roman"/>
          <w:b/>
          <w:bCs/>
          <w:szCs w:val="24"/>
        </w:rPr>
        <w:t>draft Commission implementing decision granting an authorisation for certain uses of chromium trioxide under Regulation (EC) No 1907/2006 of the European Parliament and of the Council (Lanxess Deutschland GmbH and others)</w:t>
      </w:r>
    </w:p>
    <w:p w14:paraId="45F75656" w14:textId="77777777" w:rsidR="00C90222" w:rsidRPr="001C4FF2" w:rsidRDefault="00C90222" w:rsidP="008126B9">
      <w:pPr>
        <w:numPr>
          <w:ilvl w:val="0"/>
          <w:numId w:val="28"/>
        </w:numPr>
        <w:ind w:left="567" w:hanging="567"/>
        <w:rPr>
          <w:rFonts w:ascii="Times New Roman" w:hAnsi="Times New Roman"/>
          <w:i/>
          <w:szCs w:val="24"/>
        </w:rPr>
      </w:pPr>
      <w:r w:rsidRPr="001C4FF2">
        <w:rPr>
          <w:rFonts w:ascii="Times New Roman" w:hAnsi="Times New Roman"/>
          <w:b/>
          <w:szCs w:val="24"/>
        </w:rPr>
        <w:t>Resolution tabled pursuant to Rule 106 of the European Parliament's Rules of procedure</w:t>
      </w:r>
    </w:p>
    <w:p w14:paraId="3CB80127" w14:textId="77777777" w:rsidR="00C90222" w:rsidRPr="00524C67" w:rsidRDefault="00C90222" w:rsidP="008126B9">
      <w:pPr>
        <w:pStyle w:val="Default"/>
        <w:numPr>
          <w:ilvl w:val="0"/>
          <w:numId w:val="28"/>
        </w:numPr>
        <w:spacing w:after="240"/>
        <w:ind w:left="567" w:hanging="567"/>
        <w:rPr>
          <w:color w:val="auto"/>
          <w:lang w:val="en-US"/>
        </w:rPr>
      </w:pPr>
      <w:r w:rsidRPr="001C4FF2">
        <w:rPr>
          <w:b/>
          <w:color w:val="auto"/>
          <w:lang w:val="en-GB"/>
        </w:rPr>
        <w:t xml:space="preserve">Reference numbers: </w:t>
      </w:r>
      <w:r w:rsidRPr="00830BC9">
        <w:rPr>
          <w:color w:val="auto"/>
          <w:lang w:val="en-GB"/>
        </w:rPr>
        <w:t>2019/2654</w:t>
      </w:r>
      <w:r w:rsidR="001613AE">
        <w:rPr>
          <w:color w:val="auto"/>
          <w:lang w:val="en-GB"/>
        </w:rPr>
        <w:t xml:space="preserve"> </w:t>
      </w:r>
      <w:r w:rsidRPr="00830BC9">
        <w:rPr>
          <w:color w:val="auto"/>
          <w:lang w:val="en-GB"/>
        </w:rPr>
        <w:t>(RSP)</w:t>
      </w:r>
      <w:r w:rsidR="001613AE">
        <w:rPr>
          <w:color w:val="auto"/>
          <w:lang w:val="en-GB"/>
        </w:rPr>
        <w:t xml:space="preserve"> / B8-0221/</w:t>
      </w:r>
      <w:r w:rsidR="001613AE" w:rsidRPr="001613AE">
        <w:rPr>
          <w:color w:val="auto"/>
          <w:lang w:val="en-GB"/>
        </w:rPr>
        <w:t xml:space="preserve">2019 / </w:t>
      </w:r>
      <w:r w:rsidR="001613AE" w:rsidRPr="001613AE">
        <w:rPr>
          <w:color w:val="auto"/>
          <w:lang w:val="en-GB" w:eastAsia="en-GB"/>
        </w:rPr>
        <w:t>P8_TA-PROV(2019)0317</w:t>
      </w:r>
    </w:p>
    <w:p w14:paraId="7A10FBD2" w14:textId="77777777" w:rsidR="00C90222" w:rsidRPr="001C4FF2" w:rsidRDefault="00C90222" w:rsidP="008126B9">
      <w:pPr>
        <w:numPr>
          <w:ilvl w:val="0"/>
          <w:numId w:val="28"/>
        </w:numPr>
        <w:ind w:left="567" w:hanging="567"/>
        <w:rPr>
          <w:rFonts w:ascii="Times New Roman" w:hAnsi="Times New Roman"/>
          <w:szCs w:val="24"/>
        </w:rPr>
      </w:pPr>
      <w:r w:rsidRPr="001C4FF2">
        <w:rPr>
          <w:rFonts w:ascii="Times New Roman" w:hAnsi="Times New Roman"/>
          <w:b/>
          <w:szCs w:val="24"/>
        </w:rPr>
        <w:t>Date of adoption of the resolution:</w:t>
      </w:r>
      <w:r w:rsidRPr="001C4FF2">
        <w:rPr>
          <w:rFonts w:ascii="Times New Roman" w:hAnsi="Times New Roman"/>
          <w:szCs w:val="24"/>
        </w:rPr>
        <w:t xml:space="preserve"> </w:t>
      </w:r>
      <w:r w:rsidRPr="001C4FF2">
        <w:rPr>
          <w:rFonts w:ascii="Times New Roman" w:eastAsia="Calibri" w:hAnsi="Times New Roman"/>
          <w:color w:val="000000"/>
          <w:szCs w:val="24"/>
          <w:lang w:eastAsia="en-US"/>
        </w:rPr>
        <w:t>2</w:t>
      </w:r>
      <w:r>
        <w:rPr>
          <w:rFonts w:ascii="Times New Roman" w:eastAsia="Calibri" w:hAnsi="Times New Roman"/>
          <w:color w:val="000000"/>
          <w:szCs w:val="24"/>
          <w:lang w:eastAsia="en-US"/>
        </w:rPr>
        <w:t>7</w:t>
      </w:r>
      <w:r w:rsidRPr="001C4FF2">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March</w:t>
      </w:r>
      <w:r w:rsidRPr="001C4FF2">
        <w:rPr>
          <w:rFonts w:ascii="Times New Roman" w:eastAsia="Calibri" w:hAnsi="Times New Roman"/>
          <w:color w:val="000000"/>
          <w:szCs w:val="24"/>
          <w:lang w:eastAsia="en-US"/>
        </w:rPr>
        <w:t xml:space="preserve"> 201</w:t>
      </w:r>
      <w:r>
        <w:rPr>
          <w:rFonts w:ascii="Times New Roman" w:eastAsia="Calibri" w:hAnsi="Times New Roman"/>
          <w:color w:val="000000"/>
          <w:szCs w:val="24"/>
          <w:lang w:eastAsia="en-US"/>
        </w:rPr>
        <w:t>9</w:t>
      </w:r>
    </w:p>
    <w:p w14:paraId="7899B281" w14:textId="77777777" w:rsidR="00C90222" w:rsidRPr="001C4FF2" w:rsidRDefault="00C90222" w:rsidP="008126B9">
      <w:pPr>
        <w:numPr>
          <w:ilvl w:val="0"/>
          <w:numId w:val="28"/>
        </w:numPr>
        <w:ind w:left="567" w:hanging="567"/>
        <w:rPr>
          <w:rFonts w:ascii="Times New Roman" w:hAnsi="Times New Roman"/>
          <w:szCs w:val="24"/>
        </w:rPr>
      </w:pPr>
      <w:r w:rsidRPr="001C4FF2">
        <w:rPr>
          <w:rFonts w:ascii="Times New Roman" w:hAnsi="Times New Roman"/>
          <w:b/>
          <w:szCs w:val="24"/>
        </w:rPr>
        <w:t xml:space="preserve">Competent Parliamentary Committee: </w:t>
      </w:r>
      <w:r w:rsidRPr="001C4FF2">
        <w:rPr>
          <w:rFonts w:ascii="Times New Roman" w:hAnsi="Times New Roman"/>
          <w:szCs w:val="24"/>
        </w:rPr>
        <w:t>Committee on the Environment, Public Health and Food Safety (ENVI)</w:t>
      </w:r>
    </w:p>
    <w:p w14:paraId="3B61EB96" w14:textId="77777777" w:rsidR="00C90222" w:rsidRPr="001C4FF2" w:rsidRDefault="00C90222" w:rsidP="008126B9">
      <w:pPr>
        <w:numPr>
          <w:ilvl w:val="0"/>
          <w:numId w:val="28"/>
        </w:numPr>
        <w:ind w:left="567" w:hanging="567"/>
        <w:rPr>
          <w:rFonts w:ascii="Times New Roman" w:hAnsi="Times New Roman"/>
          <w:szCs w:val="24"/>
        </w:rPr>
      </w:pPr>
      <w:r w:rsidRPr="001C4FF2">
        <w:rPr>
          <w:rFonts w:ascii="Times New Roman" w:hAnsi="Times New Roman"/>
          <w:szCs w:val="24"/>
        </w:rPr>
        <w:t xml:space="preserve"> </w:t>
      </w:r>
      <w:r w:rsidRPr="001C4FF2">
        <w:rPr>
          <w:rFonts w:ascii="Times New Roman" w:hAnsi="Times New Roman"/>
          <w:b/>
          <w:szCs w:val="24"/>
        </w:rPr>
        <w:t>Brief analysis/ assessment of the resolution and requests made in it:</w:t>
      </w:r>
    </w:p>
    <w:p w14:paraId="3697A28C" w14:textId="77777777" w:rsidR="00C90222" w:rsidRPr="002D5DF0" w:rsidRDefault="00C90222" w:rsidP="001613AE">
      <w:pPr>
        <w:rPr>
          <w:rFonts w:ascii="Times New Roman" w:hAnsi="Times New Roman"/>
          <w:szCs w:val="24"/>
        </w:rPr>
      </w:pPr>
      <w:r w:rsidRPr="00830BC9">
        <w:rPr>
          <w:rFonts w:ascii="Times New Roman" w:hAnsi="Times New Roman"/>
          <w:szCs w:val="24"/>
        </w:rPr>
        <w:t xml:space="preserve">The European Parliament </w:t>
      </w:r>
      <w:r w:rsidR="001613AE">
        <w:rPr>
          <w:rFonts w:ascii="Times New Roman" w:hAnsi="Times New Roman"/>
          <w:szCs w:val="24"/>
        </w:rPr>
        <w:t>r</w:t>
      </w:r>
      <w:r w:rsidRPr="00830BC9">
        <w:rPr>
          <w:rFonts w:ascii="Times New Roman" w:hAnsi="Times New Roman"/>
          <w:szCs w:val="24"/>
        </w:rPr>
        <w:t xml:space="preserve">esolution objects to a draft Commission implementing decision granting an authorisation for certain uses of chromium trioxide under Regulation (EC) No 1907/2006 of the European Parliament and of the Council (REACH) (Lanxess GmbH and others) (‘draft </w:t>
      </w:r>
      <w:r>
        <w:rPr>
          <w:rFonts w:ascii="Times New Roman" w:hAnsi="Times New Roman"/>
          <w:szCs w:val="24"/>
        </w:rPr>
        <w:t>d</w:t>
      </w:r>
      <w:r w:rsidRPr="00830BC9">
        <w:rPr>
          <w:rFonts w:ascii="Times New Roman" w:hAnsi="Times New Roman"/>
          <w:szCs w:val="24"/>
        </w:rPr>
        <w:t xml:space="preserve">ecision’). The </w:t>
      </w:r>
      <w:r w:rsidR="001613AE">
        <w:rPr>
          <w:rFonts w:ascii="Times New Roman" w:hAnsi="Times New Roman"/>
          <w:szCs w:val="24"/>
        </w:rPr>
        <w:t>r</w:t>
      </w:r>
      <w:r w:rsidRPr="00830BC9">
        <w:rPr>
          <w:rFonts w:ascii="Times New Roman" w:hAnsi="Times New Roman"/>
          <w:szCs w:val="24"/>
        </w:rPr>
        <w:t xml:space="preserve">esolution calls on the Commission to withdraw the draft </w:t>
      </w:r>
      <w:r>
        <w:rPr>
          <w:rFonts w:ascii="Times New Roman" w:hAnsi="Times New Roman"/>
          <w:szCs w:val="24"/>
        </w:rPr>
        <w:t>d</w:t>
      </w:r>
      <w:r w:rsidRPr="00830BC9">
        <w:rPr>
          <w:rFonts w:ascii="Times New Roman" w:hAnsi="Times New Roman"/>
          <w:szCs w:val="24"/>
        </w:rPr>
        <w:t>ecision and to submit a new draft decision following a number of considerations, concerning the definiti</w:t>
      </w:r>
      <w:r w:rsidR="001613AE">
        <w:rPr>
          <w:rFonts w:ascii="Times New Roman" w:hAnsi="Times New Roman"/>
          <w:szCs w:val="24"/>
        </w:rPr>
        <w:t>on of the uses and the process.</w:t>
      </w:r>
    </w:p>
    <w:p w14:paraId="7243B284" w14:textId="77777777" w:rsidR="00C90222" w:rsidRPr="0022243A" w:rsidRDefault="00C90222" w:rsidP="008126B9">
      <w:pPr>
        <w:widowControl w:val="0"/>
        <w:numPr>
          <w:ilvl w:val="0"/>
          <w:numId w:val="28"/>
        </w:numPr>
        <w:ind w:left="567" w:hanging="567"/>
        <w:rPr>
          <w:rFonts w:ascii="Times New Roman" w:hAnsi="Times New Roman"/>
          <w:b/>
          <w:szCs w:val="24"/>
        </w:rPr>
      </w:pPr>
      <w:r w:rsidRPr="002D5DF0">
        <w:rPr>
          <w:rFonts w:ascii="Times New Roman" w:hAnsi="Times New Roman"/>
          <w:b/>
          <w:szCs w:val="24"/>
        </w:rPr>
        <w:t>Response to requests and overview of action taken, or intended to be taken, by the Commission:</w:t>
      </w:r>
    </w:p>
    <w:p w14:paraId="2A24741B" w14:textId="77777777" w:rsidR="00C90222" w:rsidRDefault="00C90222" w:rsidP="001613AE">
      <w:pPr>
        <w:autoSpaceDE w:val="0"/>
        <w:autoSpaceDN w:val="0"/>
        <w:adjustRightInd w:val="0"/>
        <w:rPr>
          <w:rFonts w:ascii="Times New Roman" w:eastAsia="Calibri" w:hAnsi="Times New Roman"/>
          <w:szCs w:val="24"/>
          <w:lang w:eastAsia="en-US"/>
        </w:rPr>
      </w:pPr>
      <w:r w:rsidRPr="001C4FF2">
        <w:rPr>
          <w:rFonts w:ascii="Times New Roman" w:eastAsia="Calibri" w:hAnsi="Times New Roman"/>
          <w:szCs w:val="24"/>
          <w:lang w:eastAsia="en-US"/>
        </w:rPr>
        <w:t xml:space="preserve">The draft decision in question is to be adopted in accordance with the examination procedure under Article 5 of Regulation (EU) No 182/2011. The Commission recalls that, in accordance with Article 11 of that </w:t>
      </w:r>
      <w:r w:rsidR="001613AE">
        <w:rPr>
          <w:rFonts w:ascii="Times New Roman" w:eastAsia="Calibri" w:hAnsi="Times New Roman"/>
          <w:szCs w:val="24"/>
          <w:lang w:eastAsia="en-US"/>
        </w:rPr>
        <w:t>r</w:t>
      </w:r>
      <w:r w:rsidRPr="001C4FF2">
        <w:rPr>
          <w:rFonts w:ascii="Times New Roman" w:eastAsia="Calibri" w:hAnsi="Times New Roman"/>
          <w:szCs w:val="24"/>
          <w:lang w:eastAsia="en-US"/>
        </w:rPr>
        <w:t>egulation, the scope of the right of scrutiny of the European Parliament and of the Council is limited to the question whether the draft implementing act exceeds the implementing powers provided for in the basic act (in this case the Regulation (EC) No 1907/2006 (REACH)).</w:t>
      </w:r>
    </w:p>
    <w:p w14:paraId="5386F6EA" w14:textId="77777777" w:rsidR="00C90222" w:rsidRPr="001C4FF2" w:rsidRDefault="00C90222" w:rsidP="001613AE">
      <w:pPr>
        <w:autoSpaceDE w:val="0"/>
        <w:autoSpaceDN w:val="0"/>
        <w:adjustRightInd w:val="0"/>
        <w:rPr>
          <w:rFonts w:ascii="Times New Roman" w:eastAsia="Calibri" w:hAnsi="Times New Roman"/>
          <w:szCs w:val="24"/>
          <w:lang w:eastAsia="en-US"/>
        </w:rPr>
      </w:pPr>
      <w:r w:rsidRPr="002D5DF0">
        <w:rPr>
          <w:rFonts w:ascii="Times New Roman" w:hAnsi="Times New Roman"/>
          <w:szCs w:val="24"/>
        </w:rPr>
        <w:t xml:space="preserve">The Commission notes that the </w:t>
      </w:r>
      <w:r w:rsidR="001613AE">
        <w:rPr>
          <w:rFonts w:ascii="Times New Roman" w:hAnsi="Times New Roman"/>
          <w:szCs w:val="24"/>
        </w:rPr>
        <w:t>r</w:t>
      </w:r>
      <w:r w:rsidRPr="002D5DF0">
        <w:rPr>
          <w:rFonts w:ascii="Times New Roman" w:hAnsi="Times New Roman"/>
          <w:szCs w:val="24"/>
        </w:rPr>
        <w:t xml:space="preserve">esolution does not indicate that </w:t>
      </w:r>
      <w:r>
        <w:rPr>
          <w:rFonts w:ascii="Times New Roman" w:hAnsi="Times New Roman"/>
          <w:szCs w:val="24"/>
        </w:rPr>
        <w:t>the draft d</w:t>
      </w:r>
      <w:r w:rsidRPr="002D5DF0">
        <w:rPr>
          <w:rFonts w:ascii="Times New Roman" w:hAnsi="Times New Roman"/>
          <w:szCs w:val="24"/>
        </w:rPr>
        <w:t>ecision exceeds the implementing powers provided for in the</w:t>
      </w:r>
      <w:r w:rsidR="001613AE">
        <w:rPr>
          <w:rFonts w:ascii="Times New Roman" w:hAnsi="Times New Roman"/>
          <w:szCs w:val="24"/>
        </w:rPr>
        <w:t xml:space="preserve"> </w:t>
      </w:r>
      <w:r w:rsidRPr="002D5DF0">
        <w:rPr>
          <w:rFonts w:ascii="Times New Roman" w:hAnsi="Times New Roman"/>
          <w:szCs w:val="24"/>
        </w:rPr>
        <w:t xml:space="preserve">REACH Regulation. However since the </w:t>
      </w:r>
      <w:r w:rsidR="001613AE">
        <w:rPr>
          <w:rFonts w:ascii="Times New Roman" w:hAnsi="Times New Roman"/>
          <w:szCs w:val="24"/>
        </w:rPr>
        <w:t>r</w:t>
      </w:r>
      <w:r w:rsidRPr="002D5DF0">
        <w:rPr>
          <w:rFonts w:ascii="Times New Roman" w:hAnsi="Times New Roman"/>
          <w:szCs w:val="24"/>
        </w:rPr>
        <w:t xml:space="preserve">esolution refers in its Preamble to Article 11 of Regulation (EU) No 182/2011, the Commission understands that the motivation of the </w:t>
      </w:r>
      <w:r w:rsidR="001613AE">
        <w:rPr>
          <w:rFonts w:ascii="Times New Roman" w:hAnsi="Times New Roman"/>
          <w:szCs w:val="24"/>
        </w:rPr>
        <w:t xml:space="preserve">resolution of the </w:t>
      </w:r>
      <w:r w:rsidRPr="002D5DF0">
        <w:rPr>
          <w:rFonts w:ascii="Times New Roman" w:hAnsi="Times New Roman"/>
          <w:szCs w:val="24"/>
        </w:rPr>
        <w:t>European Parliament is similar in its intention.</w:t>
      </w:r>
    </w:p>
    <w:p w14:paraId="7BBB574E" w14:textId="77777777" w:rsidR="00C90222" w:rsidRPr="001C4FF2" w:rsidRDefault="00C90222" w:rsidP="001613AE">
      <w:pPr>
        <w:autoSpaceDE w:val="0"/>
        <w:autoSpaceDN w:val="0"/>
        <w:adjustRightInd w:val="0"/>
        <w:rPr>
          <w:rFonts w:ascii="Times New Roman" w:eastAsia="Calibri" w:hAnsi="Times New Roman"/>
          <w:szCs w:val="24"/>
          <w:lang w:eastAsia="en-US"/>
        </w:rPr>
      </w:pPr>
      <w:r w:rsidRPr="001C4FF2">
        <w:rPr>
          <w:rFonts w:ascii="Times New Roman" w:eastAsia="Calibri" w:hAnsi="Times New Roman"/>
          <w:szCs w:val="24"/>
          <w:lang w:eastAsia="en-US"/>
        </w:rPr>
        <w:t xml:space="preserve">When preparing the draft implementing decision, the Commission acted within the implementing powers conferred on it by Article 64(8) of REACH, </w:t>
      </w:r>
      <w:r>
        <w:rPr>
          <w:rFonts w:ascii="Times New Roman" w:eastAsia="Calibri" w:hAnsi="Times New Roman"/>
          <w:szCs w:val="24"/>
          <w:lang w:eastAsia="en-US"/>
        </w:rPr>
        <w:t xml:space="preserve">and </w:t>
      </w:r>
      <w:r w:rsidRPr="001C4FF2">
        <w:rPr>
          <w:rFonts w:ascii="Times New Roman" w:eastAsia="Calibri" w:hAnsi="Times New Roman"/>
          <w:szCs w:val="24"/>
          <w:lang w:eastAsia="en-US"/>
        </w:rPr>
        <w:t xml:space="preserve">it respected all the requirements set out in that </w:t>
      </w:r>
      <w:r w:rsidR="001613AE">
        <w:rPr>
          <w:rFonts w:ascii="Times New Roman" w:eastAsia="Calibri" w:hAnsi="Times New Roman"/>
          <w:szCs w:val="24"/>
          <w:lang w:eastAsia="en-US"/>
        </w:rPr>
        <w:t>r</w:t>
      </w:r>
      <w:r w:rsidRPr="001C4FF2">
        <w:rPr>
          <w:rFonts w:ascii="Times New Roman" w:eastAsia="Calibri" w:hAnsi="Times New Roman"/>
          <w:szCs w:val="24"/>
          <w:lang w:eastAsia="en-US"/>
        </w:rPr>
        <w:t>egulation, notably Article 60, paragraphs (4), (5)</w:t>
      </w:r>
      <w:r>
        <w:rPr>
          <w:rFonts w:ascii="Times New Roman" w:eastAsia="Calibri" w:hAnsi="Times New Roman"/>
          <w:szCs w:val="24"/>
          <w:lang w:eastAsia="en-US"/>
        </w:rPr>
        <w:t>, (7)</w:t>
      </w:r>
      <w:r w:rsidRPr="001C4FF2">
        <w:rPr>
          <w:rFonts w:ascii="Times New Roman" w:eastAsia="Calibri" w:hAnsi="Times New Roman"/>
          <w:szCs w:val="24"/>
          <w:lang w:eastAsia="en-US"/>
        </w:rPr>
        <w:t xml:space="preserve"> and (8). The fact that the Parliament does not agree with the assessment made by the European Chemicals Agency</w:t>
      </w:r>
      <w:r>
        <w:rPr>
          <w:rFonts w:ascii="Times New Roman" w:eastAsia="Calibri" w:hAnsi="Times New Roman"/>
          <w:szCs w:val="24"/>
          <w:lang w:eastAsia="en-US"/>
        </w:rPr>
        <w:t>’s (‘the Agency’)</w:t>
      </w:r>
      <w:r w:rsidRPr="001C4FF2">
        <w:rPr>
          <w:rFonts w:ascii="Times New Roman" w:eastAsia="Calibri" w:hAnsi="Times New Roman"/>
          <w:szCs w:val="24"/>
          <w:lang w:eastAsia="en-US"/>
        </w:rPr>
        <w:t xml:space="preserve"> Committee</w:t>
      </w:r>
      <w:r>
        <w:rPr>
          <w:rFonts w:ascii="Times New Roman" w:eastAsia="Calibri" w:hAnsi="Times New Roman"/>
          <w:szCs w:val="24"/>
          <w:lang w:eastAsia="en-US"/>
        </w:rPr>
        <w:t xml:space="preserve">s for Risk Assessment (RAC) and </w:t>
      </w:r>
      <w:r w:rsidRPr="001C4FF2">
        <w:rPr>
          <w:rFonts w:ascii="Times New Roman" w:eastAsia="Calibri" w:hAnsi="Times New Roman"/>
          <w:szCs w:val="24"/>
          <w:lang w:eastAsia="en-US"/>
        </w:rPr>
        <w:t xml:space="preserve">for Socio-economic Analysis (SEAC) and subsequently with the Commission’s </w:t>
      </w:r>
      <w:r>
        <w:rPr>
          <w:rFonts w:ascii="Times New Roman" w:eastAsia="Calibri" w:hAnsi="Times New Roman"/>
          <w:szCs w:val="24"/>
          <w:lang w:eastAsia="en-US"/>
        </w:rPr>
        <w:t xml:space="preserve">own assessment and </w:t>
      </w:r>
      <w:r w:rsidRPr="001C4FF2">
        <w:rPr>
          <w:rFonts w:ascii="Times New Roman" w:eastAsia="Calibri" w:hAnsi="Times New Roman"/>
          <w:szCs w:val="24"/>
          <w:lang w:eastAsia="en-US"/>
        </w:rPr>
        <w:t>conclusion</w:t>
      </w:r>
      <w:r>
        <w:rPr>
          <w:rFonts w:ascii="Times New Roman" w:eastAsia="Calibri" w:hAnsi="Times New Roman"/>
          <w:szCs w:val="24"/>
          <w:lang w:eastAsia="en-US"/>
        </w:rPr>
        <w:t>s</w:t>
      </w:r>
      <w:r w:rsidRPr="001C4FF2">
        <w:rPr>
          <w:rFonts w:ascii="Times New Roman" w:eastAsia="Calibri" w:hAnsi="Times New Roman"/>
          <w:szCs w:val="24"/>
          <w:lang w:eastAsia="en-US"/>
        </w:rPr>
        <w:t xml:space="preserve"> goes beyond the scope of the right of scrutiny of the European Parliament with regard to draft implementing acts.</w:t>
      </w:r>
    </w:p>
    <w:p w14:paraId="5D11458B" w14:textId="77777777" w:rsidR="00C90222" w:rsidRPr="001C4FF2" w:rsidRDefault="00C90222" w:rsidP="001613AE">
      <w:pPr>
        <w:autoSpaceDE w:val="0"/>
        <w:autoSpaceDN w:val="0"/>
        <w:adjustRightInd w:val="0"/>
        <w:rPr>
          <w:rFonts w:ascii="Times New Roman" w:eastAsia="Calibri" w:hAnsi="Times New Roman"/>
          <w:szCs w:val="24"/>
          <w:lang w:eastAsia="en-US"/>
        </w:rPr>
      </w:pPr>
      <w:r w:rsidRPr="001C4FF2">
        <w:rPr>
          <w:rFonts w:ascii="Times New Roman" w:eastAsia="Calibri" w:hAnsi="Times New Roman"/>
          <w:szCs w:val="24"/>
          <w:lang w:eastAsia="en-US"/>
        </w:rPr>
        <w:t>Nevertheless, the Commission takes note of the position of the Parliament and therefore would like to explain its position on the concerns expressed in the resolution:</w:t>
      </w:r>
    </w:p>
    <w:p w14:paraId="7AA5C939" w14:textId="77777777" w:rsidR="00C90222" w:rsidRDefault="00C90222" w:rsidP="008126B9">
      <w:pPr>
        <w:pStyle w:val="ListParagraph"/>
        <w:numPr>
          <w:ilvl w:val="0"/>
          <w:numId w:val="32"/>
        </w:numPr>
        <w:spacing w:after="0" w:line="240" w:lineRule="auto"/>
        <w:jc w:val="both"/>
        <w:rPr>
          <w:rFonts w:ascii="Times New Roman" w:hAnsi="Times New Roman"/>
          <w:sz w:val="24"/>
          <w:szCs w:val="24"/>
          <w:lang w:val="en-GB"/>
        </w:rPr>
      </w:pPr>
      <w:r w:rsidRPr="001613AE">
        <w:rPr>
          <w:rFonts w:ascii="Times New Roman" w:hAnsi="Times New Roman"/>
          <w:sz w:val="24"/>
          <w:szCs w:val="24"/>
          <w:lang w:val="en-GB"/>
        </w:rPr>
        <w:t xml:space="preserve">The Commission rejects the claim that the draft Commission implementing decision proposing the authorisation is in breach of Article 60(7) of REACH due to missing information on exposure scenarios for workers in the application for authorisation. The </w:t>
      </w:r>
      <w:r w:rsidR="007F41CD">
        <w:rPr>
          <w:rFonts w:ascii="Times New Roman" w:hAnsi="Times New Roman"/>
          <w:sz w:val="24"/>
          <w:szCs w:val="24"/>
          <w:lang w:val="en-GB"/>
        </w:rPr>
        <w:t>r</w:t>
      </w:r>
      <w:r w:rsidRPr="001613AE">
        <w:rPr>
          <w:rFonts w:ascii="Times New Roman" w:hAnsi="Times New Roman"/>
          <w:sz w:val="24"/>
          <w:szCs w:val="24"/>
          <w:lang w:val="en-GB"/>
        </w:rPr>
        <w:t xml:space="preserve">esolution claims that instead of considering the application not </w:t>
      </w:r>
      <w:r w:rsidRPr="001613AE">
        <w:rPr>
          <w:rFonts w:ascii="Times New Roman" w:hAnsi="Times New Roman"/>
          <w:sz w:val="24"/>
          <w:szCs w:val="24"/>
          <w:lang w:val="en-GB"/>
        </w:rPr>
        <w:lastRenderedPageBreak/>
        <w:t>to be in conformity, the draft decision only requires the applicants to provide the missing information</w:t>
      </w:r>
      <w:r w:rsidR="007F41CD">
        <w:rPr>
          <w:rFonts w:ascii="Times New Roman" w:hAnsi="Times New Roman"/>
          <w:sz w:val="24"/>
          <w:szCs w:val="24"/>
          <w:lang w:val="en-GB"/>
        </w:rPr>
        <w:t xml:space="preserve"> in a subsequent review report.</w:t>
      </w:r>
    </w:p>
    <w:p w14:paraId="452586D8" w14:textId="77777777" w:rsidR="00C90222" w:rsidRPr="001613AE" w:rsidRDefault="00C90222" w:rsidP="00D6614A">
      <w:pPr>
        <w:pStyle w:val="ListParagraph"/>
        <w:spacing w:after="0" w:line="240" w:lineRule="auto"/>
        <w:jc w:val="both"/>
        <w:rPr>
          <w:rFonts w:ascii="Times New Roman" w:hAnsi="Times New Roman"/>
          <w:sz w:val="24"/>
          <w:szCs w:val="24"/>
          <w:lang w:val="en-GB"/>
        </w:rPr>
      </w:pPr>
      <w:r w:rsidRPr="001613AE">
        <w:rPr>
          <w:rFonts w:ascii="Times New Roman" w:hAnsi="Times New Roman"/>
          <w:sz w:val="24"/>
          <w:szCs w:val="24"/>
          <w:lang w:val="en-GB"/>
        </w:rPr>
        <w:t>With regard to this claim, the Commission recalls that Article 60(7) does not concern the material conditions for the grant of an authorisation and is limited to enabling the Commission to verify whether an application for authorisation is in conformity with the requirements of Article 62 from a formal point of view</w:t>
      </w:r>
      <w:r w:rsidRPr="001613AE">
        <w:rPr>
          <w:rStyle w:val="FootnoteReference"/>
          <w:rFonts w:ascii="Times New Roman" w:hAnsi="Times New Roman"/>
          <w:sz w:val="24"/>
          <w:szCs w:val="24"/>
          <w:lang w:val="en-GB"/>
        </w:rPr>
        <w:footnoteReference w:id="1"/>
      </w:r>
      <w:r w:rsidRPr="001613AE">
        <w:rPr>
          <w:rFonts w:ascii="Times New Roman" w:hAnsi="Times New Roman"/>
          <w:sz w:val="24"/>
          <w:szCs w:val="24"/>
          <w:lang w:val="en-GB"/>
        </w:rPr>
        <w:t>.</w:t>
      </w:r>
    </w:p>
    <w:p w14:paraId="4BB2DF1D" w14:textId="77777777" w:rsidR="00C90222" w:rsidRPr="001613AE" w:rsidRDefault="00C90222" w:rsidP="00D6614A">
      <w:pPr>
        <w:pStyle w:val="ListBullet"/>
        <w:numPr>
          <w:ilvl w:val="0"/>
          <w:numId w:val="0"/>
        </w:numPr>
        <w:spacing w:after="0"/>
        <w:ind w:left="720"/>
        <w:rPr>
          <w:rFonts w:ascii="Times New Roman" w:hAnsi="Times New Roman"/>
          <w:szCs w:val="24"/>
        </w:rPr>
      </w:pPr>
      <w:r w:rsidRPr="001613AE">
        <w:rPr>
          <w:rFonts w:ascii="Times New Roman" w:hAnsi="Times New Roman"/>
          <w:szCs w:val="24"/>
        </w:rPr>
        <w:t xml:space="preserve">The Commission, taking into account the analysis carried out by RAC and SEAC, considers it is appropriate to grant an authorisation for the uses applied for subject to applicants and their downstream users complying with the detailed measures described in the chemical safety report submitted in the application, together with the additional conditions and monitoring arrangements in the draft </w:t>
      </w:r>
      <w:r w:rsidR="00D6614A">
        <w:rPr>
          <w:rFonts w:ascii="Times New Roman" w:hAnsi="Times New Roman"/>
          <w:szCs w:val="24"/>
        </w:rPr>
        <w:t>d</w:t>
      </w:r>
      <w:r w:rsidRPr="001613AE">
        <w:rPr>
          <w:rFonts w:ascii="Times New Roman" w:hAnsi="Times New Roman"/>
          <w:szCs w:val="24"/>
        </w:rPr>
        <w:t>ecision. In order to address the remaining uncertainties in the risk assessment, it is also appropriate to require additional information through conditions and monitoring arrangements pursuant to Article 60 (8) and (9).</w:t>
      </w:r>
    </w:p>
    <w:p w14:paraId="282642CA" w14:textId="77777777" w:rsidR="00C90222" w:rsidRPr="001613AE" w:rsidRDefault="00C90222" w:rsidP="00D6614A">
      <w:pPr>
        <w:pStyle w:val="ListBullet"/>
        <w:numPr>
          <w:ilvl w:val="0"/>
          <w:numId w:val="0"/>
        </w:numPr>
        <w:spacing w:after="0"/>
        <w:ind w:left="720"/>
        <w:rPr>
          <w:rFonts w:ascii="Times New Roman" w:hAnsi="Times New Roman"/>
          <w:szCs w:val="24"/>
        </w:rPr>
      </w:pPr>
      <w:r w:rsidRPr="001613AE">
        <w:rPr>
          <w:rFonts w:ascii="Times New Roman" w:hAnsi="Times New Roman"/>
          <w:szCs w:val="24"/>
        </w:rPr>
        <w:t>The stringent conditions concerning risk management (including the need for the authorisation holder to develop new and more specific exposure scenarios with the corresponding risk management measures and operational conditions) imposed upon users of chromium trioxide covered by the proposed authorisation are designed to ensure that the combined worker exposure to carcinogenic chromium (VI) will not exceed 2 µg/m</w:t>
      </w:r>
      <w:r w:rsidRPr="001613AE">
        <w:rPr>
          <w:rFonts w:ascii="Times New Roman" w:hAnsi="Times New Roman"/>
          <w:szCs w:val="24"/>
          <w:vertAlign w:val="superscript"/>
        </w:rPr>
        <w:t>3</w:t>
      </w:r>
      <w:r w:rsidRPr="001613AE">
        <w:rPr>
          <w:rFonts w:ascii="Times New Roman" w:hAnsi="Times New Roman"/>
          <w:szCs w:val="24"/>
        </w:rPr>
        <w:t xml:space="preserve"> for most of the uses or 0.5 µg/m</w:t>
      </w:r>
      <w:r w:rsidRPr="001613AE">
        <w:rPr>
          <w:rFonts w:ascii="Times New Roman" w:hAnsi="Times New Roman"/>
          <w:szCs w:val="24"/>
          <w:vertAlign w:val="superscript"/>
        </w:rPr>
        <w:t>3</w:t>
      </w:r>
      <w:r w:rsidRPr="001613AE">
        <w:rPr>
          <w:rFonts w:ascii="Times New Roman" w:hAnsi="Times New Roman"/>
          <w:szCs w:val="24"/>
        </w:rPr>
        <w:t xml:space="preserve"> for formulation uses or even a low</w:t>
      </w:r>
      <w:r w:rsidR="00D6614A">
        <w:rPr>
          <w:rFonts w:ascii="Times New Roman" w:hAnsi="Times New Roman"/>
          <w:szCs w:val="24"/>
        </w:rPr>
        <w:t>er exposure in specific tasks.</w:t>
      </w:r>
    </w:p>
    <w:p w14:paraId="5EDCFE65" w14:textId="77777777" w:rsidR="00C90222" w:rsidRPr="001613AE" w:rsidRDefault="00C90222" w:rsidP="00D6614A">
      <w:pPr>
        <w:pStyle w:val="ListParagraph"/>
        <w:spacing w:after="0" w:line="240" w:lineRule="auto"/>
        <w:jc w:val="both"/>
        <w:rPr>
          <w:rFonts w:ascii="Times New Roman" w:hAnsi="Times New Roman"/>
          <w:sz w:val="24"/>
          <w:szCs w:val="24"/>
          <w:lang w:val="en-GB"/>
        </w:rPr>
      </w:pPr>
      <w:r w:rsidRPr="001613AE">
        <w:rPr>
          <w:rFonts w:ascii="Times New Roman" w:hAnsi="Times New Roman"/>
          <w:sz w:val="24"/>
          <w:szCs w:val="24"/>
          <w:lang w:val="en-GB"/>
        </w:rPr>
        <w:t>These values are, respectively, 5 and 20 times lower than the European binding occupational limit value of 10 µg/m</w:t>
      </w:r>
      <w:r w:rsidRPr="001613AE">
        <w:rPr>
          <w:rFonts w:ascii="Times New Roman" w:hAnsi="Times New Roman"/>
          <w:sz w:val="24"/>
          <w:szCs w:val="24"/>
          <w:vertAlign w:val="superscript"/>
          <w:lang w:val="en-GB"/>
        </w:rPr>
        <w:t xml:space="preserve">3 </w:t>
      </w:r>
      <w:r w:rsidRPr="001613AE">
        <w:rPr>
          <w:rFonts w:ascii="Times New Roman" w:hAnsi="Times New Roman"/>
          <w:sz w:val="24"/>
          <w:szCs w:val="24"/>
          <w:lang w:val="en-GB"/>
        </w:rPr>
        <w:t>adopted by the co-legislators on 12 December 2017</w:t>
      </w:r>
      <w:r w:rsidRPr="001613AE">
        <w:rPr>
          <w:rStyle w:val="FootnoteReference"/>
          <w:rFonts w:ascii="Times New Roman" w:hAnsi="Times New Roman"/>
          <w:sz w:val="24"/>
          <w:szCs w:val="24"/>
          <w:lang w:val="en-GB"/>
        </w:rPr>
        <w:footnoteReference w:id="2"/>
      </w:r>
      <w:r w:rsidR="001613AE" w:rsidRPr="001613AE">
        <w:rPr>
          <w:rFonts w:ascii="Times New Roman" w:hAnsi="Times New Roman"/>
          <w:sz w:val="24"/>
          <w:szCs w:val="24"/>
          <w:lang w:val="en-GB"/>
        </w:rPr>
        <w:t>.</w:t>
      </w:r>
    </w:p>
    <w:p w14:paraId="5F185FAD" w14:textId="77777777" w:rsidR="00C90222" w:rsidRPr="001613AE" w:rsidRDefault="00C90222" w:rsidP="00D6614A">
      <w:pPr>
        <w:pStyle w:val="ListParagraph"/>
        <w:spacing w:after="0" w:line="240" w:lineRule="auto"/>
        <w:jc w:val="both"/>
        <w:rPr>
          <w:rFonts w:ascii="Times New Roman" w:hAnsi="Times New Roman"/>
          <w:sz w:val="24"/>
          <w:szCs w:val="24"/>
          <w:lang w:val="en-GB"/>
        </w:rPr>
      </w:pPr>
      <w:r w:rsidRPr="001613AE">
        <w:rPr>
          <w:rFonts w:ascii="Times New Roman" w:hAnsi="Times New Roman"/>
          <w:sz w:val="24"/>
          <w:szCs w:val="24"/>
          <w:lang w:val="en-GB"/>
        </w:rPr>
        <w:t>It is therefore expected that this authorisation will complement and substantially enhance the level of worker protection as the companies will be obliged to apply measures that should achieve lower levels of worker exposure in the workplaces covered by thi</w:t>
      </w:r>
      <w:r w:rsidR="00D6614A">
        <w:rPr>
          <w:rFonts w:ascii="Times New Roman" w:hAnsi="Times New Roman"/>
          <w:sz w:val="24"/>
          <w:szCs w:val="24"/>
          <w:lang w:val="en-GB"/>
        </w:rPr>
        <w:t>s authorisation.</w:t>
      </w:r>
    </w:p>
    <w:p w14:paraId="451B5AC5" w14:textId="77777777" w:rsidR="00C90222" w:rsidRPr="00D6614A" w:rsidRDefault="00C90222" w:rsidP="008126B9">
      <w:pPr>
        <w:pStyle w:val="ListParagraph"/>
        <w:numPr>
          <w:ilvl w:val="0"/>
          <w:numId w:val="32"/>
        </w:numPr>
        <w:spacing w:after="120" w:line="240" w:lineRule="auto"/>
        <w:jc w:val="both"/>
        <w:rPr>
          <w:rFonts w:ascii="Times New Roman" w:hAnsi="Times New Roman"/>
          <w:sz w:val="24"/>
          <w:szCs w:val="24"/>
          <w:lang w:val="en-GB"/>
        </w:rPr>
      </w:pPr>
      <w:r w:rsidRPr="00D6614A">
        <w:rPr>
          <w:rFonts w:ascii="Times New Roman" w:hAnsi="Times New Roman"/>
          <w:sz w:val="24"/>
          <w:szCs w:val="24"/>
          <w:lang w:val="en-GB"/>
        </w:rPr>
        <w:t>The Commission also rejects the claim that the draft Commission implementing decision proposing the authorisation is in breach of Article 60(4) of REACH due to uncertainties in the assessment and the availability of suitable alternatives for the authorised use</w:t>
      </w:r>
      <w:r w:rsidR="00D6614A">
        <w:rPr>
          <w:rFonts w:ascii="Times New Roman" w:hAnsi="Times New Roman"/>
          <w:sz w:val="24"/>
          <w:szCs w:val="24"/>
          <w:lang w:val="en-GB"/>
        </w:rPr>
        <w:t>s.</w:t>
      </w:r>
    </w:p>
    <w:p w14:paraId="4576191F" w14:textId="77777777" w:rsidR="00C90222" w:rsidRPr="00D6614A" w:rsidRDefault="00C90222" w:rsidP="00D6614A">
      <w:pPr>
        <w:pStyle w:val="ListParagraph"/>
        <w:spacing w:after="120" w:line="240" w:lineRule="auto"/>
        <w:jc w:val="both"/>
        <w:rPr>
          <w:rFonts w:ascii="Times New Roman" w:hAnsi="Times New Roman"/>
          <w:sz w:val="24"/>
          <w:szCs w:val="24"/>
        </w:rPr>
      </w:pPr>
      <w:r w:rsidRPr="00D6614A">
        <w:rPr>
          <w:rFonts w:ascii="Times New Roman" w:hAnsi="Times New Roman"/>
          <w:sz w:val="24"/>
          <w:szCs w:val="24"/>
        </w:rPr>
        <w:t>With regard to the point on uncertainties, SEAC identified uncertainties in the analysis of alternatives due to the broad scope of some of the uses applied for. Nevertheless, SEAC came to the conclusion that overall, there were no technically feasible alternatives for chromium trioxide before the sunset date. The draft decision reflects and addresses those uncertainties by further limiting the scope of those uses, to align them with the conclusions on the analysis of a</w:t>
      </w:r>
      <w:r w:rsidR="00D6614A">
        <w:rPr>
          <w:rFonts w:ascii="Times New Roman" w:hAnsi="Times New Roman"/>
          <w:sz w:val="24"/>
          <w:szCs w:val="24"/>
        </w:rPr>
        <w:t>lternatives.</w:t>
      </w:r>
    </w:p>
    <w:p w14:paraId="5EAEA722" w14:textId="77777777" w:rsidR="00C90222" w:rsidRPr="00D6614A" w:rsidRDefault="00C90222" w:rsidP="00D6614A">
      <w:pPr>
        <w:pStyle w:val="ListParagraph"/>
        <w:spacing w:after="120" w:line="240" w:lineRule="auto"/>
        <w:jc w:val="both"/>
        <w:rPr>
          <w:rFonts w:ascii="Times New Roman" w:hAnsi="Times New Roman"/>
          <w:sz w:val="24"/>
          <w:szCs w:val="24"/>
        </w:rPr>
      </w:pPr>
      <w:r w:rsidRPr="00D6614A">
        <w:rPr>
          <w:rFonts w:ascii="Times New Roman" w:hAnsi="Times New Roman"/>
          <w:sz w:val="24"/>
          <w:szCs w:val="24"/>
        </w:rPr>
        <w:t>Furthermore, the Commission took note of other elements relevant for the conclusion on the availability of suitable alternatives, such as the complexity of the supply chains and the time and investment necessary to implement a potential alternative, as well as the time necessary for industrialisation and qualification of the resulting products in case a technically feasible alternative is found. Based on the SEAC’s assessment and the above considerations, the Commission concluded that no suitable alternatives were available before the sunset date.</w:t>
      </w:r>
    </w:p>
    <w:p w14:paraId="6D4E9A44" w14:textId="77777777" w:rsidR="00C90222" w:rsidRPr="00D6614A" w:rsidRDefault="00C90222" w:rsidP="00D6614A">
      <w:pPr>
        <w:pStyle w:val="ListParagraph"/>
        <w:spacing w:after="120" w:line="240" w:lineRule="auto"/>
        <w:jc w:val="both"/>
        <w:rPr>
          <w:rFonts w:ascii="Times New Roman" w:hAnsi="Times New Roman"/>
          <w:sz w:val="24"/>
          <w:szCs w:val="24"/>
        </w:rPr>
      </w:pPr>
      <w:r w:rsidRPr="00D6614A">
        <w:rPr>
          <w:rFonts w:ascii="Times New Roman" w:hAnsi="Times New Roman"/>
          <w:sz w:val="24"/>
          <w:szCs w:val="24"/>
        </w:rPr>
        <w:lastRenderedPageBreak/>
        <w:t xml:space="preserve">With regard to the point on claimed availability of suitable alternatives, it should be noted that all known alternatives, including those cited in the </w:t>
      </w:r>
      <w:r w:rsidR="00D6614A">
        <w:rPr>
          <w:rFonts w:ascii="Times New Roman" w:hAnsi="Times New Roman"/>
          <w:sz w:val="24"/>
          <w:szCs w:val="24"/>
        </w:rPr>
        <w:t>r</w:t>
      </w:r>
      <w:r w:rsidRPr="00D6614A">
        <w:rPr>
          <w:rFonts w:ascii="Times New Roman" w:hAnsi="Times New Roman"/>
          <w:sz w:val="24"/>
          <w:szCs w:val="24"/>
        </w:rPr>
        <w:t>esolution, have been thoroughly assessed by SEAC. SEAC dismissed those alternatives because of deficiencies regarding technical and/or economic feasibility and concluded that they were not suitable. The same conclusion, i.e. that there are no suitable alternatives, was also reached in a number of cases in which downstream users covered by some uses of the contested draft decision applied for authorisation for their own similar uses (e.g. Decision of 8/02/2017, C(2017) 663 (Grohe AG), Decision of 14/02/2019, C(2019) 1057 (Hansgrohe SE)).</w:t>
      </w:r>
    </w:p>
    <w:p w14:paraId="7B811783" w14:textId="77777777" w:rsidR="00C90222" w:rsidRPr="00D6614A" w:rsidRDefault="00C90222" w:rsidP="008126B9">
      <w:pPr>
        <w:pStyle w:val="ListParagraph"/>
        <w:numPr>
          <w:ilvl w:val="0"/>
          <w:numId w:val="32"/>
        </w:numPr>
        <w:spacing w:after="120" w:line="240" w:lineRule="auto"/>
        <w:jc w:val="both"/>
        <w:rPr>
          <w:rFonts w:ascii="Times New Roman" w:hAnsi="Times New Roman"/>
          <w:sz w:val="24"/>
          <w:szCs w:val="24"/>
        </w:rPr>
      </w:pPr>
      <w:r w:rsidRPr="00D6614A">
        <w:rPr>
          <w:rFonts w:ascii="Times New Roman" w:hAnsi="Times New Roman"/>
          <w:sz w:val="24"/>
          <w:szCs w:val="24"/>
        </w:rPr>
        <w:t xml:space="preserve">The Commission underlines that, in the socio-economic analysis underpinning the condition for granting </w:t>
      </w:r>
      <w:r w:rsidRPr="006D30AA">
        <w:rPr>
          <w:rFonts w:ascii="Times New Roman" w:hAnsi="Times New Roman"/>
          <w:sz w:val="24"/>
          <w:szCs w:val="24"/>
          <w:lang w:val="en-GB"/>
        </w:rPr>
        <w:t>an authorisation under Article 60(4) of REACH, SEAC has concluded that, if an authorisation is not granted, affected companies in the EU would have to immediately stop their</w:t>
      </w:r>
      <w:r w:rsidRPr="00D6614A">
        <w:rPr>
          <w:rFonts w:ascii="Times New Roman" w:hAnsi="Times New Roman"/>
          <w:sz w:val="24"/>
          <w:szCs w:val="24"/>
        </w:rPr>
        <w:t xml:space="preserve"> chrome-plating activities. This would result in closure or partial closure of businesses, loss of tens of thousands of jobs, disruption of supply chains of strategic sectors, such as aerospace and automotive, resulting in significant economic and social losses in order of billions of euros.</w:t>
      </w:r>
    </w:p>
    <w:p w14:paraId="227003B0" w14:textId="59B23ED6" w:rsidR="00C90222" w:rsidRPr="00D6614A" w:rsidRDefault="00C90222" w:rsidP="008126B9">
      <w:pPr>
        <w:pStyle w:val="ListParagraph"/>
        <w:numPr>
          <w:ilvl w:val="0"/>
          <w:numId w:val="32"/>
        </w:numPr>
        <w:spacing w:after="120" w:line="240" w:lineRule="auto"/>
        <w:jc w:val="both"/>
        <w:rPr>
          <w:rFonts w:ascii="Times New Roman" w:hAnsi="Times New Roman"/>
          <w:sz w:val="24"/>
          <w:szCs w:val="24"/>
        </w:rPr>
      </w:pPr>
      <w:r w:rsidRPr="00D6614A">
        <w:rPr>
          <w:rFonts w:ascii="Times New Roman" w:hAnsi="Times New Roman"/>
          <w:sz w:val="24"/>
          <w:szCs w:val="24"/>
        </w:rPr>
        <w:t xml:space="preserve">The Commission notes that the request in the </w:t>
      </w:r>
      <w:r w:rsidR="00D6614A">
        <w:rPr>
          <w:rFonts w:ascii="Times New Roman" w:hAnsi="Times New Roman"/>
          <w:sz w:val="24"/>
          <w:szCs w:val="24"/>
        </w:rPr>
        <w:t>r</w:t>
      </w:r>
      <w:r w:rsidRPr="00D6614A">
        <w:rPr>
          <w:rFonts w:ascii="Times New Roman" w:hAnsi="Times New Roman"/>
          <w:sz w:val="24"/>
          <w:szCs w:val="24"/>
        </w:rPr>
        <w:t xml:space="preserve">esolution to </w:t>
      </w:r>
      <w:r w:rsidRPr="00D6614A">
        <w:rPr>
          <w:rFonts w:ascii="Times New Roman" w:hAnsi="Times New Roman"/>
          <w:i/>
          <w:sz w:val="24"/>
          <w:szCs w:val="24"/>
        </w:rPr>
        <w:t>‘grant, exceptionally, to downstream users… to submit the missing data … and to take swift decisions with regard to those applications</w:t>
      </w:r>
      <w:r w:rsidRPr="00D6614A">
        <w:rPr>
          <w:rFonts w:ascii="Times New Roman" w:hAnsi="Times New Roman"/>
          <w:sz w:val="24"/>
          <w:szCs w:val="24"/>
        </w:rPr>
        <w:t xml:space="preserve">’ is not legally viable in accordance with Article 56(1) of REACH. In this regard, the Commission notes that the addressees of the draft decision are the applicants, not their downstream users, and the identity of the downstream users is not necessarily known until they notify the use of the substance to ECHA after the decision is adopted (in accordance with Article 66 of REACH). Furthermore, the request proposes to treat applicants in this specific case ‘exceptionally’ differently from applicants in other cases. The Commission does not see any grounds for exceptionality that, furthermore, would result in an unjustified unequal treatment </w:t>
      </w:r>
      <w:r w:rsidRPr="00D6614A">
        <w:rPr>
          <w:rFonts w:ascii="Times New Roman" w:hAnsi="Times New Roman"/>
          <w:i/>
          <w:sz w:val="24"/>
          <w:szCs w:val="24"/>
        </w:rPr>
        <w:t>vis-à-vis</w:t>
      </w:r>
      <w:r w:rsidRPr="00D6614A">
        <w:rPr>
          <w:rFonts w:ascii="Times New Roman" w:hAnsi="Times New Roman"/>
          <w:sz w:val="24"/>
          <w:szCs w:val="24"/>
        </w:rPr>
        <w:t xml:space="preserve"> </w:t>
      </w:r>
      <w:r w:rsidRPr="006D30AA">
        <w:rPr>
          <w:rFonts w:ascii="Times New Roman" w:hAnsi="Times New Roman"/>
          <w:sz w:val="24"/>
          <w:szCs w:val="24"/>
          <w:lang w:val="en-GB"/>
        </w:rPr>
        <w:t>other applicants. Separately, the Commission emphasises that further delays in granting the authorisation would result in delays in the imposition of strict risk management related conditions</w:t>
      </w:r>
      <w:r w:rsidRPr="00D6614A">
        <w:rPr>
          <w:rFonts w:ascii="Times New Roman" w:hAnsi="Times New Roman"/>
          <w:sz w:val="24"/>
          <w:szCs w:val="24"/>
        </w:rPr>
        <w:t xml:space="preserve"> set out in the draft decision on all companies affected aimed at limiting worker exposure to chromium VI to levels below the current EU binding occupational exposure limit values.</w:t>
      </w:r>
    </w:p>
    <w:p w14:paraId="3E4A3D98" w14:textId="77777777" w:rsidR="00C90222" w:rsidRPr="00E307D6" w:rsidRDefault="00C90222" w:rsidP="00D6614A">
      <w:pPr>
        <w:autoSpaceDE w:val="0"/>
        <w:autoSpaceDN w:val="0"/>
        <w:adjustRightInd w:val="0"/>
        <w:rPr>
          <w:rFonts w:ascii="Times New Roman" w:eastAsia="Calibri" w:hAnsi="Times New Roman"/>
          <w:szCs w:val="24"/>
          <w:lang w:eastAsia="en-US"/>
        </w:rPr>
      </w:pPr>
      <w:r w:rsidRPr="00713380">
        <w:rPr>
          <w:rFonts w:ascii="Times New Roman" w:eastAsia="Calibri" w:hAnsi="Times New Roman"/>
          <w:szCs w:val="24"/>
          <w:lang w:eastAsia="en-US"/>
        </w:rPr>
        <w:t xml:space="preserve">Based on the provided reasoning, the Commission cannot follow the objections raised in the </w:t>
      </w:r>
      <w:r>
        <w:rPr>
          <w:rFonts w:ascii="Times New Roman" w:eastAsia="Calibri" w:hAnsi="Times New Roman"/>
          <w:szCs w:val="24"/>
          <w:lang w:eastAsia="en-US"/>
        </w:rPr>
        <w:t xml:space="preserve">European </w:t>
      </w:r>
      <w:r w:rsidRPr="00713380">
        <w:rPr>
          <w:rFonts w:ascii="Times New Roman" w:hAnsi="Times New Roman"/>
          <w:szCs w:val="24"/>
        </w:rPr>
        <w:t>Parliament’s</w:t>
      </w:r>
      <w:r w:rsidRPr="00713380">
        <w:rPr>
          <w:rFonts w:ascii="Times New Roman" w:eastAsia="Calibri" w:hAnsi="Times New Roman"/>
          <w:szCs w:val="24"/>
          <w:lang w:eastAsia="en-US"/>
        </w:rPr>
        <w:t xml:space="preserve"> </w:t>
      </w:r>
      <w:r w:rsidR="00D6614A">
        <w:rPr>
          <w:rFonts w:ascii="Times New Roman" w:eastAsia="Calibri" w:hAnsi="Times New Roman"/>
          <w:szCs w:val="24"/>
          <w:lang w:eastAsia="en-US"/>
        </w:rPr>
        <w:t>r</w:t>
      </w:r>
      <w:r w:rsidRPr="00713380">
        <w:rPr>
          <w:rFonts w:ascii="Times New Roman" w:eastAsia="Calibri" w:hAnsi="Times New Roman"/>
          <w:szCs w:val="24"/>
          <w:lang w:eastAsia="en-US"/>
        </w:rPr>
        <w:t>esolution and a</w:t>
      </w:r>
      <w:r w:rsidRPr="00E307D6">
        <w:rPr>
          <w:rFonts w:ascii="Times New Roman" w:eastAsia="Calibri" w:hAnsi="Times New Roman"/>
          <w:szCs w:val="24"/>
          <w:lang w:eastAsia="en-US"/>
        </w:rPr>
        <w:t>ffirm</w:t>
      </w:r>
      <w:r>
        <w:rPr>
          <w:rFonts w:ascii="Times New Roman" w:eastAsia="Calibri" w:hAnsi="Times New Roman"/>
          <w:szCs w:val="24"/>
          <w:lang w:eastAsia="en-US"/>
        </w:rPr>
        <w:t>s</w:t>
      </w:r>
      <w:r w:rsidRPr="00E307D6">
        <w:rPr>
          <w:rFonts w:ascii="Times New Roman" w:eastAsia="Calibri" w:hAnsi="Times New Roman"/>
          <w:szCs w:val="24"/>
          <w:lang w:eastAsia="en-US"/>
        </w:rPr>
        <w:t xml:space="preserve"> that the draft </w:t>
      </w:r>
      <w:r>
        <w:rPr>
          <w:rFonts w:ascii="Times New Roman" w:eastAsia="Calibri" w:hAnsi="Times New Roman"/>
          <w:szCs w:val="24"/>
          <w:lang w:eastAsia="en-US"/>
        </w:rPr>
        <w:t>d</w:t>
      </w:r>
      <w:r w:rsidRPr="00E307D6">
        <w:rPr>
          <w:rFonts w:ascii="Times New Roman" w:eastAsia="Calibri" w:hAnsi="Times New Roman"/>
          <w:szCs w:val="24"/>
          <w:lang w:eastAsia="en-US"/>
        </w:rPr>
        <w:t>ecision is within the implementing powers conferred</w:t>
      </w:r>
      <w:r>
        <w:rPr>
          <w:rFonts w:ascii="Times New Roman" w:eastAsia="Calibri" w:hAnsi="Times New Roman"/>
          <w:szCs w:val="24"/>
          <w:lang w:eastAsia="en-US"/>
        </w:rPr>
        <w:t xml:space="preserve"> on the Commission under REACH and in full compliance with the REACH Regulation.</w:t>
      </w:r>
    </w:p>
    <w:p w14:paraId="0AA4018E" w14:textId="0FA3F3C7" w:rsidR="00A74B0A" w:rsidRPr="00904655" w:rsidRDefault="00C90222" w:rsidP="00904655">
      <w:pPr>
        <w:rPr>
          <w:rFonts w:ascii="Times New Roman" w:eastAsia="Calibri" w:hAnsi="Times New Roman"/>
          <w:szCs w:val="24"/>
          <w:lang w:eastAsia="en-US"/>
        </w:rPr>
      </w:pPr>
      <w:r>
        <w:rPr>
          <w:rFonts w:ascii="Times New Roman" w:eastAsia="Calibri" w:hAnsi="Times New Roman"/>
          <w:szCs w:val="24"/>
          <w:lang w:eastAsia="en-US"/>
        </w:rPr>
        <w:t>The Commission also notes that the draft decision has already been voted in the REACH Committee on 14 February 2019 and received a positive opinion by qualified majority (24 Member States in favour). Nevertheless, as the draft decision has not yet been adopted, the Commission will consider whether the draft decision needs to be revised in the light of the recent judgments of the General Court in cases T-837/16 (</w:t>
      </w:r>
      <w:r w:rsidRPr="00873EBB">
        <w:rPr>
          <w:rFonts w:ascii="Times New Roman" w:eastAsia="Calibri" w:hAnsi="Times New Roman"/>
          <w:i/>
          <w:szCs w:val="24"/>
          <w:lang w:eastAsia="en-US"/>
        </w:rPr>
        <w:t>Sweden</w:t>
      </w:r>
      <w:r>
        <w:rPr>
          <w:rFonts w:ascii="Times New Roman" w:eastAsia="Calibri" w:hAnsi="Times New Roman"/>
          <w:szCs w:val="24"/>
          <w:lang w:eastAsia="en-US"/>
        </w:rPr>
        <w:t xml:space="preserve"> v. </w:t>
      </w:r>
      <w:r w:rsidRPr="00873EBB">
        <w:rPr>
          <w:rFonts w:ascii="Times New Roman" w:eastAsia="Calibri" w:hAnsi="Times New Roman"/>
          <w:i/>
          <w:szCs w:val="24"/>
          <w:lang w:eastAsia="en-US"/>
        </w:rPr>
        <w:t>Commission</w:t>
      </w:r>
      <w:r>
        <w:rPr>
          <w:rFonts w:ascii="Times New Roman" w:eastAsia="Calibri" w:hAnsi="Times New Roman"/>
          <w:szCs w:val="24"/>
          <w:lang w:eastAsia="en-US"/>
        </w:rPr>
        <w:t xml:space="preserve">) and </w:t>
      </w:r>
      <w:r w:rsidR="004D0552">
        <w:rPr>
          <w:rFonts w:ascii="Times New Roman" w:hAnsi="Times New Roman"/>
          <w:szCs w:val="24"/>
        </w:rPr>
        <w:t>T-108/17 (</w:t>
      </w:r>
      <w:r w:rsidR="004D0552" w:rsidRPr="00873EBB">
        <w:rPr>
          <w:rFonts w:ascii="Times New Roman" w:hAnsi="Times New Roman"/>
          <w:i/>
          <w:szCs w:val="24"/>
        </w:rPr>
        <w:t>Client Earth</w:t>
      </w:r>
      <w:r w:rsidR="004D0552">
        <w:rPr>
          <w:rFonts w:ascii="Times New Roman" w:hAnsi="Times New Roman"/>
          <w:szCs w:val="24"/>
        </w:rPr>
        <w:t> v </w:t>
      </w:r>
      <w:r w:rsidRPr="00873EBB">
        <w:rPr>
          <w:rFonts w:ascii="Times New Roman" w:hAnsi="Times New Roman"/>
          <w:i/>
          <w:szCs w:val="24"/>
        </w:rPr>
        <w:t>Commission</w:t>
      </w:r>
      <w:r>
        <w:rPr>
          <w:rFonts w:ascii="Times New Roman" w:hAnsi="Times New Roman"/>
          <w:szCs w:val="24"/>
        </w:rPr>
        <w:t>)</w:t>
      </w:r>
      <w:r>
        <w:rPr>
          <w:rFonts w:ascii="Times New Roman" w:eastAsia="Calibri" w:hAnsi="Times New Roman"/>
          <w:szCs w:val="24"/>
          <w:lang w:eastAsia="en-US"/>
        </w:rPr>
        <w:t>.</w:t>
      </w:r>
      <w:bookmarkStart w:id="0" w:name="_GoBack"/>
      <w:bookmarkEnd w:id="0"/>
    </w:p>
    <w:sectPr w:rsidR="00A74B0A" w:rsidRPr="00904655" w:rsidSect="005A460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8F8" w14:textId="77777777" w:rsidR="00070A22" w:rsidRDefault="00070A22">
      <w:r>
        <w:separator/>
      </w:r>
    </w:p>
  </w:endnote>
  <w:endnote w:type="continuationSeparator" w:id="0">
    <w:p w14:paraId="588F7F21" w14:textId="77777777" w:rsidR="00070A22" w:rsidRDefault="000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C0" w14:textId="77777777" w:rsidR="00070A22" w:rsidRDefault="0007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C0F" w14:textId="132B7AD4" w:rsidR="00070A22" w:rsidRDefault="00070A22">
    <w:pPr>
      <w:pStyle w:val="Footer"/>
      <w:jc w:val="center"/>
    </w:pPr>
    <w:r>
      <w:fldChar w:fldCharType="begin"/>
    </w:r>
    <w:r>
      <w:instrText xml:space="preserve"> PAGE   \* MERGEFORMAT </w:instrText>
    </w:r>
    <w:r>
      <w:fldChar w:fldCharType="separate"/>
    </w:r>
    <w:r w:rsidR="00904655">
      <w:rPr>
        <w:noProof/>
      </w:rPr>
      <w:t>3</w:t>
    </w:r>
    <w:r>
      <w:rPr>
        <w:noProof/>
      </w:rPr>
      <w:fldChar w:fldCharType="end"/>
    </w:r>
  </w:p>
  <w:p w14:paraId="6BE61C37" w14:textId="77777777" w:rsidR="00070A22" w:rsidRDefault="0007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572" w14:textId="77777777" w:rsidR="00070A22" w:rsidRDefault="0007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B3B" w14:textId="77777777" w:rsidR="00070A22" w:rsidRDefault="00070A22">
      <w:r>
        <w:separator/>
      </w:r>
    </w:p>
  </w:footnote>
  <w:footnote w:type="continuationSeparator" w:id="0">
    <w:p w14:paraId="428D3584" w14:textId="77777777" w:rsidR="00070A22" w:rsidRDefault="00070A22">
      <w:r>
        <w:continuationSeparator/>
      </w:r>
    </w:p>
  </w:footnote>
  <w:footnote w:id="1">
    <w:p w14:paraId="6B03042A" w14:textId="77777777" w:rsidR="00070A22" w:rsidRPr="004220CE" w:rsidRDefault="00070A22" w:rsidP="004220CE">
      <w:pPr>
        <w:pStyle w:val="FootnoteText"/>
        <w:spacing w:after="0"/>
        <w:rPr>
          <w:rFonts w:ascii="Times New Roman" w:hAnsi="Times New Roman"/>
        </w:rPr>
      </w:pPr>
      <w:r w:rsidRPr="004220CE">
        <w:rPr>
          <w:rStyle w:val="FootnoteReference"/>
          <w:rFonts w:ascii="Times New Roman" w:hAnsi="Times New Roman"/>
        </w:rPr>
        <w:footnoteRef/>
      </w:r>
      <w:r w:rsidRPr="004220CE">
        <w:rPr>
          <w:rFonts w:ascii="Times New Roman" w:hAnsi="Times New Roman"/>
        </w:rPr>
        <w:t xml:space="preserve"> </w:t>
      </w:r>
      <w:r w:rsidRPr="004220CE">
        <w:rPr>
          <w:rFonts w:ascii="Times New Roman" w:hAnsi="Times New Roman"/>
        </w:rPr>
        <w:tab/>
        <w:t xml:space="preserve">Judgment of the General Court of 4 April 2019 in case T-108/17, </w:t>
      </w:r>
      <w:r w:rsidRPr="004220CE">
        <w:rPr>
          <w:rFonts w:ascii="Times New Roman" w:hAnsi="Times New Roman"/>
          <w:i/>
        </w:rPr>
        <w:t>Client Earth</w:t>
      </w:r>
      <w:r w:rsidRPr="004220CE">
        <w:rPr>
          <w:rFonts w:ascii="Times New Roman" w:hAnsi="Times New Roman"/>
        </w:rPr>
        <w:t xml:space="preserve"> v </w:t>
      </w:r>
      <w:r w:rsidRPr="004220CE">
        <w:rPr>
          <w:rFonts w:ascii="Times New Roman" w:hAnsi="Times New Roman"/>
          <w:i/>
        </w:rPr>
        <w:t>European Commission</w:t>
      </w:r>
      <w:r w:rsidRPr="004220CE">
        <w:rPr>
          <w:rFonts w:ascii="Times New Roman" w:hAnsi="Times New Roman"/>
        </w:rPr>
        <w:t>, paragraphs 104 and 106</w:t>
      </w:r>
    </w:p>
  </w:footnote>
  <w:footnote w:id="2">
    <w:p w14:paraId="6DC3B4E5" w14:textId="77777777" w:rsidR="00070A22" w:rsidRPr="004220CE" w:rsidRDefault="00070A22" w:rsidP="004220CE">
      <w:pPr>
        <w:pStyle w:val="FootnoteText"/>
        <w:spacing w:after="0"/>
        <w:rPr>
          <w:rFonts w:ascii="Times New Roman" w:hAnsi="Times New Roman"/>
          <w:szCs w:val="24"/>
        </w:rPr>
      </w:pPr>
      <w:r w:rsidRPr="004220CE">
        <w:rPr>
          <w:rStyle w:val="FootnoteReference"/>
          <w:rFonts w:ascii="Times New Roman" w:hAnsi="Times New Roman"/>
        </w:rPr>
        <w:footnoteRef/>
      </w:r>
      <w:r w:rsidRPr="004220CE">
        <w:rPr>
          <w:rFonts w:ascii="Times New Roman" w:hAnsi="Times New Roman"/>
        </w:rPr>
        <w:t xml:space="preserve"> </w:t>
      </w:r>
      <w:r w:rsidRPr="004220CE">
        <w:rPr>
          <w:rFonts w:ascii="Times New Roman" w:hAnsi="Times New Roman"/>
        </w:rPr>
        <w:tab/>
        <w:t>Directive 2017/2398 of the European Parliament and of the Council of 17 December 2017, amending Directive 2004/37/EC on the protection of workers from the risks related to exposure to carcinogens or mutagens at work</w:t>
      </w:r>
    </w:p>
    <w:p w14:paraId="07FF95ED" w14:textId="1D5C70C5" w:rsidR="00070A22" w:rsidRPr="00607FEF" w:rsidRDefault="00070A22" w:rsidP="004220CE">
      <w:pPr>
        <w:pStyle w:val="FootnoteText"/>
        <w:spacing w:after="0"/>
        <w:ind w:firstLine="0"/>
        <w:rPr>
          <w:rFonts w:ascii="Times New Roman" w:hAnsi="Times New Roman"/>
        </w:rPr>
      </w:pPr>
      <w:r w:rsidRPr="004220CE">
        <w:rPr>
          <w:rFonts w:ascii="Times New Roman" w:hAnsi="Times New Roman"/>
          <w:szCs w:val="24"/>
        </w:rPr>
        <w:t>This value applies for a transitional period until 17 January 2025 except for some process-generated fumes. After that date, the binding occupational limit value for chromium (VI) will be reduced to 5 µg/m</w:t>
      </w:r>
      <w:r w:rsidRPr="004220CE">
        <w:rPr>
          <w:rFonts w:ascii="Times New Roman" w:hAnsi="Times New Roman"/>
          <w:szCs w:val="24"/>
          <w:vertAlign w:val="superscript"/>
        </w:rPr>
        <w:t xml:space="preserve">3 </w:t>
      </w:r>
      <w:r>
        <w:rPr>
          <w:rFonts w:ascii="Times New Roman" w:hAnsi="Times New Roman"/>
          <w:szCs w:val="24"/>
        </w:rPr>
        <w:t>for all uses and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D997" w14:textId="77777777" w:rsidR="00070A22" w:rsidRDefault="0007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A38E" w14:textId="77777777" w:rsidR="00070A22" w:rsidRDefault="0007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12A3" w14:textId="77777777" w:rsidR="00070A22" w:rsidRDefault="0007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4E61AF"/>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72961F7"/>
    <w:multiLevelType w:val="hybridMultilevel"/>
    <w:tmpl w:val="0826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2F76"/>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8"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CC251F"/>
    <w:multiLevelType w:val="hybridMultilevel"/>
    <w:tmpl w:val="86D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2D52E8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01383C"/>
    <w:multiLevelType w:val="hybridMultilevel"/>
    <w:tmpl w:val="F6F242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4"/>
  </w:num>
  <w:num w:numId="4">
    <w:abstractNumId w:val="12"/>
  </w:num>
  <w:num w:numId="5">
    <w:abstractNumId w:val="29"/>
  </w:num>
  <w:num w:numId="6">
    <w:abstractNumId w:val="10"/>
  </w:num>
  <w:num w:numId="7">
    <w:abstractNumId w:val="5"/>
  </w:num>
  <w:num w:numId="8">
    <w:abstractNumId w:val="15"/>
  </w:num>
  <w:num w:numId="9">
    <w:abstractNumId w:val="33"/>
  </w:num>
  <w:num w:numId="10">
    <w:abstractNumId w:val="24"/>
  </w:num>
  <w:num w:numId="11">
    <w:abstractNumId w:val="27"/>
  </w:num>
  <w:num w:numId="12">
    <w:abstractNumId w:val="11"/>
  </w:num>
  <w:num w:numId="13">
    <w:abstractNumId w:val="19"/>
  </w:num>
  <w:num w:numId="14">
    <w:abstractNumId w:val="31"/>
  </w:num>
  <w:num w:numId="15">
    <w:abstractNumId w:val="14"/>
  </w:num>
  <w:num w:numId="16">
    <w:abstractNumId w:val="37"/>
  </w:num>
  <w:num w:numId="17">
    <w:abstractNumId w:val="32"/>
  </w:num>
  <w:num w:numId="18">
    <w:abstractNumId w:val="22"/>
  </w:num>
  <w:num w:numId="19">
    <w:abstractNumId w:val="23"/>
  </w:num>
  <w:num w:numId="20">
    <w:abstractNumId w:val="28"/>
  </w:num>
  <w:num w:numId="21">
    <w:abstractNumId w:val="3"/>
  </w:num>
  <w:num w:numId="22">
    <w:abstractNumId w:val="4"/>
  </w:num>
  <w:num w:numId="23">
    <w:abstractNumId w:val="13"/>
  </w:num>
  <w:num w:numId="24">
    <w:abstractNumId w:val="35"/>
  </w:num>
  <w:num w:numId="25">
    <w:abstractNumId w:val="18"/>
  </w:num>
  <w:num w:numId="26">
    <w:abstractNumId w:val="26"/>
  </w:num>
  <w:num w:numId="27">
    <w:abstractNumId w:val="8"/>
  </w:num>
  <w:num w:numId="28">
    <w:abstractNumId w:val="21"/>
  </w:num>
  <w:num w:numId="29">
    <w:abstractNumId w:val="25"/>
  </w:num>
  <w:num w:numId="30">
    <w:abstractNumId w:val="2"/>
  </w:num>
  <w:num w:numId="31">
    <w:abstractNumId w:val="30"/>
  </w:num>
  <w:num w:numId="32">
    <w:abstractNumId w:val="36"/>
  </w:num>
  <w:num w:numId="33">
    <w:abstractNumId w:val="17"/>
  </w:num>
  <w:num w:numId="34">
    <w:abstractNumId w:val="9"/>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nl-BE" w:vendorID="64" w:dllVersion="131078" w:nlCheck="1" w:checkStyle="0"/>
  <w:activeWritingStyle w:appName="MSWord" w:lang="it-IT" w:vendorID="64" w:dllVersion="131078" w:nlCheck="1" w:checkStyle="0"/>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3585"/>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0"/>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A30"/>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2C"/>
    <w:rsid w:val="000367BD"/>
    <w:rsid w:val="00037004"/>
    <w:rsid w:val="00037224"/>
    <w:rsid w:val="0003729B"/>
    <w:rsid w:val="000372EF"/>
    <w:rsid w:val="0003737B"/>
    <w:rsid w:val="0003745C"/>
    <w:rsid w:val="0003758E"/>
    <w:rsid w:val="000375BA"/>
    <w:rsid w:val="00037990"/>
    <w:rsid w:val="00040060"/>
    <w:rsid w:val="0004011B"/>
    <w:rsid w:val="00040281"/>
    <w:rsid w:val="00040782"/>
    <w:rsid w:val="00040A13"/>
    <w:rsid w:val="00040C7A"/>
    <w:rsid w:val="00040E6E"/>
    <w:rsid w:val="0004105D"/>
    <w:rsid w:val="0004146E"/>
    <w:rsid w:val="000414BC"/>
    <w:rsid w:val="000414C7"/>
    <w:rsid w:val="0004189C"/>
    <w:rsid w:val="0004193F"/>
    <w:rsid w:val="0004195A"/>
    <w:rsid w:val="00041A63"/>
    <w:rsid w:val="00041A87"/>
    <w:rsid w:val="00041DA3"/>
    <w:rsid w:val="00041E47"/>
    <w:rsid w:val="00041F1F"/>
    <w:rsid w:val="00041FBD"/>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2F4A"/>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2E1"/>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0A22"/>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AD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AE5"/>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DFE"/>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B77"/>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766"/>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A5F"/>
    <w:rsid w:val="000A1BDC"/>
    <w:rsid w:val="000A1CD5"/>
    <w:rsid w:val="000A1E0A"/>
    <w:rsid w:val="000A1E8A"/>
    <w:rsid w:val="000A227F"/>
    <w:rsid w:val="000A22C0"/>
    <w:rsid w:val="000A2388"/>
    <w:rsid w:val="000A2AC3"/>
    <w:rsid w:val="000A2CC6"/>
    <w:rsid w:val="000A2F70"/>
    <w:rsid w:val="000A30BD"/>
    <w:rsid w:val="000A3320"/>
    <w:rsid w:val="000A3563"/>
    <w:rsid w:val="000A3935"/>
    <w:rsid w:val="000A3E2D"/>
    <w:rsid w:val="000A42D0"/>
    <w:rsid w:val="000A44D4"/>
    <w:rsid w:val="000A4524"/>
    <w:rsid w:val="000A4554"/>
    <w:rsid w:val="000A4A38"/>
    <w:rsid w:val="000A4B74"/>
    <w:rsid w:val="000A5003"/>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340"/>
    <w:rsid w:val="000B0467"/>
    <w:rsid w:val="000B055C"/>
    <w:rsid w:val="000B09D0"/>
    <w:rsid w:val="000B0F74"/>
    <w:rsid w:val="000B10E8"/>
    <w:rsid w:val="000B1471"/>
    <w:rsid w:val="000B16FC"/>
    <w:rsid w:val="000B1845"/>
    <w:rsid w:val="000B1B92"/>
    <w:rsid w:val="000B1CA5"/>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29"/>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384"/>
    <w:rsid w:val="000D1461"/>
    <w:rsid w:val="000D16B1"/>
    <w:rsid w:val="000D1C63"/>
    <w:rsid w:val="000D20A1"/>
    <w:rsid w:val="000D23AF"/>
    <w:rsid w:val="000D23CE"/>
    <w:rsid w:val="000D23DD"/>
    <w:rsid w:val="000D24D9"/>
    <w:rsid w:val="000D25EF"/>
    <w:rsid w:val="000D2718"/>
    <w:rsid w:val="000D280C"/>
    <w:rsid w:val="000D333F"/>
    <w:rsid w:val="000D34BD"/>
    <w:rsid w:val="000D3537"/>
    <w:rsid w:val="000D366F"/>
    <w:rsid w:val="000D37F7"/>
    <w:rsid w:val="000D3850"/>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100"/>
    <w:rsid w:val="000D73E2"/>
    <w:rsid w:val="000D744E"/>
    <w:rsid w:val="000D7527"/>
    <w:rsid w:val="000D7721"/>
    <w:rsid w:val="000D7802"/>
    <w:rsid w:val="000D7806"/>
    <w:rsid w:val="000D7836"/>
    <w:rsid w:val="000D78E9"/>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1D1D"/>
    <w:rsid w:val="000F24AC"/>
    <w:rsid w:val="000F2713"/>
    <w:rsid w:val="000F2E1A"/>
    <w:rsid w:val="000F343E"/>
    <w:rsid w:val="000F3948"/>
    <w:rsid w:val="000F39AA"/>
    <w:rsid w:val="000F3B1E"/>
    <w:rsid w:val="000F3C15"/>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36F"/>
    <w:rsid w:val="00101519"/>
    <w:rsid w:val="00101721"/>
    <w:rsid w:val="0010195B"/>
    <w:rsid w:val="00101B5C"/>
    <w:rsid w:val="00101BA0"/>
    <w:rsid w:val="00101DA2"/>
    <w:rsid w:val="00101E67"/>
    <w:rsid w:val="00101ED4"/>
    <w:rsid w:val="001020E1"/>
    <w:rsid w:val="001021D2"/>
    <w:rsid w:val="00102211"/>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07E"/>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4A2"/>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405"/>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A8F"/>
    <w:rsid w:val="00131B2B"/>
    <w:rsid w:val="00131B4D"/>
    <w:rsid w:val="00131BB3"/>
    <w:rsid w:val="001320D2"/>
    <w:rsid w:val="001322C9"/>
    <w:rsid w:val="001323E0"/>
    <w:rsid w:val="00132432"/>
    <w:rsid w:val="0013245F"/>
    <w:rsid w:val="00132665"/>
    <w:rsid w:val="001327A2"/>
    <w:rsid w:val="001329C9"/>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4AF"/>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47EBC"/>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3A"/>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3AE"/>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0E5E"/>
    <w:rsid w:val="00171357"/>
    <w:rsid w:val="001713BE"/>
    <w:rsid w:val="001716AB"/>
    <w:rsid w:val="00171872"/>
    <w:rsid w:val="001718D9"/>
    <w:rsid w:val="001719EA"/>
    <w:rsid w:val="00171CA8"/>
    <w:rsid w:val="0017264A"/>
    <w:rsid w:val="00172BD7"/>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5D9B"/>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1E2"/>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2E9"/>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693"/>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268"/>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20C"/>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921"/>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740"/>
    <w:rsid w:val="001B4D25"/>
    <w:rsid w:val="001B4D98"/>
    <w:rsid w:val="001B5070"/>
    <w:rsid w:val="001B51CB"/>
    <w:rsid w:val="001B533B"/>
    <w:rsid w:val="001B53DF"/>
    <w:rsid w:val="001B54BE"/>
    <w:rsid w:val="001B572C"/>
    <w:rsid w:val="001B57D4"/>
    <w:rsid w:val="001B5AC3"/>
    <w:rsid w:val="001B627A"/>
    <w:rsid w:val="001B6448"/>
    <w:rsid w:val="001B646C"/>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7F3"/>
    <w:rsid w:val="001C4833"/>
    <w:rsid w:val="001C48DA"/>
    <w:rsid w:val="001C48EF"/>
    <w:rsid w:val="001C4A99"/>
    <w:rsid w:val="001C528B"/>
    <w:rsid w:val="001C580F"/>
    <w:rsid w:val="001C58C0"/>
    <w:rsid w:val="001C5C8A"/>
    <w:rsid w:val="001C6197"/>
    <w:rsid w:val="001C680C"/>
    <w:rsid w:val="001C68EB"/>
    <w:rsid w:val="001C6B35"/>
    <w:rsid w:val="001C6C12"/>
    <w:rsid w:val="001C6E36"/>
    <w:rsid w:val="001C6ECF"/>
    <w:rsid w:val="001C7433"/>
    <w:rsid w:val="001C763F"/>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ACF"/>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2EC"/>
    <w:rsid w:val="001E2351"/>
    <w:rsid w:val="001E2525"/>
    <w:rsid w:val="001E2729"/>
    <w:rsid w:val="001E2862"/>
    <w:rsid w:val="001E295A"/>
    <w:rsid w:val="001E2A37"/>
    <w:rsid w:val="001E2C18"/>
    <w:rsid w:val="001E2FD8"/>
    <w:rsid w:val="001E315F"/>
    <w:rsid w:val="001E352F"/>
    <w:rsid w:val="001E3584"/>
    <w:rsid w:val="001E35BF"/>
    <w:rsid w:val="001E35F5"/>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435"/>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1F7E3B"/>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92F"/>
    <w:rsid w:val="00227EA3"/>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70E"/>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054"/>
    <w:rsid w:val="0025015C"/>
    <w:rsid w:val="002501C7"/>
    <w:rsid w:val="002504F4"/>
    <w:rsid w:val="0025093D"/>
    <w:rsid w:val="002509CE"/>
    <w:rsid w:val="002509FE"/>
    <w:rsid w:val="00250A36"/>
    <w:rsid w:val="00250E62"/>
    <w:rsid w:val="002512AA"/>
    <w:rsid w:val="00251401"/>
    <w:rsid w:val="0025168C"/>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5FB3"/>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1D8"/>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3B"/>
    <w:rsid w:val="0027352C"/>
    <w:rsid w:val="00273A74"/>
    <w:rsid w:val="00273A98"/>
    <w:rsid w:val="00273C44"/>
    <w:rsid w:val="00273F7F"/>
    <w:rsid w:val="00274104"/>
    <w:rsid w:val="002742B1"/>
    <w:rsid w:val="00274C62"/>
    <w:rsid w:val="00274E39"/>
    <w:rsid w:val="00274E49"/>
    <w:rsid w:val="00275026"/>
    <w:rsid w:val="0027504D"/>
    <w:rsid w:val="002750EB"/>
    <w:rsid w:val="0027528D"/>
    <w:rsid w:val="00275370"/>
    <w:rsid w:val="002754F0"/>
    <w:rsid w:val="002756D4"/>
    <w:rsid w:val="002758C2"/>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DA0"/>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9B7"/>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4F32"/>
    <w:rsid w:val="002B5080"/>
    <w:rsid w:val="002B534A"/>
    <w:rsid w:val="002B558F"/>
    <w:rsid w:val="002B569C"/>
    <w:rsid w:val="002B5727"/>
    <w:rsid w:val="002B5875"/>
    <w:rsid w:val="002B606D"/>
    <w:rsid w:val="002B60CB"/>
    <w:rsid w:val="002B627D"/>
    <w:rsid w:val="002B649E"/>
    <w:rsid w:val="002B64A3"/>
    <w:rsid w:val="002B65C7"/>
    <w:rsid w:val="002B6882"/>
    <w:rsid w:val="002B6B4F"/>
    <w:rsid w:val="002B6C64"/>
    <w:rsid w:val="002B6CC5"/>
    <w:rsid w:val="002B6CFB"/>
    <w:rsid w:val="002B6D3A"/>
    <w:rsid w:val="002B6E97"/>
    <w:rsid w:val="002B7A7C"/>
    <w:rsid w:val="002B7AD5"/>
    <w:rsid w:val="002B7BAF"/>
    <w:rsid w:val="002B7BEB"/>
    <w:rsid w:val="002B7CCD"/>
    <w:rsid w:val="002C0046"/>
    <w:rsid w:val="002C00E0"/>
    <w:rsid w:val="002C05F0"/>
    <w:rsid w:val="002C0661"/>
    <w:rsid w:val="002C085E"/>
    <w:rsid w:val="002C089B"/>
    <w:rsid w:val="002C093A"/>
    <w:rsid w:val="002C09FB"/>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1EB"/>
    <w:rsid w:val="002C33B4"/>
    <w:rsid w:val="002C33B8"/>
    <w:rsid w:val="002C3623"/>
    <w:rsid w:val="002C3AE6"/>
    <w:rsid w:val="002C3C14"/>
    <w:rsid w:val="002C3CD0"/>
    <w:rsid w:val="002C3D96"/>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752"/>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3D7"/>
    <w:rsid w:val="002E090F"/>
    <w:rsid w:val="002E0967"/>
    <w:rsid w:val="002E09CD"/>
    <w:rsid w:val="002E0CBB"/>
    <w:rsid w:val="002E0CDE"/>
    <w:rsid w:val="002E0F16"/>
    <w:rsid w:val="002E0FA2"/>
    <w:rsid w:val="002E13A0"/>
    <w:rsid w:val="002E185A"/>
    <w:rsid w:val="002E1C42"/>
    <w:rsid w:val="002E1E26"/>
    <w:rsid w:val="002E225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048"/>
    <w:rsid w:val="002F1207"/>
    <w:rsid w:val="002F121B"/>
    <w:rsid w:val="002F1306"/>
    <w:rsid w:val="002F13EB"/>
    <w:rsid w:val="002F140F"/>
    <w:rsid w:val="002F1561"/>
    <w:rsid w:val="002F182E"/>
    <w:rsid w:val="002F1B67"/>
    <w:rsid w:val="002F1CE3"/>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2E3"/>
    <w:rsid w:val="002F538A"/>
    <w:rsid w:val="002F56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774"/>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EC7"/>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73F"/>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50E"/>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5E"/>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18A"/>
    <w:rsid w:val="003256EC"/>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239"/>
    <w:rsid w:val="0033532E"/>
    <w:rsid w:val="00335873"/>
    <w:rsid w:val="00335BDA"/>
    <w:rsid w:val="00335CE3"/>
    <w:rsid w:val="00335E9E"/>
    <w:rsid w:val="00336146"/>
    <w:rsid w:val="003361D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5F2"/>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305"/>
    <w:rsid w:val="0035152F"/>
    <w:rsid w:val="00351630"/>
    <w:rsid w:val="003517C4"/>
    <w:rsid w:val="00351C0B"/>
    <w:rsid w:val="00351FC7"/>
    <w:rsid w:val="003520DC"/>
    <w:rsid w:val="00352337"/>
    <w:rsid w:val="003524DB"/>
    <w:rsid w:val="00352522"/>
    <w:rsid w:val="003525B9"/>
    <w:rsid w:val="0035269D"/>
    <w:rsid w:val="003526C0"/>
    <w:rsid w:val="003528A2"/>
    <w:rsid w:val="0035296F"/>
    <w:rsid w:val="00352E69"/>
    <w:rsid w:val="00352EE8"/>
    <w:rsid w:val="00352EF6"/>
    <w:rsid w:val="003530CF"/>
    <w:rsid w:val="003530D4"/>
    <w:rsid w:val="00353333"/>
    <w:rsid w:val="00353907"/>
    <w:rsid w:val="00353C8B"/>
    <w:rsid w:val="00353C91"/>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9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47"/>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5E61"/>
    <w:rsid w:val="003860B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78C"/>
    <w:rsid w:val="00387AA7"/>
    <w:rsid w:val="00387F13"/>
    <w:rsid w:val="00387FA6"/>
    <w:rsid w:val="00390051"/>
    <w:rsid w:val="003902B6"/>
    <w:rsid w:val="003903E6"/>
    <w:rsid w:val="00390758"/>
    <w:rsid w:val="00390801"/>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1BEA"/>
    <w:rsid w:val="003A21D7"/>
    <w:rsid w:val="003A24F9"/>
    <w:rsid w:val="003A25B0"/>
    <w:rsid w:val="003A270F"/>
    <w:rsid w:val="003A2A19"/>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2B"/>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11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9E8"/>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446"/>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09"/>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C0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778"/>
    <w:rsid w:val="003F3919"/>
    <w:rsid w:val="003F3982"/>
    <w:rsid w:val="003F39F1"/>
    <w:rsid w:val="003F3B54"/>
    <w:rsid w:val="003F3B8F"/>
    <w:rsid w:val="003F3CE3"/>
    <w:rsid w:val="003F4040"/>
    <w:rsid w:val="003F416F"/>
    <w:rsid w:val="003F41F2"/>
    <w:rsid w:val="003F42CD"/>
    <w:rsid w:val="003F441C"/>
    <w:rsid w:val="003F443F"/>
    <w:rsid w:val="003F44C8"/>
    <w:rsid w:val="003F45EB"/>
    <w:rsid w:val="003F46B8"/>
    <w:rsid w:val="003F4D21"/>
    <w:rsid w:val="003F4DA7"/>
    <w:rsid w:val="003F532C"/>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845"/>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C5A"/>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65"/>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73A"/>
    <w:rsid w:val="00417B31"/>
    <w:rsid w:val="0042018B"/>
    <w:rsid w:val="004203E3"/>
    <w:rsid w:val="0042055A"/>
    <w:rsid w:val="00420A93"/>
    <w:rsid w:val="00420BD0"/>
    <w:rsid w:val="00420CB0"/>
    <w:rsid w:val="00420F40"/>
    <w:rsid w:val="0042114F"/>
    <w:rsid w:val="0042162D"/>
    <w:rsid w:val="00421840"/>
    <w:rsid w:val="00421975"/>
    <w:rsid w:val="00421BB3"/>
    <w:rsid w:val="00421CFD"/>
    <w:rsid w:val="00421F35"/>
    <w:rsid w:val="0042208B"/>
    <w:rsid w:val="004220CE"/>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6B4B"/>
    <w:rsid w:val="00427696"/>
    <w:rsid w:val="00427865"/>
    <w:rsid w:val="00427876"/>
    <w:rsid w:val="004278E6"/>
    <w:rsid w:val="00430012"/>
    <w:rsid w:val="00430175"/>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4FA9"/>
    <w:rsid w:val="00435099"/>
    <w:rsid w:val="004350A2"/>
    <w:rsid w:val="00435101"/>
    <w:rsid w:val="004351AE"/>
    <w:rsid w:val="00435632"/>
    <w:rsid w:val="00435734"/>
    <w:rsid w:val="0043584E"/>
    <w:rsid w:val="004358C5"/>
    <w:rsid w:val="0043594B"/>
    <w:rsid w:val="004359C5"/>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D74"/>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850"/>
    <w:rsid w:val="00443ADC"/>
    <w:rsid w:val="004443AF"/>
    <w:rsid w:val="004444BD"/>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19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2FE8"/>
    <w:rsid w:val="00453037"/>
    <w:rsid w:val="00453106"/>
    <w:rsid w:val="00453314"/>
    <w:rsid w:val="0045334B"/>
    <w:rsid w:val="00453414"/>
    <w:rsid w:val="00453476"/>
    <w:rsid w:val="004536AC"/>
    <w:rsid w:val="004538DA"/>
    <w:rsid w:val="00453A19"/>
    <w:rsid w:val="00453B55"/>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476"/>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7DA"/>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EEF"/>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0A8"/>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3E9E"/>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4D2F"/>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D8B"/>
    <w:rsid w:val="004B203E"/>
    <w:rsid w:val="004B20F7"/>
    <w:rsid w:val="004B2344"/>
    <w:rsid w:val="004B277F"/>
    <w:rsid w:val="004B28A2"/>
    <w:rsid w:val="004B2BFD"/>
    <w:rsid w:val="004B33B9"/>
    <w:rsid w:val="004B340E"/>
    <w:rsid w:val="004B3420"/>
    <w:rsid w:val="004B37E4"/>
    <w:rsid w:val="004B399F"/>
    <w:rsid w:val="004B39D5"/>
    <w:rsid w:val="004B39F4"/>
    <w:rsid w:val="004B42FD"/>
    <w:rsid w:val="004B438E"/>
    <w:rsid w:val="004B440A"/>
    <w:rsid w:val="004B4442"/>
    <w:rsid w:val="004B496B"/>
    <w:rsid w:val="004B4A44"/>
    <w:rsid w:val="004B4BEA"/>
    <w:rsid w:val="004B50E8"/>
    <w:rsid w:val="004B5595"/>
    <w:rsid w:val="004B55C8"/>
    <w:rsid w:val="004B5888"/>
    <w:rsid w:val="004B5CC1"/>
    <w:rsid w:val="004B5DB8"/>
    <w:rsid w:val="004B5F0D"/>
    <w:rsid w:val="004B5F91"/>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C7D"/>
    <w:rsid w:val="004C7E72"/>
    <w:rsid w:val="004C7F3E"/>
    <w:rsid w:val="004D0552"/>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71"/>
    <w:rsid w:val="004D35C6"/>
    <w:rsid w:val="004D378E"/>
    <w:rsid w:val="004D3797"/>
    <w:rsid w:val="004D39CE"/>
    <w:rsid w:val="004D3A2C"/>
    <w:rsid w:val="004D3B94"/>
    <w:rsid w:val="004D3BF7"/>
    <w:rsid w:val="004D3FDF"/>
    <w:rsid w:val="004D4312"/>
    <w:rsid w:val="004D4544"/>
    <w:rsid w:val="004D4647"/>
    <w:rsid w:val="004D4C47"/>
    <w:rsid w:val="004D4DD9"/>
    <w:rsid w:val="004D5477"/>
    <w:rsid w:val="004D5745"/>
    <w:rsid w:val="004D5CD9"/>
    <w:rsid w:val="004D5CDC"/>
    <w:rsid w:val="004D5DF8"/>
    <w:rsid w:val="004D5E82"/>
    <w:rsid w:val="004D5F42"/>
    <w:rsid w:val="004D602D"/>
    <w:rsid w:val="004D6230"/>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840"/>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0B"/>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4DE"/>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A55"/>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1CA"/>
    <w:rsid w:val="00516265"/>
    <w:rsid w:val="005164B3"/>
    <w:rsid w:val="00516CDA"/>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D8"/>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AA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3C2"/>
    <w:rsid w:val="00534644"/>
    <w:rsid w:val="00534757"/>
    <w:rsid w:val="00535205"/>
    <w:rsid w:val="00535232"/>
    <w:rsid w:val="00535388"/>
    <w:rsid w:val="005358B3"/>
    <w:rsid w:val="00535B25"/>
    <w:rsid w:val="00535C32"/>
    <w:rsid w:val="00536069"/>
    <w:rsid w:val="0053618D"/>
    <w:rsid w:val="0053639C"/>
    <w:rsid w:val="005363D7"/>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0E"/>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A28"/>
    <w:rsid w:val="00550BFF"/>
    <w:rsid w:val="00550CF4"/>
    <w:rsid w:val="00550DB7"/>
    <w:rsid w:val="00550F07"/>
    <w:rsid w:val="00550FC4"/>
    <w:rsid w:val="00551288"/>
    <w:rsid w:val="005513E0"/>
    <w:rsid w:val="005514EE"/>
    <w:rsid w:val="005516B2"/>
    <w:rsid w:val="0055194B"/>
    <w:rsid w:val="00551A60"/>
    <w:rsid w:val="00551B63"/>
    <w:rsid w:val="00551E72"/>
    <w:rsid w:val="00551FED"/>
    <w:rsid w:val="005520B4"/>
    <w:rsid w:val="00552C21"/>
    <w:rsid w:val="00552DB9"/>
    <w:rsid w:val="00552E5E"/>
    <w:rsid w:val="00553081"/>
    <w:rsid w:val="005535AA"/>
    <w:rsid w:val="005535C2"/>
    <w:rsid w:val="0055362B"/>
    <w:rsid w:val="005536A7"/>
    <w:rsid w:val="005537A2"/>
    <w:rsid w:val="00553DAD"/>
    <w:rsid w:val="005544B6"/>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CF"/>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152"/>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33B"/>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0F49"/>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0E"/>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A7D4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AB"/>
    <w:rsid w:val="005B25EC"/>
    <w:rsid w:val="005B2820"/>
    <w:rsid w:val="005B2CBF"/>
    <w:rsid w:val="005B31C8"/>
    <w:rsid w:val="005B3204"/>
    <w:rsid w:val="005B32A0"/>
    <w:rsid w:val="005B363A"/>
    <w:rsid w:val="005B466D"/>
    <w:rsid w:val="005B47D4"/>
    <w:rsid w:val="005B4BB9"/>
    <w:rsid w:val="005B4C60"/>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F1B"/>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367"/>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7DA"/>
    <w:rsid w:val="005D5866"/>
    <w:rsid w:val="005D587D"/>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0F3A"/>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007"/>
    <w:rsid w:val="00600115"/>
    <w:rsid w:val="0060026E"/>
    <w:rsid w:val="00600389"/>
    <w:rsid w:val="0060043C"/>
    <w:rsid w:val="00600815"/>
    <w:rsid w:val="006009AC"/>
    <w:rsid w:val="006009F3"/>
    <w:rsid w:val="00600E99"/>
    <w:rsid w:val="0060119C"/>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2EF"/>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5E"/>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91"/>
    <w:rsid w:val="00611BAB"/>
    <w:rsid w:val="00611CF8"/>
    <w:rsid w:val="00611E6A"/>
    <w:rsid w:val="00611EAE"/>
    <w:rsid w:val="00612031"/>
    <w:rsid w:val="006120DC"/>
    <w:rsid w:val="0061213B"/>
    <w:rsid w:val="006122F0"/>
    <w:rsid w:val="006124F6"/>
    <w:rsid w:val="0061286F"/>
    <w:rsid w:val="006128F4"/>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6B0"/>
    <w:rsid w:val="00616B95"/>
    <w:rsid w:val="00617344"/>
    <w:rsid w:val="00617401"/>
    <w:rsid w:val="0061750A"/>
    <w:rsid w:val="006176D6"/>
    <w:rsid w:val="00617784"/>
    <w:rsid w:val="00617C86"/>
    <w:rsid w:val="00617D2D"/>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34"/>
    <w:rsid w:val="00625C6D"/>
    <w:rsid w:val="00625F42"/>
    <w:rsid w:val="00626004"/>
    <w:rsid w:val="006262F3"/>
    <w:rsid w:val="006264E6"/>
    <w:rsid w:val="0062692D"/>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9A8"/>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17"/>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87D"/>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7EF"/>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466"/>
    <w:rsid w:val="00677523"/>
    <w:rsid w:val="00677604"/>
    <w:rsid w:val="00677861"/>
    <w:rsid w:val="0067794D"/>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27D"/>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6F"/>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31C"/>
    <w:rsid w:val="006C74DD"/>
    <w:rsid w:val="006C78A9"/>
    <w:rsid w:val="006C79A8"/>
    <w:rsid w:val="006C7AE2"/>
    <w:rsid w:val="006C7CB0"/>
    <w:rsid w:val="006C7CC7"/>
    <w:rsid w:val="006D077B"/>
    <w:rsid w:val="006D096B"/>
    <w:rsid w:val="006D0974"/>
    <w:rsid w:val="006D09D2"/>
    <w:rsid w:val="006D0A72"/>
    <w:rsid w:val="006D0C8A"/>
    <w:rsid w:val="006D0D92"/>
    <w:rsid w:val="006D1180"/>
    <w:rsid w:val="006D121E"/>
    <w:rsid w:val="006D13F9"/>
    <w:rsid w:val="006D176E"/>
    <w:rsid w:val="006D1BD4"/>
    <w:rsid w:val="006D1C17"/>
    <w:rsid w:val="006D1EE5"/>
    <w:rsid w:val="006D2145"/>
    <w:rsid w:val="006D2D25"/>
    <w:rsid w:val="006D2ED4"/>
    <w:rsid w:val="006D2FF8"/>
    <w:rsid w:val="006D302A"/>
    <w:rsid w:val="006D30AA"/>
    <w:rsid w:val="006D30B2"/>
    <w:rsid w:val="006D35FD"/>
    <w:rsid w:val="006D3811"/>
    <w:rsid w:val="006D3872"/>
    <w:rsid w:val="006D3F34"/>
    <w:rsid w:val="006D40DC"/>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0A3"/>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0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37E"/>
    <w:rsid w:val="006F6502"/>
    <w:rsid w:val="006F6847"/>
    <w:rsid w:val="006F69F4"/>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B59"/>
    <w:rsid w:val="00703EFD"/>
    <w:rsid w:val="00703F9F"/>
    <w:rsid w:val="007040E6"/>
    <w:rsid w:val="007044BB"/>
    <w:rsid w:val="00704F73"/>
    <w:rsid w:val="00705306"/>
    <w:rsid w:val="007053A6"/>
    <w:rsid w:val="007054E5"/>
    <w:rsid w:val="00705812"/>
    <w:rsid w:val="00706076"/>
    <w:rsid w:val="007060FC"/>
    <w:rsid w:val="007062B1"/>
    <w:rsid w:val="00706317"/>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586"/>
    <w:rsid w:val="00711AB9"/>
    <w:rsid w:val="00711E02"/>
    <w:rsid w:val="00712216"/>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2A2"/>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C65"/>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708"/>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0BD"/>
    <w:rsid w:val="00742242"/>
    <w:rsid w:val="00742245"/>
    <w:rsid w:val="007422D9"/>
    <w:rsid w:val="007423BB"/>
    <w:rsid w:val="00742666"/>
    <w:rsid w:val="00742862"/>
    <w:rsid w:val="00742B32"/>
    <w:rsid w:val="00743169"/>
    <w:rsid w:val="0074325A"/>
    <w:rsid w:val="00743287"/>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30"/>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7C1"/>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5B"/>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BAC"/>
    <w:rsid w:val="00766F38"/>
    <w:rsid w:val="00767400"/>
    <w:rsid w:val="007675D8"/>
    <w:rsid w:val="0076768E"/>
    <w:rsid w:val="007676E5"/>
    <w:rsid w:val="00767700"/>
    <w:rsid w:val="0076771A"/>
    <w:rsid w:val="00767BA5"/>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3EB"/>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810"/>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37F"/>
    <w:rsid w:val="007954DA"/>
    <w:rsid w:val="007955E3"/>
    <w:rsid w:val="007959A9"/>
    <w:rsid w:val="007959D7"/>
    <w:rsid w:val="00795AC3"/>
    <w:rsid w:val="00795AD3"/>
    <w:rsid w:val="00795AFA"/>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AD"/>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6F93"/>
    <w:rsid w:val="007A71D7"/>
    <w:rsid w:val="007A7356"/>
    <w:rsid w:val="007A7600"/>
    <w:rsid w:val="007A7960"/>
    <w:rsid w:val="007B0002"/>
    <w:rsid w:val="007B017D"/>
    <w:rsid w:val="007B01AF"/>
    <w:rsid w:val="007B05C1"/>
    <w:rsid w:val="007B075C"/>
    <w:rsid w:val="007B083D"/>
    <w:rsid w:val="007B09B4"/>
    <w:rsid w:val="007B09D1"/>
    <w:rsid w:val="007B1265"/>
    <w:rsid w:val="007B142D"/>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EFC"/>
    <w:rsid w:val="007C0F4F"/>
    <w:rsid w:val="007C1743"/>
    <w:rsid w:val="007C1AA2"/>
    <w:rsid w:val="007C1F3A"/>
    <w:rsid w:val="007C1F47"/>
    <w:rsid w:val="007C2114"/>
    <w:rsid w:val="007C231D"/>
    <w:rsid w:val="007C23AE"/>
    <w:rsid w:val="007C261E"/>
    <w:rsid w:val="007C2806"/>
    <w:rsid w:val="007C2AEF"/>
    <w:rsid w:val="007C2DEB"/>
    <w:rsid w:val="007C3053"/>
    <w:rsid w:val="007C3192"/>
    <w:rsid w:val="007C34BA"/>
    <w:rsid w:val="007C3946"/>
    <w:rsid w:val="007C3A53"/>
    <w:rsid w:val="007C3A83"/>
    <w:rsid w:val="007C3B55"/>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7E0"/>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0"/>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CC"/>
    <w:rsid w:val="007F38D3"/>
    <w:rsid w:val="007F3C73"/>
    <w:rsid w:val="007F3E5D"/>
    <w:rsid w:val="007F41C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DF7"/>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0DF3"/>
    <w:rsid w:val="008111F2"/>
    <w:rsid w:val="008112E1"/>
    <w:rsid w:val="0081147E"/>
    <w:rsid w:val="00812128"/>
    <w:rsid w:val="00812176"/>
    <w:rsid w:val="0081230A"/>
    <w:rsid w:val="008126B9"/>
    <w:rsid w:val="008129B2"/>
    <w:rsid w:val="00812AF2"/>
    <w:rsid w:val="00812CDD"/>
    <w:rsid w:val="00812D5C"/>
    <w:rsid w:val="00812E06"/>
    <w:rsid w:val="00812F34"/>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0AF"/>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5E0"/>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657"/>
    <w:rsid w:val="00840853"/>
    <w:rsid w:val="0084097C"/>
    <w:rsid w:val="00840AAC"/>
    <w:rsid w:val="00840B80"/>
    <w:rsid w:val="00841076"/>
    <w:rsid w:val="008412F5"/>
    <w:rsid w:val="008414DC"/>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6C80"/>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38"/>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7A6"/>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473"/>
    <w:rsid w:val="00873530"/>
    <w:rsid w:val="008735DD"/>
    <w:rsid w:val="008737CC"/>
    <w:rsid w:val="00873986"/>
    <w:rsid w:val="00873CDB"/>
    <w:rsid w:val="00873E43"/>
    <w:rsid w:val="00873EBB"/>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C38"/>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0C5"/>
    <w:rsid w:val="008872C2"/>
    <w:rsid w:val="008872C6"/>
    <w:rsid w:val="00887B8D"/>
    <w:rsid w:val="00887CAB"/>
    <w:rsid w:val="0089021A"/>
    <w:rsid w:val="008902C1"/>
    <w:rsid w:val="00890481"/>
    <w:rsid w:val="00890B56"/>
    <w:rsid w:val="00890BC3"/>
    <w:rsid w:val="00890ED1"/>
    <w:rsid w:val="00891182"/>
    <w:rsid w:val="008911CD"/>
    <w:rsid w:val="00891206"/>
    <w:rsid w:val="0089155E"/>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972"/>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D72"/>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1A4"/>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57F"/>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1DC6"/>
    <w:rsid w:val="008D204F"/>
    <w:rsid w:val="008D20E2"/>
    <w:rsid w:val="008D2521"/>
    <w:rsid w:val="008D2C41"/>
    <w:rsid w:val="008D3301"/>
    <w:rsid w:val="008D3347"/>
    <w:rsid w:val="008D33EB"/>
    <w:rsid w:val="008D37EA"/>
    <w:rsid w:val="008D394B"/>
    <w:rsid w:val="008D3AC8"/>
    <w:rsid w:val="008D3D38"/>
    <w:rsid w:val="008D4528"/>
    <w:rsid w:val="008D48E9"/>
    <w:rsid w:val="008D4E81"/>
    <w:rsid w:val="008D4F44"/>
    <w:rsid w:val="008D5053"/>
    <w:rsid w:val="008D50A2"/>
    <w:rsid w:val="008D51EC"/>
    <w:rsid w:val="008D5326"/>
    <w:rsid w:val="008D53DC"/>
    <w:rsid w:val="008D5517"/>
    <w:rsid w:val="008D5530"/>
    <w:rsid w:val="008D582A"/>
    <w:rsid w:val="008D5960"/>
    <w:rsid w:val="008D5A82"/>
    <w:rsid w:val="008D5C2B"/>
    <w:rsid w:val="008D5D9D"/>
    <w:rsid w:val="008D6132"/>
    <w:rsid w:val="008D6163"/>
    <w:rsid w:val="008D64A0"/>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8AE"/>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6FB"/>
    <w:rsid w:val="008E7B49"/>
    <w:rsid w:val="008E7B51"/>
    <w:rsid w:val="008E7CC6"/>
    <w:rsid w:val="008F0202"/>
    <w:rsid w:val="008F03B6"/>
    <w:rsid w:val="008F054C"/>
    <w:rsid w:val="008F0C62"/>
    <w:rsid w:val="008F0CB4"/>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5AF"/>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55"/>
    <w:rsid w:val="009046B5"/>
    <w:rsid w:val="00904957"/>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08D"/>
    <w:rsid w:val="00910214"/>
    <w:rsid w:val="00910259"/>
    <w:rsid w:val="00910422"/>
    <w:rsid w:val="00910455"/>
    <w:rsid w:val="00910531"/>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1FA"/>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E2"/>
    <w:rsid w:val="00944E0B"/>
    <w:rsid w:val="00944E96"/>
    <w:rsid w:val="009451C8"/>
    <w:rsid w:val="0094538B"/>
    <w:rsid w:val="009455B1"/>
    <w:rsid w:val="00945742"/>
    <w:rsid w:val="00945824"/>
    <w:rsid w:val="00945988"/>
    <w:rsid w:val="00945A6B"/>
    <w:rsid w:val="00945D77"/>
    <w:rsid w:val="00945F9F"/>
    <w:rsid w:val="00946198"/>
    <w:rsid w:val="0094624D"/>
    <w:rsid w:val="009462B5"/>
    <w:rsid w:val="009463BF"/>
    <w:rsid w:val="0094667B"/>
    <w:rsid w:val="00946746"/>
    <w:rsid w:val="00946C09"/>
    <w:rsid w:val="00946EE4"/>
    <w:rsid w:val="00946FD8"/>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D11"/>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25"/>
    <w:rsid w:val="00962CC0"/>
    <w:rsid w:val="00962DA1"/>
    <w:rsid w:val="00962F80"/>
    <w:rsid w:val="00963025"/>
    <w:rsid w:val="00963187"/>
    <w:rsid w:val="009633E8"/>
    <w:rsid w:val="009635A6"/>
    <w:rsid w:val="00963885"/>
    <w:rsid w:val="009638D4"/>
    <w:rsid w:val="00963AC8"/>
    <w:rsid w:val="00963EC6"/>
    <w:rsid w:val="0096417C"/>
    <w:rsid w:val="009645D2"/>
    <w:rsid w:val="00964834"/>
    <w:rsid w:val="00964EA4"/>
    <w:rsid w:val="00964F50"/>
    <w:rsid w:val="009653A7"/>
    <w:rsid w:val="009658C6"/>
    <w:rsid w:val="00965AD4"/>
    <w:rsid w:val="00965C27"/>
    <w:rsid w:val="00965C8E"/>
    <w:rsid w:val="00965CB9"/>
    <w:rsid w:val="00965DF9"/>
    <w:rsid w:val="00965FD4"/>
    <w:rsid w:val="00965FE7"/>
    <w:rsid w:val="009660AB"/>
    <w:rsid w:val="009661AC"/>
    <w:rsid w:val="009661E3"/>
    <w:rsid w:val="00966389"/>
    <w:rsid w:val="009663F1"/>
    <w:rsid w:val="00966488"/>
    <w:rsid w:val="009665B9"/>
    <w:rsid w:val="009665DA"/>
    <w:rsid w:val="0096669B"/>
    <w:rsid w:val="0096692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15"/>
    <w:rsid w:val="009734B2"/>
    <w:rsid w:val="00973604"/>
    <w:rsid w:val="00973607"/>
    <w:rsid w:val="009739F4"/>
    <w:rsid w:val="00973BDF"/>
    <w:rsid w:val="00973C56"/>
    <w:rsid w:val="00973FF9"/>
    <w:rsid w:val="009740EE"/>
    <w:rsid w:val="0097439A"/>
    <w:rsid w:val="00974552"/>
    <w:rsid w:val="009745C3"/>
    <w:rsid w:val="009745F4"/>
    <w:rsid w:val="00974688"/>
    <w:rsid w:val="0097472D"/>
    <w:rsid w:val="00974B6E"/>
    <w:rsid w:val="00974CD8"/>
    <w:rsid w:val="00974E5C"/>
    <w:rsid w:val="00975097"/>
    <w:rsid w:val="0097519A"/>
    <w:rsid w:val="009753D0"/>
    <w:rsid w:val="00975444"/>
    <w:rsid w:val="00975594"/>
    <w:rsid w:val="0097578E"/>
    <w:rsid w:val="00975807"/>
    <w:rsid w:val="0097588D"/>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1E7"/>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9DF"/>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E84"/>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14"/>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5"/>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019"/>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94"/>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6CD"/>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9C2"/>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BFD"/>
    <w:rsid w:val="00A06D7F"/>
    <w:rsid w:val="00A073CF"/>
    <w:rsid w:val="00A0752A"/>
    <w:rsid w:val="00A077A1"/>
    <w:rsid w:val="00A078F4"/>
    <w:rsid w:val="00A07980"/>
    <w:rsid w:val="00A07D10"/>
    <w:rsid w:val="00A102E4"/>
    <w:rsid w:val="00A10649"/>
    <w:rsid w:val="00A1065D"/>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55"/>
    <w:rsid w:val="00A231F2"/>
    <w:rsid w:val="00A236CB"/>
    <w:rsid w:val="00A237E3"/>
    <w:rsid w:val="00A23968"/>
    <w:rsid w:val="00A23B78"/>
    <w:rsid w:val="00A23C2D"/>
    <w:rsid w:val="00A23D71"/>
    <w:rsid w:val="00A23D7F"/>
    <w:rsid w:val="00A2411D"/>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B82"/>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2DA"/>
    <w:rsid w:val="00A41371"/>
    <w:rsid w:val="00A413B0"/>
    <w:rsid w:val="00A41400"/>
    <w:rsid w:val="00A41797"/>
    <w:rsid w:val="00A41DD3"/>
    <w:rsid w:val="00A41F51"/>
    <w:rsid w:val="00A42067"/>
    <w:rsid w:val="00A42077"/>
    <w:rsid w:val="00A42165"/>
    <w:rsid w:val="00A42213"/>
    <w:rsid w:val="00A42463"/>
    <w:rsid w:val="00A424A1"/>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32"/>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6A"/>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C3C"/>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B0A"/>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42"/>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785"/>
    <w:rsid w:val="00A9692E"/>
    <w:rsid w:val="00A969CA"/>
    <w:rsid w:val="00A96AAF"/>
    <w:rsid w:val="00A96B1A"/>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276"/>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B8A"/>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91"/>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470"/>
    <w:rsid w:val="00AC77CB"/>
    <w:rsid w:val="00AC782D"/>
    <w:rsid w:val="00AC79A0"/>
    <w:rsid w:val="00AC7A16"/>
    <w:rsid w:val="00AC7C5A"/>
    <w:rsid w:val="00AC7E54"/>
    <w:rsid w:val="00AD0009"/>
    <w:rsid w:val="00AD012E"/>
    <w:rsid w:val="00AD0447"/>
    <w:rsid w:val="00AD0468"/>
    <w:rsid w:val="00AD069D"/>
    <w:rsid w:val="00AD081B"/>
    <w:rsid w:val="00AD084B"/>
    <w:rsid w:val="00AD0A55"/>
    <w:rsid w:val="00AD101C"/>
    <w:rsid w:val="00AD1281"/>
    <w:rsid w:val="00AD1295"/>
    <w:rsid w:val="00AD14C1"/>
    <w:rsid w:val="00AD16FC"/>
    <w:rsid w:val="00AD1831"/>
    <w:rsid w:val="00AD1A5D"/>
    <w:rsid w:val="00AD1C9D"/>
    <w:rsid w:val="00AD1CCE"/>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41B"/>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81D"/>
    <w:rsid w:val="00AF29F6"/>
    <w:rsid w:val="00AF2A7B"/>
    <w:rsid w:val="00AF2B33"/>
    <w:rsid w:val="00AF2C75"/>
    <w:rsid w:val="00AF2CCD"/>
    <w:rsid w:val="00AF3132"/>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C1F"/>
    <w:rsid w:val="00AF7E92"/>
    <w:rsid w:val="00B00018"/>
    <w:rsid w:val="00B000BE"/>
    <w:rsid w:val="00B002CC"/>
    <w:rsid w:val="00B0030E"/>
    <w:rsid w:val="00B00879"/>
    <w:rsid w:val="00B00938"/>
    <w:rsid w:val="00B00C29"/>
    <w:rsid w:val="00B00D80"/>
    <w:rsid w:val="00B011B2"/>
    <w:rsid w:val="00B012CA"/>
    <w:rsid w:val="00B01369"/>
    <w:rsid w:val="00B01A5A"/>
    <w:rsid w:val="00B01D56"/>
    <w:rsid w:val="00B01E3F"/>
    <w:rsid w:val="00B023FD"/>
    <w:rsid w:val="00B0249F"/>
    <w:rsid w:val="00B02584"/>
    <w:rsid w:val="00B02C47"/>
    <w:rsid w:val="00B03025"/>
    <w:rsid w:val="00B034C6"/>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A57"/>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6BA"/>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25D"/>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A60"/>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90A"/>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E8C"/>
    <w:rsid w:val="00B45F3D"/>
    <w:rsid w:val="00B461AD"/>
    <w:rsid w:val="00B468D5"/>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AD9"/>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676"/>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06"/>
    <w:rsid w:val="00B71015"/>
    <w:rsid w:val="00B71248"/>
    <w:rsid w:val="00B7127C"/>
    <w:rsid w:val="00B71B61"/>
    <w:rsid w:val="00B72018"/>
    <w:rsid w:val="00B72633"/>
    <w:rsid w:val="00B72965"/>
    <w:rsid w:val="00B72A38"/>
    <w:rsid w:val="00B72A3E"/>
    <w:rsid w:val="00B72DD9"/>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D4B"/>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556"/>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B48"/>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44"/>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55B"/>
    <w:rsid w:val="00BC7651"/>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B85"/>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9AB"/>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690"/>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139"/>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699"/>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C6"/>
    <w:rsid w:val="00C220D3"/>
    <w:rsid w:val="00C224F6"/>
    <w:rsid w:val="00C2251E"/>
    <w:rsid w:val="00C22520"/>
    <w:rsid w:val="00C225D6"/>
    <w:rsid w:val="00C22D7F"/>
    <w:rsid w:val="00C22EDF"/>
    <w:rsid w:val="00C23005"/>
    <w:rsid w:val="00C230B7"/>
    <w:rsid w:val="00C2346D"/>
    <w:rsid w:val="00C236F1"/>
    <w:rsid w:val="00C2374B"/>
    <w:rsid w:val="00C23958"/>
    <w:rsid w:val="00C23C8C"/>
    <w:rsid w:val="00C23D8E"/>
    <w:rsid w:val="00C23EC1"/>
    <w:rsid w:val="00C240BF"/>
    <w:rsid w:val="00C240EE"/>
    <w:rsid w:val="00C24245"/>
    <w:rsid w:val="00C2479D"/>
    <w:rsid w:val="00C247BF"/>
    <w:rsid w:val="00C24BE2"/>
    <w:rsid w:val="00C24ED1"/>
    <w:rsid w:val="00C24F1D"/>
    <w:rsid w:val="00C24F6C"/>
    <w:rsid w:val="00C25159"/>
    <w:rsid w:val="00C253D4"/>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488"/>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52A"/>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7F8"/>
    <w:rsid w:val="00C57ADB"/>
    <w:rsid w:val="00C57B31"/>
    <w:rsid w:val="00C57BC4"/>
    <w:rsid w:val="00C57C19"/>
    <w:rsid w:val="00C601B1"/>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40"/>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5F"/>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9F1"/>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222"/>
    <w:rsid w:val="00C904A8"/>
    <w:rsid w:val="00C90603"/>
    <w:rsid w:val="00C90DA1"/>
    <w:rsid w:val="00C90F11"/>
    <w:rsid w:val="00C90F8E"/>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BA3"/>
    <w:rsid w:val="00CA3CDD"/>
    <w:rsid w:val="00CA3D2D"/>
    <w:rsid w:val="00CA3DCC"/>
    <w:rsid w:val="00CA404F"/>
    <w:rsid w:val="00CA43B9"/>
    <w:rsid w:val="00CA463C"/>
    <w:rsid w:val="00CA474B"/>
    <w:rsid w:val="00CA4760"/>
    <w:rsid w:val="00CA4863"/>
    <w:rsid w:val="00CA4C2D"/>
    <w:rsid w:val="00CA4C6A"/>
    <w:rsid w:val="00CA51C3"/>
    <w:rsid w:val="00CA57AD"/>
    <w:rsid w:val="00CA5825"/>
    <w:rsid w:val="00CA5B28"/>
    <w:rsid w:val="00CA5B9E"/>
    <w:rsid w:val="00CA5CEA"/>
    <w:rsid w:val="00CA5D19"/>
    <w:rsid w:val="00CA633D"/>
    <w:rsid w:val="00CA63D9"/>
    <w:rsid w:val="00CA6448"/>
    <w:rsid w:val="00CA6598"/>
    <w:rsid w:val="00CA6759"/>
    <w:rsid w:val="00CA6CB0"/>
    <w:rsid w:val="00CA71D1"/>
    <w:rsid w:val="00CA71F3"/>
    <w:rsid w:val="00CA75CF"/>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4FB"/>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C2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3F61"/>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A7E"/>
    <w:rsid w:val="00CF5B65"/>
    <w:rsid w:val="00CF5BD9"/>
    <w:rsid w:val="00CF5D0B"/>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9AF"/>
    <w:rsid w:val="00CF7ABD"/>
    <w:rsid w:val="00CF7BFD"/>
    <w:rsid w:val="00CF7D09"/>
    <w:rsid w:val="00CF7E82"/>
    <w:rsid w:val="00D00051"/>
    <w:rsid w:val="00D00195"/>
    <w:rsid w:val="00D00243"/>
    <w:rsid w:val="00D0047D"/>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DB4"/>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86"/>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B79"/>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17"/>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25"/>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B8B"/>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907"/>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9B"/>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21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14A"/>
    <w:rsid w:val="00D66287"/>
    <w:rsid w:val="00D66297"/>
    <w:rsid w:val="00D662C9"/>
    <w:rsid w:val="00D664C6"/>
    <w:rsid w:val="00D665A3"/>
    <w:rsid w:val="00D66CDA"/>
    <w:rsid w:val="00D66CDB"/>
    <w:rsid w:val="00D66EFF"/>
    <w:rsid w:val="00D66F39"/>
    <w:rsid w:val="00D672EF"/>
    <w:rsid w:val="00D67710"/>
    <w:rsid w:val="00D677CA"/>
    <w:rsid w:val="00D67C18"/>
    <w:rsid w:val="00D67EC5"/>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491"/>
    <w:rsid w:val="00D85500"/>
    <w:rsid w:val="00D8559F"/>
    <w:rsid w:val="00D8562E"/>
    <w:rsid w:val="00D85A62"/>
    <w:rsid w:val="00D85B61"/>
    <w:rsid w:val="00D85CFF"/>
    <w:rsid w:val="00D85EC8"/>
    <w:rsid w:val="00D85FDD"/>
    <w:rsid w:val="00D862D7"/>
    <w:rsid w:val="00D866CC"/>
    <w:rsid w:val="00D86929"/>
    <w:rsid w:val="00D869CB"/>
    <w:rsid w:val="00D86AF6"/>
    <w:rsid w:val="00D86CDC"/>
    <w:rsid w:val="00D86D0A"/>
    <w:rsid w:val="00D86E1C"/>
    <w:rsid w:val="00D86E20"/>
    <w:rsid w:val="00D870FF"/>
    <w:rsid w:val="00D873CB"/>
    <w:rsid w:val="00D874B9"/>
    <w:rsid w:val="00D87698"/>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D0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9CB"/>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5BF"/>
    <w:rsid w:val="00DB27C6"/>
    <w:rsid w:val="00DB28E3"/>
    <w:rsid w:val="00DB3507"/>
    <w:rsid w:val="00DB37CD"/>
    <w:rsid w:val="00DB39D1"/>
    <w:rsid w:val="00DB39D3"/>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9B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562"/>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018"/>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7B4"/>
    <w:rsid w:val="00DE7F68"/>
    <w:rsid w:val="00DF0007"/>
    <w:rsid w:val="00DF0008"/>
    <w:rsid w:val="00DF00A2"/>
    <w:rsid w:val="00DF0387"/>
    <w:rsid w:val="00DF06D1"/>
    <w:rsid w:val="00DF06DA"/>
    <w:rsid w:val="00DF08F5"/>
    <w:rsid w:val="00DF09AC"/>
    <w:rsid w:val="00DF0AC7"/>
    <w:rsid w:val="00DF0BC6"/>
    <w:rsid w:val="00DF0D75"/>
    <w:rsid w:val="00DF1197"/>
    <w:rsid w:val="00DF1548"/>
    <w:rsid w:val="00DF16FA"/>
    <w:rsid w:val="00DF17C5"/>
    <w:rsid w:val="00DF17D7"/>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73E"/>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7E2"/>
    <w:rsid w:val="00DF68C4"/>
    <w:rsid w:val="00DF6C35"/>
    <w:rsid w:val="00DF6DD9"/>
    <w:rsid w:val="00DF7124"/>
    <w:rsid w:val="00DF7320"/>
    <w:rsid w:val="00DF7433"/>
    <w:rsid w:val="00DF7465"/>
    <w:rsid w:val="00DF7560"/>
    <w:rsid w:val="00DF7682"/>
    <w:rsid w:val="00DF769B"/>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15"/>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387"/>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44"/>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0D5"/>
    <w:rsid w:val="00E24102"/>
    <w:rsid w:val="00E24196"/>
    <w:rsid w:val="00E243FC"/>
    <w:rsid w:val="00E24559"/>
    <w:rsid w:val="00E24633"/>
    <w:rsid w:val="00E247A6"/>
    <w:rsid w:val="00E24BC9"/>
    <w:rsid w:val="00E24DE0"/>
    <w:rsid w:val="00E24ED2"/>
    <w:rsid w:val="00E252CA"/>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4918"/>
    <w:rsid w:val="00E3507E"/>
    <w:rsid w:val="00E350FC"/>
    <w:rsid w:val="00E351A5"/>
    <w:rsid w:val="00E351F9"/>
    <w:rsid w:val="00E35384"/>
    <w:rsid w:val="00E35390"/>
    <w:rsid w:val="00E3556F"/>
    <w:rsid w:val="00E3564F"/>
    <w:rsid w:val="00E35871"/>
    <w:rsid w:val="00E35AA6"/>
    <w:rsid w:val="00E35AC5"/>
    <w:rsid w:val="00E36196"/>
    <w:rsid w:val="00E363F0"/>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2F"/>
    <w:rsid w:val="00E60992"/>
    <w:rsid w:val="00E60B92"/>
    <w:rsid w:val="00E60C56"/>
    <w:rsid w:val="00E60FA3"/>
    <w:rsid w:val="00E613AB"/>
    <w:rsid w:val="00E6148E"/>
    <w:rsid w:val="00E6178E"/>
    <w:rsid w:val="00E61919"/>
    <w:rsid w:val="00E61B0B"/>
    <w:rsid w:val="00E61B75"/>
    <w:rsid w:val="00E61C4A"/>
    <w:rsid w:val="00E61F89"/>
    <w:rsid w:val="00E61FA1"/>
    <w:rsid w:val="00E61FC7"/>
    <w:rsid w:val="00E61FE8"/>
    <w:rsid w:val="00E620F6"/>
    <w:rsid w:val="00E624A7"/>
    <w:rsid w:val="00E627F5"/>
    <w:rsid w:val="00E62827"/>
    <w:rsid w:val="00E628DA"/>
    <w:rsid w:val="00E62A3B"/>
    <w:rsid w:val="00E62F23"/>
    <w:rsid w:val="00E630DE"/>
    <w:rsid w:val="00E63478"/>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A4"/>
    <w:rsid w:val="00E667C1"/>
    <w:rsid w:val="00E66824"/>
    <w:rsid w:val="00E66858"/>
    <w:rsid w:val="00E668B1"/>
    <w:rsid w:val="00E668BA"/>
    <w:rsid w:val="00E66F28"/>
    <w:rsid w:val="00E6721B"/>
    <w:rsid w:val="00E67357"/>
    <w:rsid w:val="00E674BF"/>
    <w:rsid w:val="00E678AD"/>
    <w:rsid w:val="00E67998"/>
    <w:rsid w:val="00E67BA0"/>
    <w:rsid w:val="00E67E01"/>
    <w:rsid w:val="00E67F3E"/>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9D6"/>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CA0"/>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ED9"/>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0FD4"/>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DFC"/>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1F15"/>
    <w:rsid w:val="00EB2769"/>
    <w:rsid w:val="00EB2874"/>
    <w:rsid w:val="00EB28DB"/>
    <w:rsid w:val="00EB29DD"/>
    <w:rsid w:val="00EB2F87"/>
    <w:rsid w:val="00EB2FD2"/>
    <w:rsid w:val="00EB2FDD"/>
    <w:rsid w:val="00EB3011"/>
    <w:rsid w:val="00EB303B"/>
    <w:rsid w:val="00EB3435"/>
    <w:rsid w:val="00EB3664"/>
    <w:rsid w:val="00EB3790"/>
    <w:rsid w:val="00EB3AD2"/>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05E"/>
    <w:rsid w:val="00ED4495"/>
    <w:rsid w:val="00ED44B7"/>
    <w:rsid w:val="00ED44D6"/>
    <w:rsid w:val="00ED465C"/>
    <w:rsid w:val="00ED4867"/>
    <w:rsid w:val="00ED4C0B"/>
    <w:rsid w:val="00ED4E07"/>
    <w:rsid w:val="00ED542F"/>
    <w:rsid w:val="00ED56EB"/>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E792C"/>
    <w:rsid w:val="00EF004A"/>
    <w:rsid w:val="00EF03FF"/>
    <w:rsid w:val="00EF04B5"/>
    <w:rsid w:val="00EF08E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7DB"/>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3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8CF"/>
    <w:rsid w:val="00F11A18"/>
    <w:rsid w:val="00F11B05"/>
    <w:rsid w:val="00F11C38"/>
    <w:rsid w:val="00F11F62"/>
    <w:rsid w:val="00F12511"/>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A0F"/>
    <w:rsid w:val="00F22B34"/>
    <w:rsid w:val="00F22B5D"/>
    <w:rsid w:val="00F22B63"/>
    <w:rsid w:val="00F22C32"/>
    <w:rsid w:val="00F22C8C"/>
    <w:rsid w:val="00F22D71"/>
    <w:rsid w:val="00F22D8A"/>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4E85"/>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9C"/>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1FB1"/>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171"/>
    <w:rsid w:val="00F45818"/>
    <w:rsid w:val="00F4587C"/>
    <w:rsid w:val="00F45B75"/>
    <w:rsid w:val="00F45C13"/>
    <w:rsid w:val="00F45CA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5AF"/>
    <w:rsid w:val="00F62986"/>
    <w:rsid w:val="00F62A35"/>
    <w:rsid w:val="00F62CC8"/>
    <w:rsid w:val="00F63311"/>
    <w:rsid w:val="00F636CF"/>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6C78"/>
    <w:rsid w:val="00F670CE"/>
    <w:rsid w:val="00F6720F"/>
    <w:rsid w:val="00F673B6"/>
    <w:rsid w:val="00F67603"/>
    <w:rsid w:val="00F6765F"/>
    <w:rsid w:val="00F6796C"/>
    <w:rsid w:val="00F67AA3"/>
    <w:rsid w:val="00F67BC2"/>
    <w:rsid w:val="00F67E5B"/>
    <w:rsid w:val="00F67F9C"/>
    <w:rsid w:val="00F70381"/>
    <w:rsid w:val="00F7083D"/>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1F"/>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452"/>
    <w:rsid w:val="00F806AC"/>
    <w:rsid w:val="00F806E3"/>
    <w:rsid w:val="00F807CA"/>
    <w:rsid w:val="00F808E9"/>
    <w:rsid w:val="00F80D68"/>
    <w:rsid w:val="00F80D79"/>
    <w:rsid w:val="00F8102E"/>
    <w:rsid w:val="00F81434"/>
    <w:rsid w:val="00F81509"/>
    <w:rsid w:val="00F815A4"/>
    <w:rsid w:val="00F81671"/>
    <w:rsid w:val="00F81765"/>
    <w:rsid w:val="00F81814"/>
    <w:rsid w:val="00F81A9C"/>
    <w:rsid w:val="00F81AEA"/>
    <w:rsid w:val="00F81B84"/>
    <w:rsid w:val="00F81CB7"/>
    <w:rsid w:val="00F81DCD"/>
    <w:rsid w:val="00F81E23"/>
    <w:rsid w:val="00F81F8D"/>
    <w:rsid w:val="00F81FC0"/>
    <w:rsid w:val="00F82192"/>
    <w:rsid w:val="00F821B5"/>
    <w:rsid w:val="00F821B7"/>
    <w:rsid w:val="00F822A0"/>
    <w:rsid w:val="00F82528"/>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A06"/>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4EB"/>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2FA5"/>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68"/>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29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7AD"/>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6A9"/>
    <w:rsid w:val="00FC2867"/>
    <w:rsid w:val="00FC2886"/>
    <w:rsid w:val="00FC29ED"/>
    <w:rsid w:val="00FC328E"/>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1EF"/>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922"/>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09EB"/>
    <w:rsid w:val="00FE1077"/>
    <w:rsid w:val="00FE1136"/>
    <w:rsid w:val="00FE12BF"/>
    <w:rsid w:val="00FE1773"/>
    <w:rsid w:val="00FE1813"/>
    <w:rsid w:val="00FE1AEA"/>
    <w:rsid w:val="00FE1D0E"/>
    <w:rsid w:val="00FE1F1C"/>
    <w:rsid w:val="00FE2189"/>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4"/>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39"/>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0B3"/>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14:docId w14:val="765B940E"/>
  <w15:docId w15:val="{381AEABD-14F5-4B48-A5A7-D1F6651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ind w:right="-28"/>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uiPriority w:val="99"/>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Footnote TEXT Char,fn Char1,Footnote ak Char1,fn Char Char1"/>
    <w:uiPriority w:val="99"/>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ßnotentextr Char"/>
    <w:uiPriority w:val="99"/>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ind w:right="57"/>
    </w:pPr>
    <w:rPr>
      <w:rFonts w:ascii="Times New Roman" w:hAnsi="Times New Roman"/>
      <w:szCs w:val="24"/>
    </w:rPr>
  </w:style>
  <w:style w:type="paragraph" w:customStyle="1" w:styleId="astandard3520normal">
    <w:name w:val="a_standard__35__20_normal"/>
    <w:basedOn w:val="Normal"/>
    <w:rsid w:val="007C5D8A"/>
    <w:pPr>
      <w:ind w:right="57"/>
    </w:pPr>
    <w:rPr>
      <w:rFonts w:ascii="Times New Roman" w:hAnsi="Times New Roman"/>
      <w:szCs w:val="24"/>
    </w:rPr>
  </w:style>
  <w:style w:type="paragraph" w:customStyle="1" w:styleId="astandardp1">
    <w:name w:val="a_standard_p1"/>
    <w:basedOn w:val="Normal"/>
    <w:rsid w:val="007C5D8A"/>
    <w:pPr>
      <w:ind w:right="57"/>
    </w:pPr>
    <w:rPr>
      <w:rFonts w:ascii="Times New Roman" w:hAnsi="Times New Roman"/>
      <w:szCs w:val="24"/>
    </w:rPr>
  </w:style>
  <w:style w:type="paragraph" w:customStyle="1" w:styleId="a3520normalp10">
    <w:name w:val="a__35__20_normal_p10"/>
    <w:basedOn w:val="Normal"/>
    <w:rsid w:val="007C5D8A"/>
    <w:pPr>
      <w:ind w:right="57"/>
    </w:pPr>
    <w:rPr>
      <w:rFonts w:ascii="Times New Roman" w:hAnsi="Times New Roman"/>
      <w:szCs w:val="24"/>
    </w:rPr>
  </w:style>
  <w:style w:type="paragraph" w:customStyle="1" w:styleId="asous-titre201p11">
    <w:name w:val="a_sous-titre_20_1_p11"/>
    <w:basedOn w:val="Normal"/>
    <w:rsid w:val="007C5D8A"/>
    <w:pPr>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styleId="LineNumber">
    <w:name w:val="line number"/>
    <w:basedOn w:val="DefaultParagraphFont"/>
    <w:semiHidden/>
    <w:unhideWhenUsed/>
    <w:rsid w:val="00AD0468"/>
  </w:style>
  <w:style w:type="paragraph" w:customStyle="1" w:styleId="Recommendation">
    <w:name w:val="Recommendation"/>
    <w:basedOn w:val="Normal"/>
    <w:link w:val="RecommendationChar"/>
    <w:qFormat/>
    <w:rsid w:val="00074AD0"/>
    <w:pPr>
      <w:spacing w:before="240" w:line="240" w:lineRule="atLeast"/>
    </w:pPr>
    <w:rPr>
      <w:rFonts w:ascii="Times New Roman" w:hAnsi="Times New Roman"/>
      <w:b/>
    </w:rPr>
  </w:style>
  <w:style w:type="paragraph" w:customStyle="1" w:styleId="Response">
    <w:name w:val="Response"/>
    <w:basedOn w:val="Normal"/>
    <w:link w:val="ResponseChar"/>
    <w:qFormat/>
    <w:rsid w:val="00074AD0"/>
    <w:pPr>
      <w:spacing w:line="120" w:lineRule="atLeast"/>
    </w:pPr>
    <w:rPr>
      <w:rFonts w:ascii="Times New Roman" w:hAnsi="Times New Roman"/>
      <w:i/>
    </w:rPr>
  </w:style>
  <w:style w:type="character" w:customStyle="1" w:styleId="RecommendationChar">
    <w:name w:val="Recommendation Char"/>
    <w:link w:val="Recommendation"/>
    <w:rsid w:val="00074AD0"/>
    <w:rPr>
      <w:b/>
      <w:sz w:val="24"/>
    </w:rPr>
  </w:style>
  <w:style w:type="paragraph" w:customStyle="1" w:styleId="Abstract">
    <w:name w:val="Abstract"/>
    <w:basedOn w:val="Normal"/>
    <w:link w:val="AbstractChar"/>
    <w:qFormat/>
    <w:rsid w:val="00074AD0"/>
    <w:pPr>
      <w:spacing w:after="200" w:line="200" w:lineRule="atLeast"/>
    </w:pPr>
    <w:rPr>
      <w:rFonts w:ascii="Times New Roman" w:hAnsi="Times New Roman"/>
    </w:rPr>
  </w:style>
  <w:style w:type="character" w:customStyle="1" w:styleId="ResponseChar">
    <w:name w:val="Response Char"/>
    <w:link w:val="Response"/>
    <w:rsid w:val="00074AD0"/>
    <w:rPr>
      <w:i/>
      <w:sz w:val="24"/>
    </w:rPr>
  </w:style>
  <w:style w:type="character" w:customStyle="1" w:styleId="AbstractChar">
    <w:name w:val="Abstract Char"/>
    <w:link w:val="Abstract"/>
    <w:rsid w:val="00074AD0"/>
    <w:rPr>
      <w:sz w:val="24"/>
    </w:rPr>
  </w:style>
  <w:style w:type="paragraph" w:customStyle="1" w:styleId="ZnakZnak1">
    <w:name w:val="Znak Znak"/>
    <w:basedOn w:val="Normal"/>
    <w:rsid w:val="00677466"/>
    <w:pPr>
      <w:spacing w:after="0" w:line="360" w:lineRule="auto"/>
    </w:pPr>
    <w:rPr>
      <w:rFonts w:ascii="Verdana" w:hAnsi="Verdana"/>
      <w:sz w:val="20"/>
      <w:lang w:val="pl-PL" w:eastAsia="pl-PL"/>
    </w:rPr>
  </w:style>
  <w:style w:type="character" w:customStyle="1" w:styleId="playersrapportertext">
    <w:name w:val="players_rapporter_text"/>
    <w:rsid w:val="00677466"/>
  </w:style>
  <w:style w:type="paragraph" w:styleId="HTMLPreformatted">
    <w:name w:val="HTML Preformatted"/>
    <w:basedOn w:val="Normal"/>
    <w:link w:val="HTMLPreformattedChar"/>
    <w:rsid w:val="00677466"/>
    <w:rPr>
      <w:rFonts w:cs="Courier New"/>
      <w:sz w:val="20"/>
    </w:rPr>
  </w:style>
  <w:style w:type="character" w:customStyle="1" w:styleId="HTMLPreformattedChar">
    <w:name w:val="HTML Preformatted Char"/>
    <w:link w:val="HTMLPreformatted"/>
    <w:rsid w:val="00677466"/>
    <w:rPr>
      <w:rFonts w:ascii="Courier New" w:hAnsi="Courier New" w:cs="Courier New"/>
    </w:rPr>
  </w:style>
  <w:style w:type="character" w:customStyle="1" w:styleId="epname">
    <w:name w:val="ep_name"/>
    <w:rsid w:val="00677466"/>
  </w:style>
  <w:style w:type="character" w:customStyle="1" w:styleId="epicon">
    <w:name w:val="ep_icon"/>
    <w:rsid w:val="00677466"/>
  </w:style>
  <w:style w:type="paragraph" w:customStyle="1" w:styleId="rfrenceinstitutionnelle1">
    <w:name w:val="rfrenceinstitutionnelle1"/>
    <w:basedOn w:val="Normal"/>
    <w:rsid w:val="00426B4B"/>
    <w:pPr>
      <w:spacing w:after="0"/>
    </w:pPr>
    <w:rPr>
      <w:rFonts w:ascii="Times New Roman" w:hAnsi="Times New Roman"/>
      <w:szCs w:val="24"/>
      <w:lang w:val="fr-BE" w:eastAsia="fr-BE"/>
    </w:rPr>
  </w:style>
  <w:style w:type="paragraph" w:customStyle="1" w:styleId="rfrenceinterinstitutionnelle1">
    <w:name w:val="rfrenceinterinstitutionnelle1"/>
    <w:basedOn w:val="Normal"/>
    <w:rsid w:val="00426B4B"/>
    <w:pPr>
      <w:spacing w:after="0"/>
    </w:pPr>
    <w:rPr>
      <w:rFonts w:ascii="Times New Roman" w:hAnsi="Times New Roman"/>
      <w:szCs w:val="24"/>
      <w:lang w:val="fr-BE" w:eastAsia="fr-BE"/>
    </w:rPr>
  </w:style>
  <w:style w:type="character" w:customStyle="1" w:styleId="Bodytext20">
    <w:name w:val="Body text (2)_"/>
    <w:link w:val="Bodytext21"/>
    <w:rsid w:val="00617D2D"/>
    <w:rPr>
      <w:shd w:val="clear" w:color="auto" w:fill="FFFFFF"/>
    </w:rPr>
  </w:style>
  <w:style w:type="paragraph" w:customStyle="1" w:styleId="Bodytext21">
    <w:name w:val="Body text (2)"/>
    <w:basedOn w:val="Normal"/>
    <w:link w:val="Bodytext20"/>
    <w:rsid w:val="00617D2D"/>
    <w:pPr>
      <w:widowControl w:val="0"/>
      <w:shd w:val="clear" w:color="auto" w:fill="FFFFFF"/>
      <w:spacing w:before="240" w:line="266" w:lineRule="exact"/>
      <w:ind w:hanging="600"/>
      <w:jc w:val="left"/>
    </w:pPr>
    <w:rPr>
      <w:rFonts w:ascii="Times New Roman" w:hAnsi="Times New Roman"/>
      <w:sz w:val="20"/>
    </w:rPr>
  </w:style>
  <w:style w:type="paragraph" w:customStyle="1" w:styleId="norm">
    <w:name w:val="norm"/>
    <w:basedOn w:val="Normal"/>
    <w:rsid w:val="00617D2D"/>
    <w:pPr>
      <w:spacing w:before="100" w:beforeAutospacing="1" w:after="100" w:afterAutospacing="1"/>
      <w:jc w:val="left"/>
    </w:pPr>
    <w:rPr>
      <w:rFonts w:ascii="Times New Roman" w:hAnsi="Times New Roman"/>
      <w:szCs w:val="24"/>
    </w:rPr>
  </w:style>
  <w:style w:type="paragraph" w:customStyle="1" w:styleId="title-article-norm">
    <w:name w:val="title-article-norm"/>
    <w:basedOn w:val="Normal"/>
    <w:rsid w:val="00617D2D"/>
    <w:pPr>
      <w:spacing w:before="100" w:beforeAutospacing="1" w:after="100" w:afterAutospacing="1"/>
      <w:jc w:val="left"/>
    </w:pPr>
    <w:rPr>
      <w:rFonts w:ascii="Times New Roman" w:hAnsi="Times New Roman"/>
      <w:szCs w:val="24"/>
    </w:rPr>
  </w:style>
  <w:style w:type="character" w:customStyle="1" w:styleId="UnresolvedMention">
    <w:name w:val="Unresolved Mention"/>
    <w:uiPriority w:val="99"/>
    <w:semiHidden/>
    <w:unhideWhenUsed/>
    <w:rsid w:val="00617D2D"/>
    <w:rPr>
      <w:color w:val="605E5C"/>
      <w:shd w:val="clear" w:color="auto" w:fill="E1DFDD"/>
    </w:rPr>
  </w:style>
  <w:style w:type="paragraph" w:customStyle="1" w:styleId="ParagraphNb">
    <w:name w:val="Paragraph Nb"/>
    <w:basedOn w:val="Normal12Hanging"/>
    <w:link w:val="ParagraphNbChar"/>
    <w:qFormat/>
    <w:rsid w:val="009371FA"/>
    <w:pPr>
      <w:widowControl/>
      <w:ind w:left="0" w:firstLine="0"/>
      <w:jc w:val="both"/>
    </w:pPr>
    <w:rPr>
      <w:b/>
      <w:szCs w:val="24"/>
    </w:rPr>
  </w:style>
  <w:style w:type="paragraph" w:customStyle="1" w:styleId="ParagraphNr">
    <w:name w:val="Paragraph Nr"/>
    <w:basedOn w:val="Normal"/>
    <w:link w:val="ParagraphNrChar"/>
    <w:autoRedefine/>
    <w:qFormat/>
    <w:rsid w:val="009371FA"/>
    <w:pPr>
      <w:keepNext/>
      <w:ind w:left="567" w:hanging="567"/>
    </w:pPr>
    <w:rPr>
      <w:rFonts w:ascii="Times New Roman" w:hAnsi="Times New Roman"/>
      <w:b/>
      <w:szCs w:val="24"/>
    </w:rPr>
  </w:style>
  <w:style w:type="character" w:customStyle="1" w:styleId="ParagraphNbChar">
    <w:name w:val="Paragraph Nb Char"/>
    <w:basedOn w:val="Normal12HangingChar"/>
    <w:link w:val="ParagraphNb"/>
    <w:rsid w:val="009371FA"/>
    <w:rPr>
      <w:b/>
      <w:sz w:val="24"/>
      <w:szCs w:val="24"/>
      <w:lang w:val="en-GB" w:eastAsia="en-GB" w:bidi="ar-SA"/>
    </w:rPr>
  </w:style>
  <w:style w:type="character" w:customStyle="1" w:styleId="ParagraphNrChar">
    <w:name w:val="Paragraph Nr Char"/>
    <w:basedOn w:val="DefaultParagraphFont"/>
    <w:link w:val="ParagraphNr"/>
    <w:rsid w:val="009371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25587675">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022362976">
      <w:bodyDiv w:val="1"/>
      <w:marLeft w:val="0"/>
      <w:marRight w:val="0"/>
      <w:marTop w:val="0"/>
      <w:marBottom w:val="0"/>
      <w:divBdr>
        <w:top w:val="none" w:sz="0" w:space="0" w:color="auto"/>
        <w:left w:val="none" w:sz="0" w:space="0" w:color="auto"/>
        <w:bottom w:val="none" w:sz="0" w:space="0" w:color="auto"/>
        <w:right w:val="none" w:sz="0" w:space="0" w:color="auto"/>
      </w:divBdr>
      <w:divsChild>
        <w:div w:id="1577476471">
          <w:marLeft w:val="0"/>
          <w:marRight w:val="0"/>
          <w:marTop w:val="0"/>
          <w:marBottom w:val="0"/>
          <w:divBdr>
            <w:top w:val="none" w:sz="0" w:space="0" w:color="auto"/>
            <w:left w:val="none" w:sz="0" w:space="0" w:color="auto"/>
            <w:bottom w:val="none" w:sz="0" w:space="0" w:color="auto"/>
            <w:right w:val="none" w:sz="0" w:space="0" w:color="auto"/>
          </w:divBdr>
          <w:divsChild>
            <w:div w:id="718552865">
              <w:marLeft w:val="0"/>
              <w:marRight w:val="0"/>
              <w:marTop w:val="0"/>
              <w:marBottom w:val="0"/>
              <w:divBdr>
                <w:top w:val="none" w:sz="0" w:space="0" w:color="auto"/>
                <w:left w:val="none" w:sz="0" w:space="0" w:color="auto"/>
                <w:bottom w:val="none" w:sz="0" w:space="0" w:color="auto"/>
                <w:right w:val="none" w:sz="0" w:space="0" w:color="auto"/>
              </w:divBdr>
              <w:divsChild>
                <w:div w:id="58483723">
                  <w:marLeft w:val="0"/>
                  <w:marRight w:val="0"/>
                  <w:marTop w:val="0"/>
                  <w:marBottom w:val="0"/>
                  <w:divBdr>
                    <w:top w:val="none" w:sz="0" w:space="0" w:color="auto"/>
                    <w:left w:val="none" w:sz="0" w:space="0" w:color="auto"/>
                    <w:bottom w:val="none" w:sz="0" w:space="0" w:color="auto"/>
                    <w:right w:val="none" w:sz="0" w:space="0" w:color="auto"/>
                  </w:divBdr>
                  <w:divsChild>
                    <w:div w:id="1587614448">
                      <w:marLeft w:val="0"/>
                      <w:marRight w:val="0"/>
                      <w:marTop w:val="45"/>
                      <w:marBottom w:val="0"/>
                      <w:divBdr>
                        <w:top w:val="none" w:sz="0" w:space="0" w:color="auto"/>
                        <w:left w:val="none" w:sz="0" w:space="0" w:color="auto"/>
                        <w:bottom w:val="none" w:sz="0" w:space="0" w:color="auto"/>
                        <w:right w:val="none" w:sz="0" w:space="0" w:color="auto"/>
                      </w:divBdr>
                      <w:divsChild>
                        <w:div w:id="1690108450">
                          <w:marLeft w:val="0"/>
                          <w:marRight w:val="0"/>
                          <w:marTop w:val="0"/>
                          <w:marBottom w:val="0"/>
                          <w:divBdr>
                            <w:top w:val="none" w:sz="0" w:space="0" w:color="auto"/>
                            <w:left w:val="none" w:sz="0" w:space="0" w:color="auto"/>
                            <w:bottom w:val="none" w:sz="0" w:space="0" w:color="auto"/>
                            <w:right w:val="none" w:sz="0" w:space="0" w:color="auto"/>
                          </w:divBdr>
                          <w:divsChild>
                            <w:div w:id="2021810976">
                              <w:marLeft w:val="12300"/>
                              <w:marRight w:val="0"/>
                              <w:marTop w:val="0"/>
                              <w:marBottom w:val="0"/>
                              <w:divBdr>
                                <w:top w:val="none" w:sz="0" w:space="0" w:color="auto"/>
                                <w:left w:val="none" w:sz="0" w:space="0" w:color="auto"/>
                                <w:bottom w:val="none" w:sz="0" w:space="0" w:color="auto"/>
                                <w:right w:val="none" w:sz="0" w:space="0" w:color="auto"/>
                              </w:divBdr>
                              <w:divsChild>
                                <w:div w:id="1035471736">
                                  <w:marLeft w:val="0"/>
                                  <w:marRight w:val="0"/>
                                  <w:marTop w:val="0"/>
                                  <w:marBottom w:val="0"/>
                                  <w:divBdr>
                                    <w:top w:val="none" w:sz="0" w:space="0" w:color="auto"/>
                                    <w:left w:val="none" w:sz="0" w:space="0" w:color="auto"/>
                                    <w:bottom w:val="none" w:sz="0" w:space="0" w:color="auto"/>
                                    <w:right w:val="none" w:sz="0" w:space="0" w:color="auto"/>
                                  </w:divBdr>
                                  <w:divsChild>
                                    <w:div w:id="1507135851">
                                      <w:marLeft w:val="0"/>
                                      <w:marRight w:val="0"/>
                                      <w:marTop w:val="0"/>
                                      <w:marBottom w:val="390"/>
                                      <w:divBdr>
                                        <w:top w:val="none" w:sz="0" w:space="0" w:color="auto"/>
                                        <w:left w:val="none" w:sz="0" w:space="0" w:color="auto"/>
                                        <w:bottom w:val="none" w:sz="0" w:space="0" w:color="auto"/>
                                        <w:right w:val="none" w:sz="0" w:space="0" w:color="auto"/>
                                      </w:divBdr>
                                      <w:divsChild>
                                        <w:div w:id="1319113421">
                                          <w:marLeft w:val="0"/>
                                          <w:marRight w:val="0"/>
                                          <w:marTop w:val="0"/>
                                          <w:marBottom w:val="0"/>
                                          <w:divBdr>
                                            <w:top w:val="none" w:sz="0" w:space="0" w:color="auto"/>
                                            <w:left w:val="none" w:sz="0" w:space="0" w:color="auto"/>
                                            <w:bottom w:val="none" w:sz="0" w:space="0" w:color="auto"/>
                                            <w:right w:val="none" w:sz="0" w:space="0" w:color="auto"/>
                                          </w:divBdr>
                                          <w:divsChild>
                                            <w:div w:id="1960724917">
                                              <w:marLeft w:val="0"/>
                                              <w:marRight w:val="0"/>
                                              <w:marTop w:val="0"/>
                                              <w:marBottom w:val="0"/>
                                              <w:divBdr>
                                                <w:top w:val="none" w:sz="0" w:space="0" w:color="auto"/>
                                                <w:left w:val="none" w:sz="0" w:space="0" w:color="auto"/>
                                                <w:bottom w:val="none" w:sz="0" w:space="0" w:color="auto"/>
                                                <w:right w:val="none" w:sz="0" w:space="0" w:color="auto"/>
                                              </w:divBdr>
                                              <w:divsChild>
                                                <w:div w:id="1169759424">
                                                  <w:marLeft w:val="0"/>
                                                  <w:marRight w:val="0"/>
                                                  <w:marTop w:val="0"/>
                                                  <w:marBottom w:val="0"/>
                                                  <w:divBdr>
                                                    <w:top w:val="none" w:sz="0" w:space="0" w:color="auto"/>
                                                    <w:left w:val="none" w:sz="0" w:space="0" w:color="auto"/>
                                                    <w:bottom w:val="none" w:sz="0" w:space="0" w:color="auto"/>
                                                    <w:right w:val="none" w:sz="0" w:space="0" w:color="auto"/>
                                                  </w:divBdr>
                                                  <w:divsChild>
                                                    <w:div w:id="1573273846">
                                                      <w:marLeft w:val="0"/>
                                                      <w:marRight w:val="0"/>
                                                      <w:marTop w:val="0"/>
                                                      <w:marBottom w:val="0"/>
                                                      <w:divBdr>
                                                        <w:top w:val="none" w:sz="0" w:space="0" w:color="auto"/>
                                                        <w:left w:val="none" w:sz="0" w:space="0" w:color="auto"/>
                                                        <w:bottom w:val="none" w:sz="0" w:space="0" w:color="auto"/>
                                                        <w:right w:val="none" w:sz="0" w:space="0" w:color="auto"/>
                                                      </w:divBdr>
                                                      <w:divsChild>
                                                        <w:div w:id="427501590">
                                                          <w:marLeft w:val="0"/>
                                                          <w:marRight w:val="0"/>
                                                          <w:marTop w:val="0"/>
                                                          <w:marBottom w:val="0"/>
                                                          <w:divBdr>
                                                            <w:top w:val="none" w:sz="0" w:space="0" w:color="auto"/>
                                                            <w:left w:val="none" w:sz="0" w:space="0" w:color="auto"/>
                                                            <w:bottom w:val="none" w:sz="0" w:space="0" w:color="auto"/>
                                                            <w:right w:val="none" w:sz="0" w:space="0" w:color="auto"/>
                                                          </w:divBdr>
                                                          <w:divsChild>
                                                            <w:div w:id="1635713425">
                                                              <w:marLeft w:val="0"/>
                                                              <w:marRight w:val="0"/>
                                                              <w:marTop w:val="0"/>
                                                              <w:marBottom w:val="0"/>
                                                              <w:divBdr>
                                                                <w:top w:val="none" w:sz="0" w:space="0" w:color="auto"/>
                                                                <w:left w:val="none" w:sz="0" w:space="0" w:color="auto"/>
                                                                <w:bottom w:val="none" w:sz="0" w:space="0" w:color="auto"/>
                                                                <w:right w:val="none" w:sz="0" w:space="0" w:color="auto"/>
                                                              </w:divBdr>
                                                              <w:divsChild>
                                                                <w:div w:id="2097358967">
                                                                  <w:marLeft w:val="0"/>
                                                                  <w:marRight w:val="0"/>
                                                                  <w:marTop w:val="0"/>
                                                                  <w:marBottom w:val="0"/>
                                                                  <w:divBdr>
                                                                    <w:top w:val="none" w:sz="0" w:space="0" w:color="auto"/>
                                                                    <w:left w:val="none" w:sz="0" w:space="0" w:color="auto"/>
                                                                    <w:bottom w:val="none" w:sz="0" w:space="0" w:color="auto"/>
                                                                    <w:right w:val="none" w:sz="0" w:space="0" w:color="auto"/>
                                                                  </w:divBdr>
                                                                  <w:divsChild>
                                                                    <w:div w:id="1629820262">
                                                                      <w:marLeft w:val="0"/>
                                                                      <w:marRight w:val="0"/>
                                                                      <w:marTop w:val="0"/>
                                                                      <w:marBottom w:val="0"/>
                                                                      <w:divBdr>
                                                                        <w:top w:val="none" w:sz="0" w:space="0" w:color="auto"/>
                                                                        <w:left w:val="none" w:sz="0" w:space="0" w:color="auto"/>
                                                                        <w:bottom w:val="none" w:sz="0" w:space="0" w:color="auto"/>
                                                                        <w:right w:val="none" w:sz="0" w:space="0" w:color="auto"/>
                                                                      </w:divBdr>
                                                                      <w:divsChild>
                                                                        <w:div w:id="690958118">
                                                                          <w:marLeft w:val="0"/>
                                                                          <w:marRight w:val="0"/>
                                                                          <w:marTop w:val="0"/>
                                                                          <w:marBottom w:val="0"/>
                                                                          <w:divBdr>
                                                                            <w:top w:val="none" w:sz="0" w:space="0" w:color="auto"/>
                                                                            <w:left w:val="none" w:sz="0" w:space="0" w:color="auto"/>
                                                                            <w:bottom w:val="none" w:sz="0" w:space="0" w:color="auto"/>
                                                                            <w:right w:val="none" w:sz="0" w:space="0" w:color="auto"/>
                                                                          </w:divBdr>
                                                                          <w:divsChild>
                                                                            <w:div w:id="1181965373">
                                                                              <w:marLeft w:val="0"/>
                                                                              <w:marRight w:val="0"/>
                                                                              <w:marTop w:val="0"/>
                                                                              <w:marBottom w:val="0"/>
                                                                              <w:divBdr>
                                                                                <w:top w:val="none" w:sz="0" w:space="0" w:color="auto"/>
                                                                                <w:left w:val="none" w:sz="0" w:space="0" w:color="auto"/>
                                                                                <w:bottom w:val="none" w:sz="0" w:space="0" w:color="auto"/>
                                                                                <w:right w:val="none" w:sz="0" w:space="0" w:color="auto"/>
                                                                              </w:divBdr>
                                                                              <w:divsChild>
                                                                                <w:div w:id="73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488400465">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544707757">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18690450">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E969-03D7-4126-9B9B-F94A5230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6</TotalTime>
  <Pages>3</Pages>
  <Words>1445</Words>
  <Characters>8373</Characters>
  <Application>Microsoft Office Word</Application>
  <DocSecurity>0</DocSecurity>
  <PresentationFormat>Microsoft Word 8.0b</PresentationFormat>
  <Lines>130</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9792</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VINCENT Veronique (SG)</cp:lastModifiedBy>
  <cp:revision>6</cp:revision>
  <cp:lastPrinted>2019-02-04T09:03:00Z</cp:lastPrinted>
  <dcterms:created xsi:type="dcterms:W3CDTF">2019-08-09T07:05:00Z</dcterms:created>
  <dcterms:modified xsi:type="dcterms:W3CDTF">2019-08-26T15:30:00Z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