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BF2" w:rsidRPr="00254E4B" w:rsidRDefault="00F03BF2" w:rsidP="00F03BF2">
      <w:pPr>
        <w:spacing w:after="600"/>
        <w:jc w:val="center"/>
        <w:rPr>
          <w:rFonts w:ascii="Times New Roman" w:hAnsi="Times New Roman"/>
          <w:b/>
          <w:szCs w:val="24"/>
          <w:lang w:val="fr-BE"/>
        </w:rPr>
      </w:pPr>
      <w:r w:rsidRPr="00254E4B">
        <w:rPr>
          <w:rFonts w:ascii="Times New Roman" w:hAnsi="Times New Roman"/>
          <w:b/>
          <w:lang w:val="fr-BE"/>
        </w:rPr>
        <w:t>Suite donnée à la résolution non législative du Parlement européen sur le scandale des</w:t>
      </w:r>
      <w:proofErr w:type="gramStart"/>
      <w:r w:rsidRPr="00254E4B">
        <w:rPr>
          <w:rFonts w:ascii="Times New Roman" w:hAnsi="Times New Roman"/>
          <w:b/>
          <w:lang w:val="fr-BE"/>
        </w:rPr>
        <w:t xml:space="preserve"> «</w:t>
      </w:r>
      <w:proofErr w:type="spellStart"/>
      <w:r w:rsidRPr="00254E4B">
        <w:rPr>
          <w:rFonts w:ascii="Times New Roman" w:hAnsi="Times New Roman"/>
          <w:b/>
          <w:lang w:val="fr-BE"/>
        </w:rPr>
        <w:t>CumEx</w:t>
      </w:r>
      <w:proofErr w:type="spellEnd"/>
      <w:proofErr w:type="gramEnd"/>
      <w:r w:rsidRPr="00254E4B">
        <w:rPr>
          <w:rFonts w:ascii="Times New Roman" w:hAnsi="Times New Roman"/>
          <w:b/>
          <w:lang w:val="fr-BE"/>
        </w:rPr>
        <w:t> Files»: la criminalité financière et les lacunes du cadre juridique actuel</w:t>
      </w:r>
    </w:p>
    <w:p w:rsidR="00F03BF2" w:rsidRPr="00254E4B" w:rsidRDefault="00F03BF2" w:rsidP="00F03BF2">
      <w:pPr>
        <w:ind w:left="567" w:hanging="567"/>
        <w:rPr>
          <w:rFonts w:ascii="Times New Roman" w:hAnsi="Times New Roman"/>
          <w:i/>
          <w:szCs w:val="24"/>
          <w:lang w:val="fr-BE"/>
        </w:rPr>
      </w:pPr>
      <w:r w:rsidRPr="005C1999">
        <w:rPr>
          <w:rFonts w:ascii="Times New Roman" w:hAnsi="Times New Roman"/>
          <w:b/>
          <w:lang w:val="fr-BE"/>
        </w:rPr>
        <w:t>1</w:t>
      </w:r>
      <w:r w:rsidRPr="00254E4B">
        <w:rPr>
          <w:rFonts w:ascii="Times New Roman" w:hAnsi="Times New Roman"/>
          <w:b/>
          <w:lang w:val="fr-BE"/>
        </w:rPr>
        <w:t>.</w:t>
      </w:r>
      <w:r w:rsidRPr="00254E4B">
        <w:rPr>
          <w:rFonts w:ascii="Times New Roman" w:hAnsi="Times New Roman"/>
          <w:lang w:val="fr-BE"/>
        </w:rPr>
        <w:tab/>
      </w:r>
      <w:r w:rsidRPr="00254E4B">
        <w:rPr>
          <w:rFonts w:ascii="Times New Roman" w:hAnsi="Times New Roman"/>
          <w:b/>
          <w:lang w:val="fr-BE"/>
        </w:rPr>
        <w:t>Résolution présentée, conformément à l’article </w:t>
      </w:r>
      <w:r w:rsidRPr="005C1999">
        <w:rPr>
          <w:rFonts w:ascii="Times New Roman" w:hAnsi="Times New Roman"/>
          <w:b/>
          <w:lang w:val="fr-BE"/>
        </w:rPr>
        <w:t>123</w:t>
      </w:r>
      <w:r w:rsidRPr="00254E4B">
        <w:rPr>
          <w:rFonts w:ascii="Times New Roman" w:hAnsi="Times New Roman"/>
          <w:b/>
          <w:lang w:val="fr-BE"/>
        </w:rPr>
        <w:t>, paragraphes </w:t>
      </w:r>
      <w:r w:rsidRPr="005C1999">
        <w:rPr>
          <w:rFonts w:ascii="Times New Roman" w:hAnsi="Times New Roman"/>
          <w:b/>
          <w:lang w:val="fr-BE"/>
        </w:rPr>
        <w:t>2</w:t>
      </w:r>
      <w:r w:rsidRPr="00254E4B">
        <w:rPr>
          <w:rFonts w:ascii="Times New Roman" w:hAnsi="Times New Roman"/>
          <w:b/>
          <w:lang w:val="fr-BE"/>
        </w:rPr>
        <w:t xml:space="preserve"> et </w:t>
      </w:r>
      <w:r w:rsidRPr="005C1999">
        <w:rPr>
          <w:rFonts w:ascii="Times New Roman" w:hAnsi="Times New Roman"/>
          <w:b/>
          <w:lang w:val="fr-BE"/>
        </w:rPr>
        <w:t>4</w:t>
      </w:r>
      <w:r w:rsidRPr="00254E4B">
        <w:rPr>
          <w:rFonts w:ascii="Times New Roman" w:hAnsi="Times New Roman"/>
          <w:b/>
          <w:lang w:val="fr-BE"/>
        </w:rPr>
        <w:t>, du règlement intérieur du Parlement européen</w:t>
      </w:r>
    </w:p>
    <w:p w:rsidR="00F03BF2" w:rsidRPr="00254E4B" w:rsidRDefault="00F03BF2" w:rsidP="00F03BF2">
      <w:pPr>
        <w:ind w:left="567" w:hanging="567"/>
        <w:jc w:val="left"/>
        <w:rPr>
          <w:rFonts w:ascii="Times New Roman" w:hAnsi="Times New Roman"/>
          <w:b/>
          <w:szCs w:val="24"/>
          <w:lang w:val="fr-BE"/>
        </w:rPr>
      </w:pPr>
      <w:r w:rsidRPr="005C1999">
        <w:rPr>
          <w:rFonts w:ascii="Times New Roman" w:hAnsi="Times New Roman"/>
          <w:b/>
          <w:lang w:val="fr-BE"/>
        </w:rPr>
        <w:t>2</w:t>
      </w:r>
      <w:r w:rsidRPr="00254E4B">
        <w:rPr>
          <w:rFonts w:ascii="Times New Roman" w:hAnsi="Times New Roman"/>
          <w:b/>
          <w:lang w:val="fr-BE"/>
        </w:rPr>
        <w:t>.</w:t>
      </w:r>
      <w:r w:rsidRPr="00254E4B">
        <w:rPr>
          <w:rFonts w:ascii="Times New Roman" w:hAnsi="Times New Roman"/>
          <w:lang w:val="fr-BE"/>
        </w:rPr>
        <w:tab/>
      </w:r>
      <w:r w:rsidRPr="00254E4B">
        <w:rPr>
          <w:rFonts w:ascii="Times New Roman" w:hAnsi="Times New Roman"/>
          <w:b/>
          <w:lang w:val="fr-BE"/>
        </w:rPr>
        <w:t xml:space="preserve">Numéros de référence: </w:t>
      </w:r>
      <w:r w:rsidRPr="005C1999">
        <w:rPr>
          <w:rFonts w:ascii="Times New Roman" w:hAnsi="Times New Roman"/>
          <w:lang w:val="fr-BE"/>
        </w:rPr>
        <w:t>2018</w:t>
      </w:r>
      <w:r w:rsidRPr="00254E4B">
        <w:rPr>
          <w:rFonts w:ascii="Times New Roman" w:hAnsi="Times New Roman"/>
          <w:lang w:val="fr-BE"/>
        </w:rPr>
        <w:t>/</w:t>
      </w:r>
      <w:r w:rsidRPr="005C1999">
        <w:rPr>
          <w:rFonts w:ascii="Times New Roman" w:hAnsi="Times New Roman"/>
          <w:lang w:val="fr-BE"/>
        </w:rPr>
        <w:t>2900</w:t>
      </w:r>
      <w:r w:rsidRPr="00254E4B">
        <w:rPr>
          <w:rFonts w:ascii="Times New Roman" w:hAnsi="Times New Roman"/>
          <w:lang w:val="fr-BE"/>
        </w:rPr>
        <w:t xml:space="preserve"> (RSP) / </w:t>
      </w:r>
      <w:bookmarkStart w:id="0" w:name="_GoBack"/>
      <w:r w:rsidRPr="00254E4B">
        <w:rPr>
          <w:rFonts w:ascii="Times New Roman" w:hAnsi="Times New Roman"/>
          <w:lang w:val="fr-BE"/>
        </w:rPr>
        <w:t>B</w:t>
      </w:r>
      <w:r w:rsidRPr="005C1999">
        <w:rPr>
          <w:rFonts w:ascii="Times New Roman" w:hAnsi="Times New Roman"/>
          <w:lang w:val="fr-BE"/>
        </w:rPr>
        <w:t>8</w:t>
      </w:r>
      <w:r w:rsidRPr="00254E4B">
        <w:rPr>
          <w:rFonts w:ascii="Times New Roman" w:hAnsi="Times New Roman"/>
          <w:lang w:val="fr-BE"/>
        </w:rPr>
        <w:t>-</w:t>
      </w:r>
      <w:r w:rsidRPr="005C1999">
        <w:rPr>
          <w:rFonts w:ascii="Times New Roman" w:hAnsi="Times New Roman"/>
          <w:lang w:val="fr-BE"/>
        </w:rPr>
        <w:t>0551</w:t>
      </w:r>
      <w:r w:rsidRPr="00254E4B">
        <w:rPr>
          <w:rFonts w:ascii="Times New Roman" w:hAnsi="Times New Roman"/>
          <w:lang w:val="fr-BE"/>
        </w:rPr>
        <w:t>/</w:t>
      </w:r>
      <w:r w:rsidRPr="005C1999">
        <w:rPr>
          <w:rFonts w:ascii="Times New Roman" w:hAnsi="Times New Roman"/>
          <w:lang w:val="fr-BE"/>
        </w:rPr>
        <w:t>2018</w:t>
      </w:r>
      <w:r w:rsidRPr="00254E4B">
        <w:rPr>
          <w:rFonts w:ascii="Times New Roman" w:hAnsi="Times New Roman"/>
          <w:lang w:val="fr-BE"/>
        </w:rPr>
        <w:t xml:space="preserve"> </w:t>
      </w:r>
      <w:bookmarkEnd w:id="0"/>
      <w:r w:rsidRPr="00254E4B">
        <w:rPr>
          <w:rFonts w:ascii="Times New Roman" w:hAnsi="Times New Roman"/>
          <w:lang w:val="fr-BE"/>
        </w:rPr>
        <w:t>/ P</w:t>
      </w:r>
      <w:r w:rsidRPr="005C1999">
        <w:rPr>
          <w:rFonts w:ascii="Times New Roman" w:hAnsi="Times New Roman"/>
          <w:lang w:val="fr-BE"/>
        </w:rPr>
        <w:t>8</w:t>
      </w:r>
      <w:r w:rsidRPr="00254E4B">
        <w:rPr>
          <w:rFonts w:ascii="Times New Roman" w:hAnsi="Times New Roman"/>
          <w:lang w:val="fr-BE"/>
        </w:rPr>
        <w:t>_TA-</w:t>
      </w:r>
      <w:proofErr w:type="gramStart"/>
      <w:r w:rsidRPr="00254E4B">
        <w:rPr>
          <w:rFonts w:ascii="Times New Roman" w:hAnsi="Times New Roman"/>
          <w:lang w:val="fr-BE"/>
        </w:rPr>
        <w:t>PROV(</w:t>
      </w:r>
      <w:proofErr w:type="gramEnd"/>
      <w:r w:rsidRPr="005C1999">
        <w:rPr>
          <w:rFonts w:ascii="Times New Roman" w:hAnsi="Times New Roman"/>
          <w:lang w:val="fr-BE"/>
        </w:rPr>
        <w:t>2018</w:t>
      </w:r>
      <w:r w:rsidRPr="00254E4B">
        <w:rPr>
          <w:rFonts w:ascii="Times New Roman" w:hAnsi="Times New Roman"/>
          <w:lang w:val="fr-BE"/>
        </w:rPr>
        <w:t>)</w:t>
      </w:r>
      <w:r w:rsidRPr="005C1999">
        <w:rPr>
          <w:rFonts w:ascii="Times New Roman" w:hAnsi="Times New Roman"/>
          <w:lang w:val="fr-BE"/>
        </w:rPr>
        <w:t>0475</w:t>
      </w:r>
    </w:p>
    <w:p w:rsidR="00F03BF2" w:rsidRPr="00254E4B" w:rsidRDefault="00F03BF2" w:rsidP="00F03BF2">
      <w:pPr>
        <w:ind w:left="567" w:hanging="567"/>
        <w:rPr>
          <w:rFonts w:ascii="Times New Roman" w:hAnsi="Times New Roman"/>
          <w:szCs w:val="24"/>
          <w:lang w:val="fr-BE"/>
        </w:rPr>
      </w:pPr>
      <w:r w:rsidRPr="005C1999">
        <w:rPr>
          <w:rFonts w:ascii="Times New Roman" w:hAnsi="Times New Roman"/>
          <w:b/>
          <w:lang w:val="fr-BE"/>
        </w:rPr>
        <w:t>3</w:t>
      </w:r>
      <w:r w:rsidRPr="00254E4B">
        <w:rPr>
          <w:rFonts w:ascii="Times New Roman" w:hAnsi="Times New Roman"/>
          <w:b/>
          <w:lang w:val="fr-BE"/>
        </w:rPr>
        <w:t>.</w:t>
      </w:r>
      <w:r w:rsidRPr="00254E4B">
        <w:rPr>
          <w:rFonts w:ascii="Times New Roman" w:hAnsi="Times New Roman"/>
          <w:lang w:val="fr-BE"/>
        </w:rPr>
        <w:tab/>
      </w:r>
      <w:r w:rsidRPr="00254E4B">
        <w:rPr>
          <w:rFonts w:ascii="Times New Roman" w:hAnsi="Times New Roman"/>
          <w:b/>
          <w:lang w:val="fr-BE"/>
        </w:rPr>
        <w:t>Date d’adoption de la résolution:</w:t>
      </w:r>
      <w:r w:rsidRPr="00254E4B">
        <w:rPr>
          <w:rFonts w:ascii="Times New Roman" w:hAnsi="Times New Roman"/>
          <w:lang w:val="fr-BE"/>
        </w:rPr>
        <w:t xml:space="preserve"> </w:t>
      </w:r>
      <w:r w:rsidRPr="005C1999">
        <w:rPr>
          <w:rFonts w:ascii="Times New Roman" w:hAnsi="Times New Roman"/>
          <w:lang w:val="fr-BE"/>
        </w:rPr>
        <w:t>29</w:t>
      </w:r>
      <w:r w:rsidRPr="00254E4B">
        <w:rPr>
          <w:rFonts w:ascii="Times New Roman" w:hAnsi="Times New Roman"/>
          <w:lang w:val="fr-BE"/>
        </w:rPr>
        <w:t> novembre </w:t>
      </w:r>
      <w:r w:rsidRPr="005C1999">
        <w:rPr>
          <w:rFonts w:ascii="Times New Roman" w:hAnsi="Times New Roman"/>
          <w:lang w:val="fr-BE"/>
        </w:rPr>
        <w:t>2018</w:t>
      </w:r>
    </w:p>
    <w:p w:rsidR="00F03BF2" w:rsidRPr="00254E4B" w:rsidRDefault="00F03BF2" w:rsidP="00F03BF2">
      <w:pPr>
        <w:ind w:left="567" w:hanging="567"/>
        <w:rPr>
          <w:rFonts w:ascii="Times New Roman" w:hAnsi="Times New Roman"/>
          <w:szCs w:val="24"/>
          <w:lang w:val="fr-BE"/>
        </w:rPr>
      </w:pPr>
      <w:r w:rsidRPr="005C1999">
        <w:rPr>
          <w:rFonts w:ascii="Times New Roman" w:hAnsi="Times New Roman"/>
          <w:b/>
          <w:lang w:val="fr-BE"/>
        </w:rPr>
        <w:t>4</w:t>
      </w:r>
      <w:r w:rsidRPr="00254E4B">
        <w:rPr>
          <w:rFonts w:ascii="Times New Roman" w:hAnsi="Times New Roman"/>
          <w:b/>
          <w:lang w:val="fr-BE"/>
        </w:rPr>
        <w:t>.</w:t>
      </w:r>
      <w:r w:rsidRPr="00254E4B">
        <w:rPr>
          <w:rFonts w:ascii="Times New Roman" w:hAnsi="Times New Roman"/>
          <w:lang w:val="fr-BE"/>
        </w:rPr>
        <w:tab/>
      </w:r>
      <w:r w:rsidRPr="00254E4B">
        <w:rPr>
          <w:rFonts w:ascii="Times New Roman" w:hAnsi="Times New Roman"/>
          <w:b/>
          <w:lang w:val="fr-BE"/>
        </w:rPr>
        <w:t xml:space="preserve">Commission parlementaire compétente: </w:t>
      </w:r>
      <w:r w:rsidRPr="00254E4B">
        <w:rPr>
          <w:rFonts w:ascii="Times New Roman" w:hAnsi="Times New Roman"/>
          <w:lang w:val="fr-BE"/>
        </w:rPr>
        <w:t>commission des affaires économiques et monétaires (ECON)</w:t>
      </w:r>
    </w:p>
    <w:p w:rsidR="00F03BF2" w:rsidRPr="00254E4B" w:rsidRDefault="00F03BF2" w:rsidP="00F03BF2">
      <w:pPr>
        <w:ind w:left="567" w:hanging="567"/>
        <w:rPr>
          <w:rFonts w:ascii="Times New Roman" w:hAnsi="Times New Roman"/>
          <w:b/>
          <w:szCs w:val="24"/>
          <w:lang w:val="fr-BE"/>
        </w:rPr>
      </w:pPr>
      <w:r w:rsidRPr="005C1999">
        <w:rPr>
          <w:rFonts w:ascii="Times New Roman" w:hAnsi="Times New Roman"/>
          <w:b/>
          <w:lang w:val="fr-BE"/>
        </w:rPr>
        <w:t>5</w:t>
      </w:r>
      <w:r w:rsidRPr="00254E4B">
        <w:rPr>
          <w:rFonts w:ascii="Times New Roman" w:hAnsi="Times New Roman"/>
          <w:b/>
          <w:lang w:val="fr-BE"/>
        </w:rPr>
        <w:t>.</w:t>
      </w:r>
      <w:r w:rsidRPr="00254E4B">
        <w:rPr>
          <w:rFonts w:ascii="Times New Roman" w:hAnsi="Times New Roman"/>
          <w:lang w:val="fr-BE"/>
        </w:rPr>
        <w:tab/>
      </w:r>
      <w:r w:rsidRPr="00254E4B">
        <w:rPr>
          <w:rFonts w:ascii="Times New Roman" w:hAnsi="Times New Roman"/>
          <w:b/>
          <w:lang w:val="fr-BE"/>
        </w:rPr>
        <w:t>Analyse/évaluation succincte de la résolution et des demandes qu’elle contient:</w:t>
      </w:r>
    </w:p>
    <w:p w:rsidR="00F03BF2" w:rsidRPr="00254E4B" w:rsidRDefault="00F03BF2" w:rsidP="00F03BF2">
      <w:pPr>
        <w:rPr>
          <w:rFonts w:ascii="Times New Roman" w:hAnsi="Times New Roman"/>
          <w:szCs w:val="24"/>
          <w:lang w:val="fr-BE"/>
        </w:rPr>
      </w:pPr>
      <w:r w:rsidRPr="00254E4B">
        <w:rPr>
          <w:rFonts w:ascii="Times New Roman" w:hAnsi="Times New Roman"/>
          <w:lang w:val="fr-BE"/>
        </w:rPr>
        <w:t xml:space="preserve">La résolution contient </w:t>
      </w:r>
      <w:r w:rsidRPr="005C1999">
        <w:rPr>
          <w:rFonts w:ascii="Times New Roman" w:hAnsi="Times New Roman"/>
          <w:lang w:val="fr-BE"/>
        </w:rPr>
        <w:t>28</w:t>
      </w:r>
      <w:r w:rsidRPr="00254E4B">
        <w:rPr>
          <w:rFonts w:ascii="Times New Roman" w:hAnsi="Times New Roman"/>
          <w:lang w:val="fr-BE"/>
        </w:rPr>
        <w:t xml:space="preserve"> recommandations, adressées pour la plupart aux États membres et à leurs autorités compétentes en matière de fiscalité, de surveillance des marchés financiers et de lutte contre le blanchiment de capitaux. La Commission ne traite que des recommandations qui relèvent de son champ de compétences.</w:t>
      </w:r>
    </w:p>
    <w:p w:rsidR="00F03BF2" w:rsidRPr="00254E4B" w:rsidRDefault="00F03BF2" w:rsidP="00F03BF2">
      <w:pPr>
        <w:spacing w:after="120"/>
        <w:rPr>
          <w:rFonts w:ascii="Times New Roman" w:hAnsi="Times New Roman"/>
          <w:szCs w:val="24"/>
          <w:lang w:val="fr-BE"/>
        </w:rPr>
      </w:pPr>
      <w:r w:rsidRPr="00254E4B">
        <w:rPr>
          <w:rFonts w:ascii="Times New Roman" w:hAnsi="Times New Roman"/>
          <w:lang w:val="fr-BE"/>
        </w:rPr>
        <w:t>La résolution demande que l’Autorité européenne des marchés financiers et l’Autorité bancaire européenne mènent une enquête sur les montages à l’origine de la fraude dite des</w:t>
      </w:r>
      <w:proofErr w:type="gramStart"/>
      <w:r w:rsidRPr="00254E4B">
        <w:rPr>
          <w:rFonts w:ascii="Times New Roman" w:hAnsi="Times New Roman"/>
          <w:lang w:val="fr-BE"/>
        </w:rPr>
        <w:t xml:space="preserve"> «</w:t>
      </w:r>
      <w:proofErr w:type="spellStart"/>
      <w:r w:rsidRPr="00254E4B">
        <w:rPr>
          <w:rFonts w:ascii="Times New Roman" w:hAnsi="Times New Roman"/>
          <w:lang w:val="fr-BE"/>
        </w:rPr>
        <w:t>CumEx</w:t>
      </w:r>
      <w:proofErr w:type="spellEnd"/>
      <w:proofErr w:type="gramEnd"/>
      <w:r w:rsidRPr="00254E4B">
        <w:rPr>
          <w:rFonts w:ascii="Times New Roman" w:hAnsi="Times New Roman"/>
          <w:lang w:val="fr-BE"/>
        </w:rPr>
        <w:t xml:space="preserve"> files». L’objectif d’une telle enquête serait d’évaluer les menaces que ces montages font peser sur les marchés financiers, de déterminer quels acteurs interviennent dans ces montages, d’évaluer s’il y a eu violation du droit de l’Union ou d’un droit national et d’examiner les mesures prises par les autorités nationales de surveillance financière. La résolution exhorte les autorités nationales à ouvrir des enquêtes pénales contre les auteurs de ces infractions et ceux qui les ont permises, c’est-à-dire non seulement des conseillers fiscaux, mais également des juristes, des comptables et des banques.</w:t>
      </w:r>
    </w:p>
    <w:p w:rsidR="00F03BF2" w:rsidRPr="00254E4B" w:rsidRDefault="00F03BF2" w:rsidP="00F03BF2">
      <w:pPr>
        <w:spacing w:after="120"/>
        <w:rPr>
          <w:rFonts w:ascii="Times New Roman" w:hAnsi="Times New Roman"/>
          <w:szCs w:val="24"/>
          <w:lang w:val="fr-BE"/>
        </w:rPr>
      </w:pPr>
      <w:r w:rsidRPr="00254E4B">
        <w:rPr>
          <w:rFonts w:ascii="Times New Roman" w:hAnsi="Times New Roman"/>
          <w:lang w:val="fr-BE"/>
        </w:rPr>
        <w:t>La résolution recommande de modifier la directive sur la coopération administrative dans le domaine de la fiscalité directe</w:t>
      </w:r>
      <w:r w:rsidRPr="00806F10">
        <w:rPr>
          <w:rStyle w:val="FootnoteReference"/>
          <w:rFonts w:ascii="Times New Roman" w:hAnsi="Times New Roman"/>
        </w:rPr>
        <w:footnoteReference w:id="1"/>
      </w:r>
      <w:r w:rsidRPr="00254E4B">
        <w:rPr>
          <w:rFonts w:ascii="Times New Roman" w:hAnsi="Times New Roman"/>
          <w:lang w:val="fr-BE"/>
        </w:rPr>
        <w:t>, afin d’étendre le champ d’application de l’échange automatique obligatoire d’informations. Elle invite également la Commission à réviser la directive mères-filiales</w:t>
      </w:r>
      <w:r w:rsidRPr="00806F10">
        <w:rPr>
          <w:rStyle w:val="FootnoteReference"/>
          <w:rFonts w:ascii="Times New Roman" w:hAnsi="Times New Roman"/>
        </w:rPr>
        <w:footnoteReference w:id="2"/>
      </w:r>
      <w:r w:rsidRPr="00254E4B">
        <w:rPr>
          <w:rFonts w:ascii="Times New Roman" w:hAnsi="Times New Roman"/>
          <w:lang w:val="fr-BE"/>
        </w:rPr>
        <w:t xml:space="preserve"> afin de combattre les pratiques d’arbitrage de dividendes et d’examiner la nécessité d’un cadre européen en matière de fiscalité des revenus du capital.</w:t>
      </w:r>
    </w:p>
    <w:p w:rsidR="00F03BF2" w:rsidRPr="00254E4B" w:rsidRDefault="00F03BF2" w:rsidP="00F03BF2">
      <w:pPr>
        <w:spacing w:after="120"/>
        <w:rPr>
          <w:rFonts w:ascii="Times New Roman" w:hAnsi="Times New Roman"/>
          <w:szCs w:val="24"/>
          <w:lang w:val="fr-BE"/>
        </w:rPr>
      </w:pPr>
      <w:r w:rsidRPr="00254E4B">
        <w:rPr>
          <w:rFonts w:ascii="Times New Roman" w:hAnsi="Times New Roman"/>
          <w:lang w:val="fr-BE"/>
        </w:rPr>
        <w:t xml:space="preserve">Reconnaissant que la crise de </w:t>
      </w:r>
      <w:r w:rsidRPr="005C1999">
        <w:rPr>
          <w:rFonts w:ascii="Times New Roman" w:hAnsi="Times New Roman"/>
          <w:lang w:val="fr-BE"/>
        </w:rPr>
        <w:t>2008</w:t>
      </w:r>
      <w:r w:rsidRPr="00254E4B">
        <w:rPr>
          <w:rFonts w:ascii="Times New Roman" w:hAnsi="Times New Roman"/>
          <w:lang w:val="fr-BE"/>
        </w:rPr>
        <w:t xml:space="preserve"> et les réductions des dépenses publiques qui en ont résulté ont affecté les autorités fiscales, la résolution demande que davantage d’investissements nationaux soient consacrés à la modernisation et au renforcement des autorités fiscales et que des ressources humaines adéquates soient prévues pour améliorer la surveillance et assurer un meilleur partage des informations.</w:t>
      </w:r>
    </w:p>
    <w:p w:rsidR="00F03BF2" w:rsidRPr="00254E4B" w:rsidRDefault="00F03BF2" w:rsidP="00F03BF2">
      <w:pPr>
        <w:spacing w:after="120"/>
        <w:rPr>
          <w:rFonts w:ascii="Times New Roman" w:hAnsi="Times New Roman"/>
          <w:szCs w:val="24"/>
          <w:lang w:val="fr-BE"/>
        </w:rPr>
      </w:pPr>
      <w:r w:rsidRPr="00254E4B">
        <w:rPr>
          <w:rFonts w:ascii="Times New Roman" w:hAnsi="Times New Roman"/>
          <w:lang w:val="fr-BE"/>
        </w:rPr>
        <w:t>Enfin, la résolution invite la Commission à élaborer une proposition relative à une police financière européenne, ainsi qu’un cadre européen pour les enquêtes fiscales transfrontières, et à réfléchir à une proposition visant à instituer une cellule de renseignement financier de l’Union et un mécanisme de signalement précoce.</w:t>
      </w:r>
    </w:p>
    <w:p w:rsidR="00F03BF2" w:rsidRPr="00254E4B" w:rsidRDefault="00F03BF2" w:rsidP="00F03BF2">
      <w:pPr>
        <w:keepNext/>
        <w:keepLines/>
        <w:ind w:left="567" w:hanging="567"/>
        <w:rPr>
          <w:rFonts w:ascii="Times New Roman" w:hAnsi="Times New Roman"/>
          <w:b/>
          <w:szCs w:val="24"/>
          <w:lang w:val="fr-BE"/>
        </w:rPr>
      </w:pPr>
      <w:r w:rsidRPr="005C1999">
        <w:rPr>
          <w:rFonts w:ascii="Times New Roman" w:hAnsi="Times New Roman"/>
          <w:b/>
          <w:lang w:val="fr-BE"/>
        </w:rPr>
        <w:lastRenderedPageBreak/>
        <w:t>6</w:t>
      </w:r>
      <w:r w:rsidRPr="00254E4B">
        <w:rPr>
          <w:rFonts w:ascii="Times New Roman" w:hAnsi="Times New Roman"/>
          <w:b/>
          <w:lang w:val="fr-BE"/>
        </w:rPr>
        <w:t>.</w:t>
      </w:r>
      <w:r w:rsidRPr="00254E4B">
        <w:rPr>
          <w:rFonts w:ascii="Times New Roman" w:hAnsi="Times New Roman"/>
          <w:lang w:val="fr-BE"/>
        </w:rPr>
        <w:tab/>
      </w:r>
      <w:r w:rsidRPr="00254E4B">
        <w:rPr>
          <w:rFonts w:ascii="Times New Roman" w:hAnsi="Times New Roman"/>
          <w:b/>
          <w:lang w:val="fr-BE"/>
        </w:rPr>
        <w:t>Réponse à ces demandes et aperçu des mesures que la Commission a prises ou envisage de prendre:</w:t>
      </w:r>
    </w:p>
    <w:p w:rsidR="00F03BF2" w:rsidRPr="00254E4B" w:rsidRDefault="00F03BF2" w:rsidP="00F03BF2">
      <w:pPr>
        <w:keepNext/>
        <w:keepLines/>
        <w:rPr>
          <w:rFonts w:ascii="Times New Roman" w:hAnsi="Times New Roman"/>
          <w:b/>
          <w:szCs w:val="24"/>
          <w:lang w:val="fr-BE"/>
        </w:rPr>
      </w:pPr>
      <w:r w:rsidRPr="00254E4B">
        <w:rPr>
          <w:rFonts w:ascii="Times New Roman" w:hAnsi="Times New Roman"/>
          <w:b/>
          <w:lang w:val="fr-BE"/>
        </w:rPr>
        <w:t>Recommandation nº </w:t>
      </w:r>
      <w:r w:rsidRPr="005C1999">
        <w:rPr>
          <w:rFonts w:ascii="Times New Roman" w:hAnsi="Times New Roman"/>
          <w:b/>
          <w:lang w:val="fr-BE"/>
        </w:rPr>
        <w:t>4</w:t>
      </w:r>
      <w:r w:rsidRPr="00254E4B">
        <w:rPr>
          <w:rFonts w:ascii="Times New Roman" w:hAnsi="Times New Roman"/>
          <w:b/>
          <w:lang w:val="fr-BE"/>
        </w:rPr>
        <w:t>: regrette que le commissaire responsable de la fiscalité ne reconnaisse pas la nécessité d’étendre le système actuel d’échange d’informations entre les autorités fiscales nationales</w:t>
      </w:r>
    </w:p>
    <w:p w:rsidR="00F03BF2" w:rsidRPr="00254E4B" w:rsidRDefault="00F03BF2" w:rsidP="00F03BF2">
      <w:pPr>
        <w:spacing w:after="120"/>
        <w:rPr>
          <w:rFonts w:ascii="Times New Roman" w:hAnsi="Times New Roman"/>
          <w:szCs w:val="24"/>
          <w:lang w:val="fr-BE"/>
        </w:rPr>
      </w:pPr>
      <w:r w:rsidRPr="00254E4B">
        <w:rPr>
          <w:rFonts w:ascii="Times New Roman" w:hAnsi="Times New Roman"/>
          <w:lang w:val="fr-BE"/>
        </w:rPr>
        <w:t xml:space="preserve">Comme l’a déclaré le commissaire Moscovici lors de son audition du </w:t>
      </w:r>
      <w:r w:rsidRPr="005C1999">
        <w:rPr>
          <w:rFonts w:ascii="Times New Roman" w:hAnsi="Times New Roman"/>
          <w:lang w:val="fr-BE"/>
        </w:rPr>
        <w:t>28</w:t>
      </w:r>
      <w:r w:rsidRPr="00254E4B">
        <w:rPr>
          <w:rFonts w:ascii="Times New Roman" w:hAnsi="Times New Roman"/>
          <w:lang w:val="fr-BE"/>
        </w:rPr>
        <w:t xml:space="preserve"> novembre </w:t>
      </w:r>
      <w:r w:rsidRPr="005C1999">
        <w:rPr>
          <w:rFonts w:ascii="Times New Roman" w:hAnsi="Times New Roman"/>
          <w:lang w:val="fr-BE"/>
        </w:rPr>
        <w:t>2018</w:t>
      </w:r>
      <w:r w:rsidRPr="00254E4B">
        <w:rPr>
          <w:rFonts w:ascii="Times New Roman" w:hAnsi="Times New Roman"/>
          <w:lang w:val="fr-BE"/>
        </w:rPr>
        <w:t xml:space="preserve"> devant la commission spéciale sur la criminalité financière, la fraude fiscale et l’évasion fiscale (TAX</w:t>
      </w:r>
      <w:r w:rsidRPr="005C1999">
        <w:rPr>
          <w:rFonts w:ascii="Times New Roman" w:hAnsi="Times New Roman"/>
          <w:lang w:val="fr-BE"/>
        </w:rPr>
        <w:t>3</w:t>
      </w:r>
      <w:r w:rsidRPr="00254E4B">
        <w:rPr>
          <w:rFonts w:ascii="Times New Roman" w:hAnsi="Times New Roman"/>
          <w:lang w:val="fr-BE"/>
        </w:rPr>
        <w:t xml:space="preserve">) et précédemment, lors du débat du </w:t>
      </w:r>
      <w:r w:rsidRPr="005C1999">
        <w:rPr>
          <w:rFonts w:ascii="Times New Roman" w:hAnsi="Times New Roman"/>
          <w:lang w:val="fr-BE"/>
        </w:rPr>
        <w:t>23</w:t>
      </w:r>
      <w:r w:rsidRPr="00254E4B">
        <w:rPr>
          <w:rFonts w:ascii="Times New Roman" w:hAnsi="Times New Roman"/>
          <w:lang w:val="fr-BE"/>
        </w:rPr>
        <w:t xml:space="preserve"> octobre </w:t>
      </w:r>
      <w:r w:rsidRPr="005C1999">
        <w:rPr>
          <w:rFonts w:ascii="Times New Roman" w:hAnsi="Times New Roman"/>
          <w:lang w:val="fr-BE"/>
        </w:rPr>
        <w:t>2018</w:t>
      </w:r>
      <w:r w:rsidRPr="00254E4B">
        <w:rPr>
          <w:rFonts w:ascii="Times New Roman" w:hAnsi="Times New Roman"/>
          <w:lang w:val="fr-BE"/>
        </w:rPr>
        <w:t xml:space="preserve"> en plénière, la Commission estime que, dans le cadre de l’évaluation en cours de la directive sur la coopération administrative (DCA), il convient d’examiner s’il est nécessaire d’élargir le champ de l’échange automatique obligatoire des informations. Après l’entrée en vigueur des dispositions concernées</w:t>
      </w:r>
      <w:r w:rsidRPr="00806F10">
        <w:rPr>
          <w:rStyle w:val="FootnoteReference"/>
          <w:rFonts w:ascii="Times New Roman" w:hAnsi="Times New Roman"/>
        </w:rPr>
        <w:footnoteReference w:id="3"/>
      </w:r>
      <w:r w:rsidRPr="00254E4B">
        <w:rPr>
          <w:rFonts w:ascii="Times New Roman" w:hAnsi="Times New Roman"/>
          <w:lang w:val="fr-BE"/>
        </w:rPr>
        <w:t>, le champ d’application actuel de l’échange automatique d’informations sera étendu, à partir de la mi-</w:t>
      </w:r>
      <w:r w:rsidRPr="005C1999">
        <w:rPr>
          <w:rFonts w:ascii="Times New Roman" w:hAnsi="Times New Roman"/>
          <w:lang w:val="fr-BE"/>
        </w:rPr>
        <w:t>2020</w:t>
      </w:r>
      <w:r w:rsidRPr="00254E4B">
        <w:rPr>
          <w:rFonts w:ascii="Times New Roman" w:hAnsi="Times New Roman"/>
          <w:lang w:val="fr-BE"/>
        </w:rPr>
        <w:t>, aux dispositifs transfrontières devant faire l'objet d'une déclaration.</w:t>
      </w:r>
    </w:p>
    <w:p w:rsidR="00F03BF2" w:rsidRPr="00254E4B" w:rsidRDefault="00F03BF2" w:rsidP="00F03BF2">
      <w:pPr>
        <w:rPr>
          <w:rFonts w:ascii="Times New Roman" w:hAnsi="Times New Roman"/>
          <w:szCs w:val="24"/>
          <w:lang w:val="fr-BE"/>
        </w:rPr>
      </w:pPr>
      <w:r w:rsidRPr="00254E4B">
        <w:rPr>
          <w:rFonts w:ascii="Times New Roman" w:hAnsi="Times New Roman"/>
          <w:lang w:val="fr-BE"/>
        </w:rPr>
        <w:t xml:space="preserve">La directive </w:t>
      </w:r>
      <w:r w:rsidRPr="005C1999">
        <w:rPr>
          <w:rFonts w:ascii="Times New Roman" w:hAnsi="Times New Roman"/>
          <w:lang w:val="fr-BE"/>
        </w:rPr>
        <w:t>2011</w:t>
      </w:r>
      <w:r w:rsidRPr="00254E4B">
        <w:rPr>
          <w:rFonts w:ascii="Times New Roman" w:hAnsi="Times New Roman"/>
          <w:lang w:val="fr-BE"/>
        </w:rPr>
        <w:t>/</w:t>
      </w:r>
      <w:r w:rsidRPr="005C1999">
        <w:rPr>
          <w:rFonts w:ascii="Times New Roman" w:hAnsi="Times New Roman"/>
          <w:lang w:val="fr-BE"/>
        </w:rPr>
        <w:t>16</w:t>
      </w:r>
      <w:r w:rsidRPr="00254E4B">
        <w:rPr>
          <w:rFonts w:ascii="Times New Roman" w:hAnsi="Times New Roman"/>
          <w:lang w:val="fr-BE"/>
        </w:rPr>
        <w:t>/UE sur la coopération administrative (DCA) établit les procédures nécessaires et définit la structure d’une plate-forme sécurisée pour la coopération entre les administrations fiscales de l’Union européenne. Le champ d’application de la directive englobe les impôts de toute nature à l’exception de la TVA, des droits de douane, des accises et des cotisations sociales obligatoires, car ceux-ci sont déjà couverts par d’autres législations de l’Union sur la coopération administrative. La directive prévoit l’échange de certains renseignements fiscaux sous trois formes principales: spontanée, sur demande et automatique. La directive sur la coopération administrative a été modifiée à cinq reprises pour étendre l’échange automatique d’informations aux comptes financiers (DCA</w:t>
      </w:r>
      <w:r w:rsidRPr="005C1999">
        <w:rPr>
          <w:rFonts w:ascii="Times New Roman" w:hAnsi="Times New Roman"/>
          <w:lang w:val="fr-BE"/>
        </w:rPr>
        <w:t>2</w:t>
      </w:r>
      <w:r w:rsidRPr="00254E4B">
        <w:rPr>
          <w:rFonts w:ascii="Times New Roman" w:hAnsi="Times New Roman"/>
          <w:lang w:val="fr-BE"/>
        </w:rPr>
        <w:t>), aux décisions fiscales (DCA</w:t>
      </w:r>
      <w:r w:rsidRPr="005C1999">
        <w:rPr>
          <w:rFonts w:ascii="Times New Roman" w:hAnsi="Times New Roman"/>
          <w:lang w:val="fr-BE"/>
        </w:rPr>
        <w:t>3</w:t>
      </w:r>
      <w:r w:rsidRPr="00254E4B">
        <w:rPr>
          <w:rFonts w:ascii="Times New Roman" w:hAnsi="Times New Roman"/>
          <w:lang w:val="fr-BE"/>
        </w:rPr>
        <w:t>), aux rapports pays par pays (DCA</w:t>
      </w:r>
      <w:r w:rsidRPr="005C1999">
        <w:rPr>
          <w:rFonts w:ascii="Times New Roman" w:hAnsi="Times New Roman"/>
          <w:lang w:val="fr-BE"/>
        </w:rPr>
        <w:t>4</w:t>
      </w:r>
      <w:r w:rsidRPr="00254E4B">
        <w:rPr>
          <w:rFonts w:ascii="Times New Roman" w:hAnsi="Times New Roman"/>
          <w:lang w:val="fr-BE"/>
        </w:rPr>
        <w:t>), ainsi que pour garantir l’accès des autorités fiscales aux informations concernant le blanchiment de capitaux (DCA</w:t>
      </w:r>
      <w:r w:rsidRPr="005C1999">
        <w:rPr>
          <w:rFonts w:ascii="Times New Roman" w:hAnsi="Times New Roman"/>
          <w:lang w:val="fr-BE"/>
        </w:rPr>
        <w:t>5</w:t>
      </w:r>
      <w:r w:rsidRPr="00254E4B">
        <w:rPr>
          <w:rFonts w:ascii="Times New Roman" w:hAnsi="Times New Roman"/>
          <w:lang w:val="fr-BE"/>
        </w:rPr>
        <w:t>) et plus récemment pour étendre l’échange automatique d’informations aux montages fiscaux potentiellement dommageables vendus par des intermédiaires (DCA</w:t>
      </w:r>
      <w:r w:rsidRPr="005C1999">
        <w:rPr>
          <w:rFonts w:ascii="Times New Roman" w:hAnsi="Times New Roman"/>
          <w:lang w:val="fr-BE"/>
        </w:rPr>
        <w:t>6</w:t>
      </w:r>
      <w:r w:rsidRPr="00254E4B">
        <w:rPr>
          <w:rFonts w:ascii="Times New Roman" w:hAnsi="Times New Roman"/>
          <w:lang w:val="fr-BE"/>
        </w:rPr>
        <w:t>).</w:t>
      </w:r>
    </w:p>
    <w:p w:rsidR="00F03BF2" w:rsidRPr="00254E4B" w:rsidRDefault="00F03BF2" w:rsidP="00F03BF2">
      <w:pPr>
        <w:rPr>
          <w:rFonts w:ascii="Times New Roman" w:hAnsi="Times New Roman"/>
          <w:b/>
          <w:szCs w:val="24"/>
          <w:lang w:val="fr-BE"/>
        </w:rPr>
      </w:pPr>
      <w:r w:rsidRPr="00254E4B">
        <w:rPr>
          <w:rFonts w:ascii="Times New Roman" w:hAnsi="Times New Roman"/>
          <w:b/>
          <w:lang w:val="fr-BE"/>
        </w:rPr>
        <w:t>Recommandation nº </w:t>
      </w:r>
      <w:r w:rsidRPr="005C1999">
        <w:rPr>
          <w:rFonts w:ascii="Times New Roman" w:hAnsi="Times New Roman"/>
          <w:b/>
          <w:lang w:val="fr-BE"/>
        </w:rPr>
        <w:t>9</w:t>
      </w:r>
      <w:r w:rsidRPr="00254E4B">
        <w:rPr>
          <w:rFonts w:ascii="Times New Roman" w:hAnsi="Times New Roman"/>
          <w:b/>
          <w:lang w:val="fr-BE"/>
        </w:rPr>
        <w:t>: souligne que ces nouvelles révélations semblent révéler de possibles lacunes dans les législations fiscales nationales et dans les systèmes en vigueur d’échange d’informations et de coopération entre les autorités des États membres; invite les États membres à mettre réellement en œuvre l’échange automatique et obligatoire d’informations dans le domaine fiscal</w:t>
      </w:r>
    </w:p>
    <w:p w:rsidR="00F03BF2" w:rsidRPr="00254E4B" w:rsidRDefault="00F03BF2" w:rsidP="00F03BF2">
      <w:pPr>
        <w:rPr>
          <w:rFonts w:ascii="Times New Roman" w:hAnsi="Times New Roman"/>
          <w:szCs w:val="24"/>
          <w:lang w:val="fr-BE"/>
        </w:rPr>
      </w:pPr>
      <w:r w:rsidRPr="00254E4B">
        <w:rPr>
          <w:rFonts w:ascii="Times New Roman" w:hAnsi="Times New Roman"/>
          <w:lang w:val="fr-BE"/>
        </w:rPr>
        <w:t xml:space="preserve">Les États membres doivent mettre effectivement en œuvre l’échange obligatoire d’informations sur la base de la législation de l’Union applicable, en particulier de la directive </w:t>
      </w:r>
      <w:r w:rsidRPr="005C1999">
        <w:rPr>
          <w:rFonts w:ascii="Times New Roman" w:hAnsi="Times New Roman"/>
          <w:lang w:val="fr-BE"/>
        </w:rPr>
        <w:t>2011</w:t>
      </w:r>
      <w:r w:rsidRPr="00254E4B">
        <w:rPr>
          <w:rFonts w:ascii="Times New Roman" w:hAnsi="Times New Roman"/>
          <w:lang w:val="fr-BE"/>
        </w:rPr>
        <w:t>/</w:t>
      </w:r>
      <w:r w:rsidRPr="005C1999">
        <w:rPr>
          <w:rFonts w:ascii="Times New Roman" w:hAnsi="Times New Roman"/>
          <w:lang w:val="fr-BE"/>
        </w:rPr>
        <w:t>16</w:t>
      </w:r>
      <w:r w:rsidRPr="00254E4B">
        <w:rPr>
          <w:rFonts w:ascii="Times New Roman" w:hAnsi="Times New Roman"/>
          <w:lang w:val="fr-BE"/>
        </w:rPr>
        <w:t>/UE telle que modifiée. Toutefois, il est reconnu que son application peut présenter des lacunes. Conformément à l’article </w:t>
      </w:r>
      <w:r w:rsidRPr="005C1999">
        <w:rPr>
          <w:rFonts w:ascii="Times New Roman" w:hAnsi="Times New Roman"/>
          <w:lang w:val="fr-BE"/>
        </w:rPr>
        <w:t>23</w:t>
      </w:r>
      <w:r w:rsidRPr="00254E4B">
        <w:rPr>
          <w:rFonts w:ascii="Times New Roman" w:hAnsi="Times New Roman"/>
          <w:lang w:val="fr-BE"/>
        </w:rPr>
        <w:t xml:space="preserve"> de la directive </w:t>
      </w:r>
      <w:r w:rsidRPr="005C1999">
        <w:rPr>
          <w:rFonts w:ascii="Times New Roman" w:hAnsi="Times New Roman"/>
          <w:lang w:val="fr-BE"/>
        </w:rPr>
        <w:t>2011</w:t>
      </w:r>
      <w:r w:rsidRPr="00254E4B">
        <w:rPr>
          <w:rFonts w:ascii="Times New Roman" w:hAnsi="Times New Roman"/>
          <w:lang w:val="fr-BE"/>
        </w:rPr>
        <w:t>/</w:t>
      </w:r>
      <w:r w:rsidRPr="005C1999">
        <w:rPr>
          <w:rFonts w:ascii="Times New Roman" w:hAnsi="Times New Roman"/>
          <w:lang w:val="fr-BE"/>
        </w:rPr>
        <w:t>16</w:t>
      </w:r>
      <w:r w:rsidRPr="00254E4B">
        <w:rPr>
          <w:rFonts w:ascii="Times New Roman" w:hAnsi="Times New Roman"/>
          <w:lang w:val="fr-BE"/>
        </w:rPr>
        <w:t>/UE, la Commission, conjointement avec les États membres, a le devoir d’examiner et d’évaluer le fonctionnement de l’échange d’informations en pratique</w:t>
      </w:r>
      <w:r w:rsidRPr="00806F10">
        <w:rPr>
          <w:rStyle w:val="FootnoteReference"/>
          <w:rFonts w:ascii="Times New Roman" w:hAnsi="Times New Roman"/>
        </w:rPr>
        <w:footnoteReference w:id="4"/>
      </w:r>
      <w:r w:rsidRPr="00254E4B">
        <w:rPr>
          <w:rFonts w:ascii="Times New Roman" w:hAnsi="Times New Roman"/>
          <w:lang w:val="fr-BE"/>
        </w:rPr>
        <w:t xml:space="preserve">: en d’autres termes, il convient d’évaluer s’il est efficient, efficace, pertinent, cohérent et s’il offre une valeur ajoutée européenne. Pour répondre à ces questions, les services de la Commission procèdent actuellement à une évaluation de la coopération administrative au titre de la directive </w:t>
      </w:r>
      <w:r w:rsidRPr="005C1999">
        <w:rPr>
          <w:rFonts w:ascii="Times New Roman" w:hAnsi="Times New Roman"/>
          <w:lang w:val="fr-BE"/>
        </w:rPr>
        <w:t>2011</w:t>
      </w:r>
      <w:r w:rsidRPr="00254E4B">
        <w:rPr>
          <w:rFonts w:ascii="Times New Roman" w:hAnsi="Times New Roman"/>
          <w:lang w:val="fr-BE"/>
        </w:rPr>
        <w:t>/</w:t>
      </w:r>
      <w:r w:rsidRPr="005C1999">
        <w:rPr>
          <w:rFonts w:ascii="Times New Roman" w:hAnsi="Times New Roman"/>
          <w:lang w:val="fr-BE"/>
        </w:rPr>
        <w:t>16</w:t>
      </w:r>
      <w:r w:rsidRPr="00254E4B">
        <w:rPr>
          <w:rFonts w:ascii="Times New Roman" w:hAnsi="Times New Roman"/>
          <w:lang w:val="fr-BE"/>
        </w:rPr>
        <w:t xml:space="preserve">/EU, telle que modifiée. Selon le plan actuel, le rapport d’évaluation devrait être publié au cours du premier semestre </w:t>
      </w:r>
      <w:r w:rsidRPr="005C1999">
        <w:rPr>
          <w:rFonts w:ascii="Times New Roman" w:hAnsi="Times New Roman"/>
          <w:lang w:val="fr-BE"/>
        </w:rPr>
        <w:t>2019</w:t>
      </w:r>
      <w:r w:rsidRPr="00254E4B">
        <w:rPr>
          <w:rFonts w:ascii="Times New Roman" w:hAnsi="Times New Roman"/>
          <w:lang w:val="fr-BE"/>
        </w:rPr>
        <w:t>.</w:t>
      </w:r>
    </w:p>
    <w:p w:rsidR="00F03BF2" w:rsidRPr="00254E4B" w:rsidRDefault="00F03BF2" w:rsidP="00F03BF2">
      <w:pPr>
        <w:rPr>
          <w:rFonts w:ascii="Times New Roman" w:hAnsi="Times New Roman"/>
          <w:szCs w:val="24"/>
          <w:lang w:val="fr-BE"/>
        </w:rPr>
      </w:pPr>
      <w:r w:rsidRPr="00254E4B">
        <w:rPr>
          <w:rFonts w:ascii="Times New Roman" w:hAnsi="Times New Roman"/>
          <w:b/>
          <w:lang w:val="fr-BE"/>
        </w:rPr>
        <w:lastRenderedPageBreak/>
        <w:t>Recommandation nº </w:t>
      </w:r>
      <w:r w:rsidRPr="005C1999">
        <w:rPr>
          <w:rFonts w:ascii="Times New Roman" w:hAnsi="Times New Roman"/>
          <w:b/>
          <w:lang w:val="fr-BE"/>
        </w:rPr>
        <w:t>10</w:t>
      </w:r>
      <w:r w:rsidRPr="00254E4B">
        <w:rPr>
          <w:rFonts w:ascii="Times New Roman" w:hAnsi="Times New Roman"/>
          <w:b/>
          <w:lang w:val="fr-BE"/>
        </w:rPr>
        <w:t>: plaide pour un renforcement des échanges d’informations au niveau des autorités fiscales afin d’éviter les problèmes de confidentialité fiscale constatés dans certains États membres</w:t>
      </w:r>
    </w:p>
    <w:p w:rsidR="00F03BF2" w:rsidRPr="00254E4B" w:rsidRDefault="00F03BF2" w:rsidP="00F03BF2">
      <w:pPr>
        <w:rPr>
          <w:rFonts w:ascii="Times New Roman" w:hAnsi="Times New Roman"/>
          <w:b/>
          <w:szCs w:val="24"/>
          <w:lang w:val="fr-BE"/>
        </w:rPr>
      </w:pPr>
      <w:r w:rsidRPr="00254E4B">
        <w:rPr>
          <w:rFonts w:ascii="Times New Roman" w:hAnsi="Times New Roman"/>
          <w:lang w:val="fr-BE"/>
        </w:rPr>
        <w:t>La Commission encourage tous les États membres à tirer pleinement parti de l’échange d’informations, tout en respectant dûment la confidentialité des données à caractère personnel des contribuables.</w:t>
      </w:r>
    </w:p>
    <w:p w:rsidR="00F03BF2" w:rsidRPr="00254E4B" w:rsidRDefault="00F03BF2" w:rsidP="00F03BF2">
      <w:pPr>
        <w:rPr>
          <w:rFonts w:ascii="Times New Roman" w:hAnsi="Times New Roman"/>
          <w:b/>
          <w:szCs w:val="24"/>
          <w:lang w:val="fr-BE"/>
        </w:rPr>
      </w:pPr>
      <w:r w:rsidRPr="00254E4B">
        <w:rPr>
          <w:rFonts w:ascii="Times New Roman" w:hAnsi="Times New Roman"/>
          <w:b/>
          <w:lang w:val="fr-BE"/>
        </w:rPr>
        <w:t>Recommandation nº </w:t>
      </w:r>
      <w:r w:rsidRPr="005C1999">
        <w:rPr>
          <w:rFonts w:ascii="Times New Roman" w:hAnsi="Times New Roman"/>
          <w:b/>
          <w:lang w:val="fr-BE"/>
        </w:rPr>
        <w:t>11</w:t>
      </w:r>
      <w:r w:rsidRPr="00254E4B">
        <w:rPr>
          <w:rFonts w:ascii="Times New Roman" w:hAnsi="Times New Roman"/>
          <w:b/>
          <w:lang w:val="fr-BE"/>
        </w:rPr>
        <w:t>: presse les autorités fiscales de tous les États membres de désigner des guichets uniques, comme l’entend le groupe de travail international pour le partage des renseignements et la collaboration de l’OCDE, et invite la Commission à assurer et à faciliter la coopération entre eux afin de garantir un partage rapide et efficace entre les États membres des informations relatives aux dossiers présentant une dimension transfrontière</w:t>
      </w:r>
    </w:p>
    <w:p w:rsidR="00F03BF2" w:rsidRPr="00254E4B" w:rsidRDefault="00F03BF2" w:rsidP="00F03BF2">
      <w:pPr>
        <w:rPr>
          <w:rFonts w:ascii="Times New Roman" w:hAnsi="Times New Roman"/>
          <w:szCs w:val="24"/>
          <w:lang w:val="fr-BE"/>
        </w:rPr>
      </w:pPr>
      <w:r w:rsidRPr="00254E4B">
        <w:rPr>
          <w:rFonts w:ascii="Times New Roman" w:hAnsi="Times New Roman"/>
          <w:lang w:val="fr-BE"/>
        </w:rPr>
        <w:t>En vertu de l’article </w:t>
      </w:r>
      <w:r w:rsidRPr="005C1999">
        <w:rPr>
          <w:rFonts w:ascii="Times New Roman" w:hAnsi="Times New Roman"/>
          <w:lang w:val="fr-BE"/>
        </w:rPr>
        <w:t>9</w:t>
      </w:r>
      <w:r w:rsidRPr="00254E4B">
        <w:rPr>
          <w:rFonts w:ascii="Times New Roman" w:hAnsi="Times New Roman"/>
          <w:lang w:val="fr-BE"/>
        </w:rPr>
        <w:t xml:space="preserve"> de la directive </w:t>
      </w:r>
      <w:r w:rsidRPr="005C1999">
        <w:rPr>
          <w:rFonts w:ascii="Times New Roman" w:hAnsi="Times New Roman"/>
          <w:lang w:val="fr-BE"/>
        </w:rPr>
        <w:t>2011</w:t>
      </w:r>
      <w:r w:rsidRPr="00254E4B">
        <w:rPr>
          <w:rFonts w:ascii="Times New Roman" w:hAnsi="Times New Roman"/>
          <w:lang w:val="fr-BE"/>
        </w:rPr>
        <w:t>/</w:t>
      </w:r>
      <w:r w:rsidRPr="005C1999">
        <w:rPr>
          <w:rFonts w:ascii="Times New Roman" w:hAnsi="Times New Roman"/>
          <w:lang w:val="fr-BE"/>
        </w:rPr>
        <w:t>16</w:t>
      </w:r>
      <w:r w:rsidRPr="00254E4B">
        <w:rPr>
          <w:rFonts w:ascii="Times New Roman" w:hAnsi="Times New Roman"/>
          <w:lang w:val="fr-BE"/>
        </w:rPr>
        <w:t xml:space="preserve">/UE, les États membres doivent s’informer mutuellement chaque fois qu’ils rencontrent des informations qui les amènent à soupçonner l’existence d’une perte fiscale dans un autre État membre. Actuellement, en application de l’article </w:t>
      </w:r>
      <w:r w:rsidRPr="005C1999">
        <w:rPr>
          <w:rFonts w:ascii="Times New Roman" w:hAnsi="Times New Roman"/>
          <w:lang w:val="fr-BE"/>
        </w:rPr>
        <w:t>4</w:t>
      </w:r>
      <w:r w:rsidRPr="00254E4B">
        <w:rPr>
          <w:rFonts w:ascii="Times New Roman" w:hAnsi="Times New Roman"/>
          <w:lang w:val="fr-BE"/>
        </w:rPr>
        <w:t xml:space="preserve"> de la directive </w:t>
      </w:r>
      <w:r w:rsidRPr="005C1999">
        <w:rPr>
          <w:rFonts w:ascii="Times New Roman" w:hAnsi="Times New Roman"/>
          <w:lang w:val="fr-BE"/>
        </w:rPr>
        <w:t>2011</w:t>
      </w:r>
      <w:r w:rsidRPr="00254E4B">
        <w:rPr>
          <w:rFonts w:ascii="Times New Roman" w:hAnsi="Times New Roman"/>
          <w:lang w:val="fr-BE"/>
        </w:rPr>
        <w:t>/</w:t>
      </w:r>
      <w:r w:rsidRPr="005C1999">
        <w:rPr>
          <w:rFonts w:ascii="Times New Roman" w:hAnsi="Times New Roman"/>
          <w:lang w:val="fr-BE"/>
        </w:rPr>
        <w:t>16</w:t>
      </w:r>
      <w:r w:rsidRPr="00254E4B">
        <w:rPr>
          <w:rFonts w:ascii="Times New Roman" w:hAnsi="Times New Roman"/>
          <w:lang w:val="fr-BE"/>
        </w:rPr>
        <w:t xml:space="preserve">/UE, chaque autorité nationale compétente dispose d’un point de contact unique chargé d’envoyer et de recevoir et, si nécessaire, de transmettre les informations complémentaires reçues. Ces points de contact sont officiellement appelés bureaux centraux de liaison. La communication entre les bureaux centraux de liaison est nécessaire à l'établissement de contacts plus directs entre les bureaux locaux ou nationaux des États membres chargés de la coopération administrative. Afin de promouvoir la communication entre les bureaux centraux de liaison, les services de la Commission ont organisé une réunion des responsables des bureaux centraux de liaison de l’Union européenne, prévue en février </w:t>
      </w:r>
      <w:r w:rsidRPr="005C1999">
        <w:rPr>
          <w:rFonts w:ascii="Times New Roman" w:hAnsi="Times New Roman"/>
          <w:lang w:val="fr-BE"/>
        </w:rPr>
        <w:t>2019</w:t>
      </w:r>
      <w:r w:rsidRPr="00254E4B">
        <w:rPr>
          <w:rFonts w:ascii="Times New Roman" w:hAnsi="Times New Roman"/>
          <w:lang w:val="fr-BE"/>
        </w:rPr>
        <w:t>.</w:t>
      </w:r>
    </w:p>
    <w:p w:rsidR="00F03BF2" w:rsidRPr="00254E4B" w:rsidRDefault="00F03BF2" w:rsidP="00F03BF2">
      <w:pPr>
        <w:rPr>
          <w:rFonts w:ascii="Times New Roman" w:hAnsi="Times New Roman"/>
          <w:b/>
          <w:szCs w:val="24"/>
          <w:lang w:val="fr-BE"/>
        </w:rPr>
      </w:pPr>
      <w:r w:rsidRPr="00254E4B">
        <w:rPr>
          <w:rFonts w:ascii="Times New Roman" w:hAnsi="Times New Roman"/>
          <w:b/>
          <w:lang w:val="fr-BE"/>
        </w:rPr>
        <w:t>Recommandation nº </w:t>
      </w:r>
      <w:r w:rsidRPr="005C1999">
        <w:rPr>
          <w:rFonts w:ascii="Times New Roman" w:hAnsi="Times New Roman"/>
          <w:b/>
          <w:lang w:val="fr-BE"/>
        </w:rPr>
        <w:t>14</w:t>
      </w:r>
      <w:r w:rsidRPr="00254E4B">
        <w:rPr>
          <w:rFonts w:ascii="Times New Roman" w:hAnsi="Times New Roman"/>
          <w:b/>
          <w:lang w:val="fr-BE"/>
        </w:rPr>
        <w:t>: invite les autorités fiscales nationales à tirer pleinement parti de la sixième directive relative à la coopération administrative en ce qui concerne l’échange automatique et obligatoire d’informations dans le domaine fiscal en rapport avec les dispositifs transfrontières devant faire l’objet d’une déclaration, notamment les demandes groupées; demande en outre le renforcement de cette directive afin de rendre obligatoire la publication des montages d’arbitrage de dividendes et de toutes les informations sur les plus-values de capitaux, y compris l’octroi de remboursements d’impôt sur les dividendes et sur les plus-values de capitaux</w:t>
      </w:r>
    </w:p>
    <w:p w:rsidR="00F03BF2" w:rsidRPr="00254E4B" w:rsidRDefault="00F03BF2" w:rsidP="00F03BF2">
      <w:pPr>
        <w:rPr>
          <w:rFonts w:ascii="Times New Roman" w:hAnsi="Times New Roman"/>
          <w:szCs w:val="24"/>
          <w:lang w:val="fr-BE"/>
        </w:rPr>
      </w:pPr>
      <w:r w:rsidRPr="00254E4B">
        <w:rPr>
          <w:rFonts w:ascii="Times New Roman" w:hAnsi="Times New Roman"/>
          <w:lang w:val="fr-BE"/>
        </w:rPr>
        <w:t>La DCA</w:t>
      </w:r>
      <w:r w:rsidRPr="005C1999">
        <w:rPr>
          <w:rFonts w:ascii="Times New Roman" w:hAnsi="Times New Roman"/>
          <w:lang w:val="fr-BE"/>
        </w:rPr>
        <w:t>6</w:t>
      </w:r>
      <w:r w:rsidRPr="00254E4B">
        <w:rPr>
          <w:rFonts w:ascii="Times New Roman" w:hAnsi="Times New Roman"/>
          <w:lang w:val="fr-BE"/>
        </w:rPr>
        <w:t xml:space="preserve"> prévoit l’obligation de déclarer les dispositifs transfrontières dans certains cas, lorsqu’ils correspondent à au moins un des marqueurs prévus. Dans le cadre de la mise en œuvre de la directive, les États membres peuvent renforcer les marqueurs prévus dans la DCA</w:t>
      </w:r>
      <w:r w:rsidRPr="005C1999">
        <w:rPr>
          <w:rFonts w:ascii="Times New Roman" w:hAnsi="Times New Roman"/>
          <w:lang w:val="fr-BE"/>
        </w:rPr>
        <w:t>6</w:t>
      </w:r>
      <w:r w:rsidRPr="00254E4B">
        <w:rPr>
          <w:rFonts w:ascii="Times New Roman" w:hAnsi="Times New Roman"/>
          <w:lang w:val="fr-BE"/>
        </w:rPr>
        <w:t>. La Commission évalue la pertinence des marqueurs tous les deux ans et évalue s’il y a lieu de les renforcer.</w:t>
      </w:r>
    </w:p>
    <w:p w:rsidR="00F03BF2" w:rsidRPr="00254E4B" w:rsidRDefault="00F03BF2" w:rsidP="00F03BF2">
      <w:pPr>
        <w:rPr>
          <w:rFonts w:ascii="Times New Roman" w:hAnsi="Times New Roman"/>
          <w:b/>
          <w:szCs w:val="24"/>
          <w:lang w:val="fr-BE"/>
        </w:rPr>
      </w:pPr>
      <w:r w:rsidRPr="00254E4B">
        <w:rPr>
          <w:rFonts w:ascii="Times New Roman" w:hAnsi="Times New Roman"/>
          <w:b/>
          <w:lang w:val="fr-BE"/>
        </w:rPr>
        <w:t>Recommandation nº </w:t>
      </w:r>
      <w:r w:rsidRPr="005C1999">
        <w:rPr>
          <w:rFonts w:ascii="Times New Roman" w:hAnsi="Times New Roman"/>
          <w:b/>
          <w:lang w:val="fr-BE"/>
        </w:rPr>
        <w:t>16</w:t>
      </w:r>
      <w:r w:rsidRPr="00254E4B">
        <w:rPr>
          <w:rFonts w:ascii="Times New Roman" w:hAnsi="Times New Roman"/>
          <w:b/>
          <w:lang w:val="fr-BE"/>
        </w:rPr>
        <w:t>: insiste sur la nécessité d’une action coordonnée entre les autorités nationales afin de garantir le recouvrement de tous les fonds puisés illégalement dans les comptes publics</w:t>
      </w:r>
    </w:p>
    <w:p w:rsidR="00F03BF2" w:rsidRPr="00254E4B" w:rsidRDefault="00F03BF2" w:rsidP="00F03BF2">
      <w:pPr>
        <w:rPr>
          <w:rFonts w:ascii="Times New Roman" w:hAnsi="Times New Roman"/>
          <w:szCs w:val="24"/>
          <w:lang w:val="fr-BE"/>
        </w:rPr>
      </w:pPr>
      <w:r w:rsidRPr="00254E4B">
        <w:rPr>
          <w:rFonts w:ascii="Times New Roman" w:hAnsi="Times New Roman"/>
          <w:lang w:val="fr-BE"/>
        </w:rPr>
        <w:t>Cette recommandation correspond aux suggestions qui ont été faites lors de la dernière évaluation des modalités de l’assistance mutuelle en matière de recouvrement des impôts</w:t>
      </w:r>
      <w:r w:rsidRPr="00806F10">
        <w:rPr>
          <w:rStyle w:val="FootnoteReference"/>
          <w:rFonts w:ascii="Times New Roman" w:hAnsi="Times New Roman"/>
        </w:rPr>
        <w:footnoteReference w:id="5"/>
      </w:r>
      <w:r w:rsidRPr="00254E4B">
        <w:rPr>
          <w:rFonts w:ascii="Times New Roman" w:hAnsi="Times New Roman"/>
          <w:lang w:val="fr-BE"/>
        </w:rPr>
        <w:t xml:space="preserve">. </w:t>
      </w:r>
      <w:r w:rsidRPr="00254E4B">
        <w:rPr>
          <w:rFonts w:ascii="Times New Roman" w:hAnsi="Times New Roman"/>
          <w:lang w:val="fr-BE"/>
        </w:rPr>
        <w:lastRenderedPageBreak/>
        <w:t xml:space="preserve">Les aspects techniques et juridiques de l’extension de cette assistance au recouvrement seront examinés avec les États membres en </w:t>
      </w:r>
      <w:r w:rsidRPr="005C1999">
        <w:rPr>
          <w:rFonts w:ascii="Times New Roman" w:hAnsi="Times New Roman"/>
          <w:lang w:val="fr-BE"/>
        </w:rPr>
        <w:t>2019</w:t>
      </w:r>
      <w:r w:rsidRPr="00254E4B">
        <w:rPr>
          <w:rFonts w:ascii="Times New Roman" w:hAnsi="Times New Roman"/>
          <w:lang w:val="fr-BE"/>
        </w:rPr>
        <w:t>.</w:t>
      </w:r>
    </w:p>
    <w:p w:rsidR="00F03BF2" w:rsidRPr="00254E4B" w:rsidRDefault="00F03BF2" w:rsidP="00F03BF2">
      <w:pPr>
        <w:rPr>
          <w:rFonts w:ascii="Times New Roman" w:hAnsi="Times New Roman"/>
          <w:b/>
          <w:szCs w:val="24"/>
          <w:lang w:val="fr-BE"/>
        </w:rPr>
      </w:pPr>
      <w:r w:rsidRPr="00254E4B">
        <w:rPr>
          <w:rFonts w:ascii="Times New Roman" w:hAnsi="Times New Roman"/>
          <w:b/>
          <w:lang w:val="fr-BE"/>
        </w:rPr>
        <w:t>Recommandation nº </w:t>
      </w:r>
      <w:r w:rsidRPr="005C1999">
        <w:rPr>
          <w:rFonts w:ascii="Times New Roman" w:hAnsi="Times New Roman"/>
          <w:b/>
          <w:lang w:val="fr-BE"/>
        </w:rPr>
        <w:t>17</w:t>
      </w:r>
      <w:r w:rsidRPr="00254E4B">
        <w:rPr>
          <w:rFonts w:ascii="Times New Roman" w:hAnsi="Times New Roman"/>
          <w:b/>
          <w:lang w:val="fr-BE"/>
        </w:rPr>
        <w:t>: presse la Commission d’évaluer et les États membres de réviser et de mettre à jour les conventions fiscales bilatérales conclues entre États membres et avec des pays tiers, de manière à combler les lacunes qui offrent des opportunités pour se livrer à des pratiques commerciales à visée fiscale, en l’occurrence à des fins d’évasion fiscale</w:t>
      </w:r>
    </w:p>
    <w:p w:rsidR="00F03BF2" w:rsidRPr="00254E4B" w:rsidRDefault="00F03BF2" w:rsidP="00F03BF2">
      <w:pPr>
        <w:rPr>
          <w:rFonts w:ascii="Times New Roman" w:hAnsi="Times New Roman"/>
          <w:i/>
          <w:szCs w:val="24"/>
          <w:lang w:val="fr-BE"/>
        </w:rPr>
      </w:pPr>
      <w:r w:rsidRPr="00254E4B">
        <w:rPr>
          <w:rFonts w:ascii="Times New Roman" w:hAnsi="Times New Roman"/>
          <w:lang w:val="fr-BE"/>
        </w:rPr>
        <w:t xml:space="preserve">Les conventions fiscales bilatérales relèvent du domaine de la compétence nationale. Toutefois, la liste de l’Union européenne des pays et territoires non coopératifs à des fins fiscales, qui a été approuvée pour la première fois en décembre </w:t>
      </w:r>
      <w:r w:rsidRPr="005C1999">
        <w:rPr>
          <w:rFonts w:ascii="Times New Roman" w:hAnsi="Times New Roman"/>
          <w:lang w:val="fr-BE"/>
        </w:rPr>
        <w:t>2017</w:t>
      </w:r>
      <w:r w:rsidRPr="00254E4B">
        <w:rPr>
          <w:rFonts w:ascii="Times New Roman" w:hAnsi="Times New Roman"/>
          <w:lang w:val="fr-BE"/>
        </w:rPr>
        <w:t>, est un instrument efficace pour lutter contre la concurrence fiscale dommageable et les défaillances de la bonne gouvernance fiscale au niveau mondial. En outre, la directive anti-évasion fiscale</w:t>
      </w:r>
      <w:r w:rsidRPr="00806F10">
        <w:rPr>
          <w:rStyle w:val="FootnoteReference"/>
          <w:rFonts w:ascii="Times New Roman" w:hAnsi="Times New Roman"/>
        </w:rPr>
        <w:footnoteReference w:id="6"/>
      </w:r>
      <w:r w:rsidRPr="00254E4B">
        <w:rPr>
          <w:rFonts w:ascii="Times New Roman" w:hAnsi="Times New Roman"/>
          <w:lang w:val="fr-BE"/>
        </w:rPr>
        <w:t xml:space="preserve"> comble bon nombre des principales failles utilisées à des fins de planification fiscale agressive et prévoit des mesures visant à empêcher le transfert de bénéfices vers des territoires à fiscalité faible ou nulle.</w:t>
      </w:r>
    </w:p>
    <w:p w:rsidR="00F03BF2" w:rsidRPr="00254E4B" w:rsidRDefault="00F03BF2" w:rsidP="00F03BF2">
      <w:pPr>
        <w:rPr>
          <w:rFonts w:ascii="Times New Roman" w:hAnsi="Times New Roman"/>
          <w:b/>
          <w:szCs w:val="24"/>
          <w:lang w:val="fr-BE"/>
        </w:rPr>
      </w:pPr>
      <w:r w:rsidRPr="00254E4B">
        <w:rPr>
          <w:rFonts w:ascii="Times New Roman" w:hAnsi="Times New Roman"/>
          <w:b/>
          <w:lang w:val="fr-BE"/>
        </w:rPr>
        <w:t>Recommandation nº </w:t>
      </w:r>
      <w:r w:rsidRPr="005C1999">
        <w:rPr>
          <w:rFonts w:ascii="Times New Roman" w:hAnsi="Times New Roman"/>
          <w:b/>
          <w:lang w:val="fr-BE"/>
        </w:rPr>
        <w:t>18</w:t>
      </w:r>
      <w:r w:rsidRPr="00254E4B">
        <w:rPr>
          <w:rFonts w:ascii="Times New Roman" w:hAnsi="Times New Roman"/>
          <w:b/>
          <w:lang w:val="fr-BE"/>
        </w:rPr>
        <w:t>: demande à la Commission de s’atteler immédiatement à l’élaboration d’une proposition visant à créer une police financière européenne dans le cadre d’Europol, qui soit dotée de moyens d’enquête propres, ainsi que d’un cadre européen d’enquêtes fiscales transfrontières</w:t>
      </w:r>
    </w:p>
    <w:p w:rsidR="00F03BF2" w:rsidRPr="00254E4B" w:rsidRDefault="00F03BF2" w:rsidP="00F03BF2">
      <w:pPr>
        <w:spacing w:after="120"/>
        <w:rPr>
          <w:rFonts w:ascii="Times New Roman" w:hAnsi="Times New Roman"/>
          <w:szCs w:val="24"/>
          <w:lang w:val="fr-BE"/>
        </w:rPr>
      </w:pPr>
      <w:r w:rsidRPr="00254E4B">
        <w:rPr>
          <w:rFonts w:ascii="Times New Roman" w:hAnsi="Times New Roman"/>
          <w:lang w:val="fr-BE"/>
        </w:rPr>
        <w:t>Europol est l’Agence de l’Union européenne pour la coopération des services répressifs. La compétence d’Europol en matière de lutte contre les formes graves de criminalité transfrontière couvre un certain nombre d’infractions pénales liées au financement, y compris la fraude. Dans ce contexte, Europol contribue à coordonner, organiser et mettre en œuvre des enquêtes et des actions opérationnelles menées conjointement avec les autorités compétentes des États membres.</w:t>
      </w:r>
    </w:p>
    <w:p w:rsidR="00F03BF2" w:rsidRPr="00254E4B" w:rsidRDefault="00F03BF2" w:rsidP="00F03BF2">
      <w:pPr>
        <w:rPr>
          <w:rFonts w:ascii="Times New Roman" w:hAnsi="Times New Roman"/>
          <w:szCs w:val="24"/>
          <w:lang w:val="fr-BE"/>
        </w:rPr>
      </w:pPr>
      <w:r w:rsidRPr="00254E4B">
        <w:rPr>
          <w:rFonts w:ascii="Times New Roman" w:hAnsi="Times New Roman"/>
          <w:lang w:val="fr-BE"/>
        </w:rPr>
        <w:t xml:space="preserve">Europol n’a pas le pouvoir de mener ses propres enquêtes, mais s’emploie à soutenir les services répressifs nationaux. La base juridique révisée [règlement (UE) </w:t>
      </w:r>
      <w:r w:rsidRPr="005C1999">
        <w:rPr>
          <w:rFonts w:ascii="Times New Roman" w:hAnsi="Times New Roman"/>
          <w:lang w:val="fr-BE"/>
        </w:rPr>
        <w:t>2016</w:t>
      </w:r>
      <w:r w:rsidRPr="00254E4B">
        <w:rPr>
          <w:rFonts w:ascii="Times New Roman" w:hAnsi="Times New Roman"/>
          <w:lang w:val="fr-BE"/>
        </w:rPr>
        <w:t>/</w:t>
      </w:r>
      <w:r w:rsidRPr="005C1999">
        <w:rPr>
          <w:rFonts w:ascii="Times New Roman" w:hAnsi="Times New Roman"/>
          <w:lang w:val="fr-BE"/>
        </w:rPr>
        <w:t>794</w:t>
      </w:r>
      <w:r w:rsidRPr="00254E4B">
        <w:rPr>
          <w:rFonts w:ascii="Times New Roman" w:hAnsi="Times New Roman"/>
          <w:lang w:val="fr-BE"/>
        </w:rPr>
        <w:t xml:space="preserve">] est entrée en vigueur en mai </w:t>
      </w:r>
      <w:r w:rsidRPr="005C1999">
        <w:rPr>
          <w:rFonts w:ascii="Times New Roman" w:hAnsi="Times New Roman"/>
          <w:lang w:val="fr-BE"/>
        </w:rPr>
        <w:t>2017</w:t>
      </w:r>
      <w:r w:rsidRPr="00254E4B">
        <w:rPr>
          <w:rFonts w:ascii="Times New Roman" w:hAnsi="Times New Roman"/>
          <w:lang w:val="fr-BE"/>
        </w:rPr>
        <w:t xml:space="preserve"> et doit être intégralement évaluée d’ici mai </w:t>
      </w:r>
      <w:r w:rsidRPr="005C1999">
        <w:rPr>
          <w:rFonts w:ascii="Times New Roman" w:hAnsi="Times New Roman"/>
          <w:lang w:val="fr-BE"/>
        </w:rPr>
        <w:t>2022</w:t>
      </w:r>
      <w:r w:rsidRPr="00254E4B">
        <w:rPr>
          <w:rFonts w:ascii="Times New Roman" w:hAnsi="Times New Roman"/>
          <w:lang w:val="fr-BE"/>
        </w:rPr>
        <w:t>. Cette évaluation devrait également porter sur les tâches futures éventuelles d’Europol, dans le cadre des possibilités prévues par le traité sur le fonctionnement de l’Union européenne.</w:t>
      </w:r>
    </w:p>
    <w:p w:rsidR="00F03BF2" w:rsidRPr="00254E4B" w:rsidRDefault="00F03BF2" w:rsidP="00F03BF2">
      <w:pPr>
        <w:rPr>
          <w:rFonts w:ascii="Times New Roman" w:hAnsi="Times New Roman"/>
          <w:b/>
          <w:szCs w:val="24"/>
          <w:lang w:val="fr-BE"/>
        </w:rPr>
      </w:pPr>
      <w:r w:rsidRPr="00254E4B">
        <w:rPr>
          <w:rFonts w:ascii="Times New Roman" w:hAnsi="Times New Roman"/>
          <w:b/>
          <w:lang w:val="fr-BE"/>
        </w:rPr>
        <w:t>Recommandation nº </w:t>
      </w:r>
      <w:r w:rsidRPr="005C1999">
        <w:rPr>
          <w:rFonts w:ascii="Times New Roman" w:hAnsi="Times New Roman"/>
          <w:b/>
          <w:lang w:val="fr-BE"/>
        </w:rPr>
        <w:t>19</w:t>
      </w:r>
      <w:r w:rsidRPr="00254E4B">
        <w:rPr>
          <w:rFonts w:ascii="Times New Roman" w:hAnsi="Times New Roman"/>
          <w:b/>
          <w:lang w:val="fr-BE"/>
        </w:rPr>
        <w:t>: invite la Commission à réviser la directive concernant le régime fiscal commun applicable aux sociétés mères et filiales d’États membres différents afin de combattre les pratiques d’arbitrage de dividendes</w:t>
      </w:r>
    </w:p>
    <w:p w:rsidR="00F03BF2" w:rsidRPr="00254E4B" w:rsidRDefault="00F03BF2" w:rsidP="00F03BF2">
      <w:pPr>
        <w:rPr>
          <w:rFonts w:ascii="Times New Roman" w:hAnsi="Times New Roman"/>
          <w:i/>
          <w:szCs w:val="24"/>
          <w:lang w:val="fr-BE"/>
        </w:rPr>
      </w:pPr>
      <w:r w:rsidRPr="00254E4B">
        <w:rPr>
          <w:rFonts w:ascii="Times New Roman" w:hAnsi="Times New Roman"/>
          <w:lang w:val="fr-BE"/>
        </w:rPr>
        <w:t>La Commission a déjà introduit des mesures anti-abus dans la directive mère-filiale</w:t>
      </w:r>
      <w:r w:rsidRPr="00806F10">
        <w:rPr>
          <w:rStyle w:val="FootnoteReference"/>
          <w:rFonts w:ascii="Times New Roman" w:hAnsi="Times New Roman"/>
        </w:rPr>
        <w:footnoteReference w:id="7"/>
      </w:r>
      <w:r w:rsidRPr="00254E4B">
        <w:rPr>
          <w:rFonts w:ascii="Times New Roman" w:hAnsi="Times New Roman"/>
          <w:lang w:val="fr-BE"/>
        </w:rPr>
        <w:t xml:space="preserve"> et des mesures pour lutter contre les dispositifs hybrides</w:t>
      </w:r>
      <w:r w:rsidRPr="00806F10">
        <w:rPr>
          <w:rStyle w:val="FootnoteReference"/>
          <w:rFonts w:ascii="Times New Roman" w:hAnsi="Times New Roman"/>
        </w:rPr>
        <w:footnoteReference w:id="8"/>
      </w:r>
      <w:r w:rsidRPr="00254E4B">
        <w:rPr>
          <w:rFonts w:ascii="Times New Roman" w:hAnsi="Times New Roman"/>
          <w:lang w:val="fr-BE"/>
        </w:rPr>
        <w:t>. Par conséquent, le fonctionnement de la directive a déjà été considérablement amélioré. Les activités restantes d’arbitrage de dividendes devraient être traitées par d’autres canaux.</w:t>
      </w:r>
    </w:p>
    <w:p w:rsidR="00F03BF2" w:rsidRPr="00254E4B" w:rsidRDefault="00F03BF2" w:rsidP="00F03BF2">
      <w:pPr>
        <w:rPr>
          <w:rFonts w:ascii="Times New Roman" w:hAnsi="Times New Roman"/>
          <w:b/>
          <w:szCs w:val="24"/>
          <w:lang w:val="fr-BE"/>
        </w:rPr>
      </w:pPr>
      <w:r w:rsidRPr="00254E4B">
        <w:rPr>
          <w:rFonts w:ascii="Times New Roman" w:hAnsi="Times New Roman"/>
          <w:b/>
          <w:lang w:val="fr-BE"/>
        </w:rPr>
        <w:lastRenderedPageBreak/>
        <w:t>Recommandation nº </w:t>
      </w:r>
      <w:r w:rsidRPr="005C1999">
        <w:rPr>
          <w:rFonts w:ascii="Times New Roman" w:hAnsi="Times New Roman"/>
          <w:b/>
          <w:lang w:val="fr-BE"/>
        </w:rPr>
        <w:t>20</w:t>
      </w:r>
      <w:r w:rsidRPr="00254E4B">
        <w:rPr>
          <w:rFonts w:ascii="Times New Roman" w:hAnsi="Times New Roman"/>
          <w:b/>
          <w:lang w:val="fr-BE"/>
        </w:rPr>
        <w:t>: invite la Commission à évaluer le rôle des entités ad hoc et des entités à vocation spécifique, révélé par les</w:t>
      </w:r>
      <w:proofErr w:type="gramStart"/>
      <w:r w:rsidRPr="00254E4B">
        <w:rPr>
          <w:rFonts w:ascii="Times New Roman" w:hAnsi="Times New Roman"/>
          <w:b/>
          <w:lang w:val="fr-BE"/>
        </w:rPr>
        <w:t xml:space="preserve"> «</w:t>
      </w:r>
      <w:proofErr w:type="spellStart"/>
      <w:r w:rsidRPr="00254E4B">
        <w:rPr>
          <w:rFonts w:ascii="Times New Roman" w:hAnsi="Times New Roman"/>
          <w:b/>
          <w:lang w:val="fr-BE"/>
        </w:rPr>
        <w:t>CumEx</w:t>
      </w:r>
      <w:proofErr w:type="spellEnd"/>
      <w:proofErr w:type="gramEnd"/>
      <w:r w:rsidRPr="00254E4B">
        <w:rPr>
          <w:rFonts w:ascii="Times New Roman" w:hAnsi="Times New Roman"/>
          <w:b/>
          <w:lang w:val="fr-BE"/>
        </w:rPr>
        <w:t xml:space="preserve"> </w:t>
      </w:r>
      <w:proofErr w:type="spellStart"/>
      <w:r w:rsidRPr="00254E4B">
        <w:rPr>
          <w:rFonts w:ascii="Times New Roman" w:hAnsi="Times New Roman"/>
          <w:b/>
          <w:lang w:val="fr-BE"/>
        </w:rPr>
        <w:t>papers</w:t>
      </w:r>
      <w:proofErr w:type="spellEnd"/>
      <w:r w:rsidRPr="00254E4B">
        <w:rPr>
          <w:rFonts w:ascii="Times New Roman" w:hAnsi="Times New Roman"/>
          <w:b/>
          <w:lang w:val="fr-BE"/>
        </w:rPr>
        <w:t>» et, le cas échéant, à proposer de restreindre l’emploi de ces instruments</w:t>
      </w:r>
    </w:p>
    <w:p w:rsidR="00F03BF2" w:rsidRPr="00254E4B" w:rsidRDefault="00F03BF2" w:rsidP="00F03BF2">
      <w:pPr>
        <w:rPr>
          <w:rFonts w:ascii="Times New Roman" w:hAnsi="Times New Roman"/>
          <w:szCs w:val="24"/>
          <w:lang w:val="fr-BE"/>
        </w:rPr>
      </w:pPr>
      <w:r w:rsidRPr="00254E4B">
        <w:rPr>
          <w:rFonts w:ascii="Times New Roman" w:hAnsi="Times New Roman"/>
          <w:lang w:val="fr-BE"/>
        </w:rPr>
        <w:t xml:space="preserve">L’utilisation de structures ad hoc peut servir à des fins commerciales légitimes mais, d’un point de vue fiscal, des sociétés </w:t>
      </w:r>
      <w:proofErr w:type="gramStart"/>
      <w:r w:rsidRPr="00254E4B">
        <w:rPr>
          <w:rFonts w:ascii="Times New Roman" w:hAnsi="Times New Roman"/>
          <w:lang w:val="fr-BE"/>
        </w:rPr>
        <w:t>peuvent</w:t>
      </w:r>
      <w:proofErr w:type="gramEnd"/>
      <w:r w:rsidRPr="00254E4B">
        <w:rPr>
          <w:rFonts w:ascii="Times New Roman" w:hAnsi="Times New Roman"/>
          <w:lang w:val="fr-BE"/>
        </w:rPr>
        <w:t xml:space="preserve"> être créées sous forme de SPV pour tirer parti des réseaux de conventions fiscales, ce qui peut conduire à des abus. Par exemple, des études économiques</w:t>
      </w:r>
      <w:r w:rsidRPr="00806F10">
        <w:rPr>
          <w:rStyle w:val="FootnoteReference"/>
          <w:rFonts w:ascii="Times New Roman" w:hAnsi="Times New Roman"/>
        </w:rPr>
        <w:footnoteReference w:id="9"/>
      </w:r>
      <w:r w:rsidRPr="00254E4B">
        <w:rPr>
          <w:rFonts w:ascii="Times New Roman" w:hAnsi="Times New Roman"/>
          <w:lang w:val="fr-BE"/>
        </w:rPr>
        <w:t xml:space="preserve"> indiquent qu’il existe un lien entre les structures organisationnelles complexes d'entreprises telles que les SPV et les SPE et l’évasion fiscale des grandes sociétés. Toutefois, en ce qui concerne l’affaire du cum-ex, l’enquête n’a pas révélé jusqu’à présent que des SPV avaient pu jouer un rôle particulier; voir par exemple le rapport du Parlement allemand</w:t>
      </w:r>
      <w:r w:rsidRPr="00806F10">
        <w:rPr>
          <w:rStyle w:val="FootnoteReference"/>
          <w:rFonts w:ascii="Times New Roman" w:hAnsi="Times New Roman"/>
        </w:rPr>
        <w:footnoteReference w:id="10"/>
      </w:r>
      <w:r w:rsidRPr="00254E4B">
        <w:rPr>
          <w:rFonts w:ascii="Times New Roman" w:hAnsi="Times New Roman"/>
          <w:lang w:val="fr-BE"/>
        </w:rPr>
        <w:t xml:space="preserve"> sur cette question. Dans ce contexte, la Commission n’a aucune raison de procéder à des évaluations supplémentaires sur cet aspect particulier.</w:t>
      </w:r>
    </w:p>
    <w:p w:rsidR="00F03BF2" w:rsidRPr="00254E4B" w:rsidRDefault="00F03BF2" w:rsidP="00F03BF2">
      <w:pPr>
        <w:rPr>
          <w:rFonts w:ascii="Times New Roman" w:hAnsi="Times New Roman"/>
          <w:b/>
          <w:szCs w:val="24"/>
          <w:lang w:val="fr-BE"/>
        </w:rPr>
      </w:pPr>
      <w:r w:rsidRPr="00254E4B">
        <w:rPr>
          <w:rFonts w:ascii="Times New Roman" w:hAnsi="Times New Roman"/>
          <w:b/>
          <w:lang w:val="fr-BE"/>
        </w:rPr>
        <w:t>Recommandation nº </w:t>
      </w:r>
      <w:r w:rsidRPr="005C1999">
        <w:rPr>
          <w:rFonts w:ascii="Times New Roman" w:hAnsi="Times New Roman"/>
          <w:b/>
          <w:lang w:val="fr-BE"/>
        </w:rPr>
        <w:t>21</w:t>
      </w:r>
      <w:r w:rsidRPr="00254E4B">
        <w:rPr>
          <w:rFonts w:ascii="Times New Roman" w:hAnsi="Times New Roman"/>
          <w:b/>
          <w:lang w:val="fr-BE"/>
        </w:rPr>
        <w:t>: prie instamment la Commission d’évaluer s’il serait nécessaire d’instaurer un cadre européen en matière de fiscalité des revenus du capital afin de restreindre les opportunités qui déstabilisent les flux financiers transfrontières, créent de la concurrence fiscale entre les États membres et érodent les assiettes fiscales, sur lesquelles repose la pérennité des États-providence européens</w:t>
      </w:r>
    </w:p>
    <w:p w:rsidR="00F03BF2" w:rsidRPr="00254E4B" w:rsidRDefault="00F03BF2" w:rsidP="00F03BF2">
      <w:pPr>
        <w:rPr>
          <w:rFonts w:ascii="Times New Roman" w:hAnsi="Times New Roman"/>
          <w:i/>
          <w:szCs w:val="24"/>
          <w:lang w:val="fr-BE"/>
        </w:rPr>
      </w:pPr>
      <w:r w:rsidRPr="00254E4B">
        <w:rPr>
          <w:rFonts w:ascii="Times New Roman" w:hAnsi="Times New Roman"/>
          <w:lang w:val="fr-BE"/>
        </w:rPr>
        <w:t>La Commission prend note de cette recommandation. Toutefois, d’autres mesures existantes, comme la directive sur la coopération administrative (telle que modifiée), auront un effet similaire.</w:t>
      </w:r>
    </w:p>
    <w:p w:rsidR="00F03BF2" w:rsidRPr="00254E4B" w:rsidRDefault="00F03BF2" w:rsidP="00F03BF2">
      <w:pPr>
        <w:rPr>
          <w:rFonts w:ascii="Times New Roman" w:hAnsi="Times New Roman"/>
          <w:b/>
          <w:szCs w:val="24"/>
          <w:lang w:val="fr-BE"/>
        </w:rPr>
      </w:pPr>
      <w:r w:rsidRPr="00254E4B">
        <w:rPr>
          <w:rFonts w:ascii="Times New Roman" w:hAnsi="Times New Roman"/>
          <w:b/>
          <w:lang w:val="fr-BE"/>
        </w:rPr>
        <w:t>Recommandation nº </w:t>
      </w:r>
      <w:r w:rsidRPr="005C1999">
        <w:rPr>
          <w:rFonts w:ascii="Times New Roman" w:hAnsi="Times New Roman"/>
          <w:b/>
          <w:lang w:val="fr-BE"/>
        </w:rPr>
        <w:t>22</w:t>
      </w:r>
      <w:r w:rsidRPr="00254E4B">
        <w:rPr>
          <w:rFonts w:ascii="Times New Roman" w:hAnsi="Times New Roman"/>
          <w:b/>
          <w:lang w:val="fr-BE"/>
        </w:rPr>
        <w:t xml:space="preserve">: demande à la Commission de réfléchir à une proposition législative pour instituer une cellule de renseignement financier de l’Union, un centre européen pour le travail commun d’enquête et un mécanisme de signalement précoce </w:t>
      </w:r>
    </w:p>
    <w:p w:rsidR="00F03BF2" w:rsidRPr="00254E4B" w:rsidRDefault="00F03BF2" w:rsidP="00F03BF2">
      <w:pPr>
        <w:spacing w:after="120"/>
        <w:rPr>
          <w:rFonts w:ascii="Times New Roman" w:hAnsi="Times New Roman"/>
          <w:szCs w:val="24"/>
          <w:lang w:val="fr-BE"/>
        </w:rPr>
      </w:pPr>
      <w:r w:rsidRPr="00254E4B">
        <w:rPr>
          <w:rFonts w:ascii="Times New Roman" w:hAnsi="Times New Roman"/>
          <w:lang w:val="fr-BE"/>
        </w:rPr>
        <w:t>Il est essentiel que les cellules de renseignement financier (CRF) des États membres améliorent leur niveau de coopération. Le document de travail des services de la Commission [</w:t>
      </w:r>
      <w:proofErr w:type="gramStart"/>
      <w:r w:rsidRPr="00254E4B">
        <w:rPr>
          <w:rFonts w:ascii="Times New Roman" w:hAnsi="Times New Roman"/>
          <w:lang w:val="fr-BE"/>
        </w:rPr>
        <w:t>SWD(</w:t>
      </w:r>
      <w:proofErr w:type="gramEnd"/>
      <w:r w:rsidRPr="005C1999">
        <w:rPr>
          <w:rFonts w:ascii="Times New Roman" w:hAnsi="Times New Roman"/>
          <w:lang w:val="fr-BE"/>
        </w:rPr>
        <w:t>2017</w:t>
      </w:r>
      <w:r w:rsidRPr="00254E4B">
        <w:rPr>
          <w:rFonts w:ascii="Times New Roman" w:hAnsi="Times New Roman"/>
          <w:lang w:val="fr-BE"/>
        </w:rPr>
        <w:t>) </w:t>
      </w:r>
      <w:r w:rsidRPr="005C1999">
        <w:rPr>
          <w:rFonts w:ascii="Times New Roman" w:hAnsi="Times New Roman"/>
          <w:lang w:val="fr-BE"/>
        </w:rPr>
        <w:t>275</w:t>
      </w:r>
      <w:r w:rsidRPr="00254E4B">
        <w:rPr>
          <w:rFonts w:ascii="Times New Roman" w:hAnsi="Times New Roman"/>
          <w:lang w:val="fr-BE"/>
        </w:rPr>
        <w:t xml:space="preserve"> final] de juin </w:t>
      </w:r>
      <w:r w:rsidRPr="005C1999">
        <w:rPr>
          <w:rFonts w:ascii="Times New Roman" w:hAnsi="Times New Roman"/>
          <w:lang w:val="fr-BE"/>
        </w:rPr>
        <w:t>2017</w:t>
      </w:r>
      <w:r w:rsidRPr="00254E4B">
        <w:rPr>
          <w:rFonts w:ascii="Times New Roman" w:hAnsi="Times New Roman"/>
          <w:lang w:val="fr-BE"/>
        </w:rPr>
        <w:t xml:space="preserve"> fait le point sur les résultats d’un rapport de recensement des pouvoirs des CRF et des obstacles rencontrés concernant l’obtention et l’échange d’informations, rapport qui a été réalisé par la plate-forme des CRF en </w:t>
      </w:r>
      <w:r w:rsidRPr="005C1999">
        <w:rPr>
          <w:rFonts w:ascii="Times New Roman" w:hAnsi="Times New Roman"/>
          <w:lang w:val="fr-BE"/>
        </w:rPr>
        <w:t>2016</w:t>
      </w:r>
      <w:r w:rsidRPr="00254E4B">
        <w:rPr>
          <w:rFonts w:ascii="Times New Roman" w:hAnsi="Times New Roman"/>
          <w:lang w:val="fr-BE"/>
        </w:rPr>
        <w:t xml:space="preserve">. Ce document recense les mesures nécessaires pour lever les obstacles actuels aux enquêtes financières, y compris les questions qui pourraient être traitées par des orientations et une coopération renforcée dans le cadre de la plate-forme des CRF, où des normes et </w:t>
      </w:r>
      <w:proofErr w:type="gramStart"/>
      <w:r w:rsidRPr="00254E4B">
        <w:rPr>
          <w:rFonts w:ascii="Times New Roman" w:hAnsi="Times New Roman"/>
          <w:lang w:val="fr-BE"/>
        </w:rPr>
        <w:t>une compréhension communes</w:t>
      </w:r>
      <w:proofErr w:type="gramEnd"/>
      <w:r w:rsidRPr="00254E4B">
        <w:rPr>
          <w:rFonts w:ascii="Times New Roman" w:hAnsi="Times New Roman"/>
          <w:lang w:val="fr-BE"/>
        </w:rPr>
        <w:t xml:space="preserve"> des concepts sont élaborées conjointement avec les cellules nationales de renseignement financier et Europol. Il se penche également sur divers projets visant à faciliter la diffusion, l’échange et le traitement de l’information.</w:t>
      </w:r>
    </w:p>
    <w:p w:rsidR="00F03BF2" w:rsidRPr="00254E4B" w:rsidRDefault="00F03BF2" w:rsidP="00F03BF2">
      <w:pPr>
        <w:rPr>
          <w:rFonts w:ascii="Times New Roman" w:hAnsi="Times New Roman"/>
          <w:szCs w:val="24"/>
          <w:lang w:val="fr-BE"/>
        </w:rPr>
      </w:pPr>
      <w:r w:rsidRPr="00254E4B">
        <w:rPr>
          <w:rFonts w:ascii="Times New Roman" w:hAnsi="Times New Roman"/>
          <w:lang w:val="fr-BE"/>
        </w:rPr>
        <w:t>Parallèlement, la Commission vérifiera dans ses contrôles de transposition que chaque CRF est indépendante et autonome sur le plan opérationnel et dispose des ressources nécessaires pour mener à bien sa tâche. Dans ce processus, la Commission tiendra également compte des normes internationales, en particulier de la recommandation </w:t>
      </w:r>
      <w:r w:rsidRPr="005C1999">
        <w:rPr>
          <w:rFonts w:ascii="Times New Roman" w:hAnsi="Times New Roman"/>
          <w:lang w:val="fr-BE"/>
        </w:rPr>
        <w:t>29</w:t>
      </w:r>
      <w:r w:rsidRPr="00254E4B">
        <w:rPr>
          <w:rFonts w:ascii="Times New Roman" w:hAnsi="Times New Roman"/>
          <w:lang w:val="fr-BE"/>
        </w:rPr>
        <w:t xml:space="preserve"> du GAFI et de sa note interprétative, ainsi que des principes d’Egmont pour l’échange d’informations. En outre, la Commission a présenté une proposition législative ciblée [</w:t>
      </w:r>
      <w:proofErr w:type="gramStart"/>
      <w:r w:rsidRPr="00254E4B">
        <w:rPr>
          <w:rFonts w:ascii="Times New Roman" w:hAnsi="Times New Roman"/>
          <w:lang w:val="fr-BE"/>
        </w:rPr>
        <w:t>COM(</w:t>
      </w:r>
      <w:proofErr w:type="gramEnd"/>
      <w:r w:rsidRPr="005C1999">
        <w:rPr>
          <w:rFonts w:ascii="Times New Roman" w:hAnsi="Times New Roman"/>
          <w:lang w:val="fr-BE"/>
        </w:rPr>
        <w:t>2018</w:t>
      </w:r>
      <w:r w:rsidRPr="00254E4B">
        <w:rPr>
          <w:rFonts w:ascii="Times New Roman" w:hAnsi="Times New Roman"/>
          <w:lang w:val="fr-BE"/>
        </w:rPr>
        <w:t>) </w:t>
      </w:r>
      <w:r w:rsidRPr="005C1999">
        <w:rPr>
          <w:rFonts w:ascii="Times New Roman" w:hAnsi="Times New Roman"/>
          <w:lang w:val="fr-BE"/>
        </w:rPr>
        <w:t>213</w:t>
      </w:r>
      <w:r w:rsidRPr="00254E4B">
        <w:rPr>
          <w:rFonts w:ascii="Times New Roman" w:hAnsi="Times New Roman"/>
          <w:lang w:val="fr-BE"/>
        </w:rPr>
        <w:t xml:space="preserve">] visant à remédier à l’absence ou au retard d’accès des services répressifs aux informations financières ainsi </w:t>
      </w:r>
      <w:r w:rsidRPr="00254E4B">
        <w:rPr>
          <w:rFonts w:ascii="Times New Roman" w:hAnsi="Times New Roman"/>
          <w:lang w:val="fr-BE"/>
        </w:rPr>
        <w:lastRenderedPageBreak/>
        <w:t xml:space="preserve">qu’aux obstacles à la coopération entre les CRF et entre ceux-ci et les services répressifs non encore couverts par la directive sur le blanchiment de capitaux. Plus récemment, elle a également entamé une évaluation de la coopération des CRF avec les pays tiers ainsi que des obstacles et des opportunités concernant un renforcement accru de la coopération entre les CRF de l’UE - notamment la possibilité d’établir un mécanisme de coordination et de soutien pour cette coopération. Cette évaluation devrait être achevée pour le </w:t>
      </w:r>
      <w:r w:rsidRPr="005C1999">
        <w:rPr>
          <w:rFonts w:ascii="Times New Roman" w:hAnsi="Times New Roman"/>
          <w:lang w:val="fr-BE"/>
        </w:rPr>
        <w:t>1</w:t>
      </w:r>
      <w:r w:rsidRPr="00254E4B">
        <w:rPr>
          <w:rFonts w:ascii="Times New Roman" w:hAnsi="Times New Roman"/>
          <w:vertAlign w:val="superscript"/>
          <w:lang w:val="fr-BE"/>
        </w:rPr>
        <w:t>er</w:t>
      </w:r>
      <w:r w:rsidRPr="00254E4B">
        <w:rPr>
          <w:rFonts w:ascii="Times New Roman" w:hAnsi="Times New Roman"/>
          <w:lang w:val="fr-BE"/>
        </w:rPr>
        <w:t xml:space="preserve"> juin </w:t>
      </w:r>
      <w:r w:rsidRPr="005C1999">
        <w:rPr>
          <w:rFonts w:ascii="Times New Roman" w:hAnsi="Times New Roman"/>
          <w:lang w:val="fr-BE"/>
        </w:rPr>
        <w:t>2019</w:t>
      </w:r>
      <w:r w:rsidRPr="00254E4B">
        <w:rPr>
          <w:rFonts w:ascii="Times New Roman" w:hAnsi="Times New Roman"/>
          <w:lang w:val="fr-BE"/>
        </w:rPr>
        <w:t xml:space="preserve"> [nouvel article </w:t>
      </w:r>
      <w:r w:rsidRPr="005C1999">
        <w:rPr>
          <w:rFonts w:ascii="Times New Roman" w:hAnsi="Times New Roman"/>
          <w:lang w:val="fr-BE"/>
        </w:rPr>
        <w:t>65</w:t>
      </w:r>
      <w:r w:rsidRPr="00254E4B">
        <w:rPr>
          <w:rFonts w:ascii="Times New Roman" w:hAnsi="Times New Roman"/>
          <w:lang w:val="fr-BE"/>
        </w:rPr>
        <w:t>, paragraphe </w:t>
      </w:r>
      <w:r w:rsidRPr="005C1999">
        <w:rPr>
          <w:rFonts w:ascii="Times New Roman" w:hAnsi="Times New Roman"/>
          <w:lang w:val="fr-BE"/>
        </w:rPr>
        <w:t>2</w:t>
      </w:r>
      <w:r w:rsidRPr="00254E4B">
        <w:rPr>
          <w:rFonts w:ascii="Times New Roman" w:hAnsi="Times New Roman"/>
          <w:lang w:val="fr-BE"/>
        </w:rPr>
        <w:t xml:space="preserve">, de la directive (UE) </w:t>
      </w:r>
      <w:r w:rsidRPr="005C1999">
        <w:rPr>
          <w:rFonts w:ascii="Times New Roman" w:hAnsi="Times New Roman"/>
          <w:lang w:val="fr-BE"/>
        </w:rPr>
        <w:t>2015</w:t>
      </w:r>
      <w:r w:rsidRPr="00254E4B">
        <w:rPr>
          <w:rFonts w:ascii="Times New Roman" w:hAnsi="Times New Roman"/>
          <w:lang w:val="fr-BE"/>
        </w:rPr>
        <w:t>/</w:t>
      </w:r>
      <w:r w:rsidRPr="005C1999">
        <w:rPr>
          <w:rFonts w:ascii="Times New Roman" w:hAnsi="Times New Roman"/>
          <w:lang w:val="fr-BE"/>
        </w:rPr>
        <w:t>849</w:t>
      </w:r>
      <w:r w:rsidRPr="00254E4B">
        <w:rPr>
          <w:rFonts w:ascii="Times New Roman" w:hAnsi="Times New Roman"/>
          <w:lang w:val="fr-BE"/>
        </w:rPr>
        <w:t>].</w:t>
      </w:r>
    </w:p>
    <w:p w:rsidR="00F03BF2" w:rsidRPr="00254E4B" w:rsidRDefault="00F03BF2" w:rsidP="00F03BF2">
      <w:pPr>
        <w:rPr>
          <w:rFonts w:ascii="Times New Roman" w:hAnsi="Times New Roman"/>
          <w:b/>
          <w:szCs w:val="24"/>
          <w:lang w:val="fr-BE"/>
        </w:rPr>
      </w:pPr>
      <w:r w:rsidRPr="00254E4B">
        <w:rPr>
          <w:rFonts w:ascii="Times New Roman" w:hAnsi="Times New Roman"/>
          <w:b/>
          <w:lang w:val="fr-BE"/>
        </w:rPr>
        <w:t>Recommandation nº </w:t>
      </w:r>
      <w:r w:rsidRPr="005C1999">
        <w:rPr>
          <w:rFonts w:ascii="Times New Roman" w:hAnsi="Times New Roman"/>
          <w:b/>
          <w:lang w:val="fr-BE"/>
        </w:rPr>
        <w:t>23</w:t>
      </w:r>
      <w:r w:rsidRPr="00254E4B">
        <w:rPr>
          <w:rFonts w:ascii="Times New Roman" w:hAnsi="Times New Roman"/>
          <w:b/>
          <w:lang w:val="fr-BE"/>
        </w:rPr>
        <w:t xml:space="preserve">: relève que la crise de </w:t>
      </w:r>
      <w:r w:rsidRPr="005C1999">
        <w:rPr>
          <w:rFonts w:ascii="Times New Roman" w:hAnsi="Times New Roman"/>
          <w:b/>
          <w:lang w:val="fr-BE"/>
        </w:rPr>
        <w:t>2008</w:t>
      </w:r>
      <w:r w:rsidRPr="00254E4B">
        <w:rPr>
          <w:rFonts w:ascii="Times New Roman" w:hAnsi="Times New Roman"/>
          <w:b/>
          <w:lang w:val="fr-BE"/>
        </w:rPr>
        <w:t xml:space="preserve"> a eu pour conséquence une réduction générale des ressources et du personnel des administrations fiscales; invite les États membres à investir, pour les moderniser, dans les outils à la disposition des autorités fiscales et à allouer à cette mission les ressources humaines nécessaires, de manière à améliorer la surveillance et à réduire les décalages temporels et les déficits d’information; demande aux États membres de renforcer les moyens de leurs autorités financières, afin de garantir qu’elles soient pleinement aptes à déceler les pratiques de fraude fiscale</w:t>
      </w:r>
    </w:p>
    <w:p w:rsidR="00F03BF2" w:rsidRPr="00254E4B" w:rsidRDefault="00F03BF2" w:rsidP="00F03BF2">
      <w:pPr>
        <w:rPr>
          <w:rFonts w:ascii="Times New Roman" w:hAnsi="Times New Roman"/>
          <w:szCs w:val="24"/>
          <w:lang w:val="fr-BE"/>
        </w:rPr>
      </w:pPr>
      <w:r w:rsidRPr="00254E4B">
        <w:rPr>
          <w:rFonts w:ascii="Times New Roman" w:hAnsi="Times New Roman"/>
          <w:lang w:val="fr-BE"/>
        </w:rPr>
        <w:t xml:space="preserve">Obtenir de meilleures performances avec moins de ressources est en effet un défi commun à toutes les administrations fiscales. La direction générale de la fiscalité et de l’union douanière de la Commission européenne soutient activement le recensement et le partage de solutions pour optimiser les structures, les processus et le fonctionnement en général des administrations fiscales, via sa plate-forme informelle récemment créée pour la coopération entre les chefs des administrations fiscales des États membres. Outre cette plate-forme informelle, qui peut aider les administrations fiscales à relever ces défis, les États membres ont également la possibilité d’utiliser le programme d’appui aux réformes structurelles, qui peut les accompagner dans des processus de réforme sur mesure, ainsi que le programme </w:t>
      </w:r>
      <w:proofErr w:type="spellStart"/>
      <w:r w:rsidRPr="00254E4B">
        <w:rPr>
          <w:rFonts w:ascii="Times New Roman" w:hAnsi="Times New Roman"/>
          <w:lang w:val="fr-BE"/>
        </w:rPr>
        <w:t>Fiscalis</w:t>
      </w:r>
      <w:proofErr w:type="spellEnd"/>
      <w:r w:rsidRPr="00254E4B">
        <w:rPr>
          <w:rFonts w:ascii="Times New Roman" w:hAnsi="Times New Roman"/>
          <w:lang w:val="fr-BE"/>
        </w:rPr>
        <w:t xml:space="preserve"> </w:t>
      </w:r>
      <w:r w:rsidRPr="005C1999">
        <w:rPr>
          <w:rFonts w:ascii="Times New Roman" w:hAnsi="Times New Roman"/>
          <w:lang w:val="fr-BE"/>
        </w:rPr>
        <w:t>2020</w:t>
      </w:r>
      <w:r w:rsidRPr="00254E4B">
        <w:rPr>
          <w:rFonts w:ascii="Times New Roman" w:hAnsi="Times New Roman"/>
          <w:lang w:val="fr-BE"/>
        </w:rPr>
        <w:t xml:space="preserve"> pour les échanges et la coopération au niveau des experts. Au printemps dernier, la Commission a présenté, entre autres, deux propositions législatives visant à garantir la poursuite du soutien à ces activités dans le cadre du prochain cadre financier pluriannuel</w:t>
      </w:r>
      <w:r w:rsidRPr="00806F10">
        <w:rPr>
          <w:rStyle w:val="FootnoteReference"/>
          <w:rFonts w:ascii="Times New Roman" w:hAnsi="Times New Roman"/>
        </w:rPr>
        <w:footnoteReference w:id="11"/>
      </w:r>
      <w:r w:rsidRPr="00254E4B">
        <w:rPr>
          <w:rFonts w:ascii="Times New Roman" w:hAnsi="Times New Roman"/>
          <w:lang w:val="fr-BE"/>
        </w:rPr>
        <w:t>.</w:t>
      </w:r>
    </w:p>
    <w:p w:rsidR="00F03BF2" w:rsidRPr="00254E4B" w:rsidRDefault="00F03BF2" w:rsidP="00F03BF2">
      <w:pPr>
        <w:spacing w:after="200"/>
        <w:rPr>
          <w:rFonts w:ascii="Times New Roman" w:hAnsi="Times New Roman"/>
          <w:b/>
          <w:szCs w:val="24"/>
          <w:lang w:val="fr-BE"/>
        </w:rPr>
      </w:pPr>
      <w:r w:rsidRPr="00254E4B">
        <w:rPr>
          <w:rFonts w:ascii="Times New Roman" w:hAnsi="Times New Roman"/>
          <w:b/>
          <w:lang w:val="fr-BE"/>
        </w:rPr>
        <w:t>Recommandation nº </w:t>
      </w:r>
      <w:r w:rsidRPr="005C1999">
        <w:rPr>
          <w:rFonts w:ascii="Times New Roman" w:hAnsi="Times New Roman"/>
          <w:b/>
          <w:lang w:val="fr-BE"/>
        </w:rPr>
        <w:t>25</w:t>
      </w:r>
      <w:r w:rsidRPr="00254E4B">
        <w:rPr>
          <w:rFonts w:ascii="Times New Roman" w:hAnsi="Times New Roman"/>
          <w:b/>
          <w:lang w:val="fr-BE"/>
        </w:rPr>
        <w:t xml:space="preserve">: se félicite de la proposition de la Commission du </w:t>
      </w:r>
      <w:r w:rsidRPr="005C1999">
        <w:rPr>
          <w:rFonts w:ascii="Times New Roman" w:hAnsi="Times New Roman"/>
          <w:b/>
          <w:lang w:val="fr-BE"/>
        </w:rPr>
        <w:t>12</w:t>
      </w:r>
      <w:r w:rsidRPr="00254E4B">
        <w:rPr>
          <w:rFonts w:ascii="Times New Roman" w:hAnsi="Times New Roman"/>
          <w:b/>
          <w:lang w:val="fr-BE"/>
        </w:rPr>
        <w:t> septembre </w:t>
      </w:r>
      <w:r w:rsidRPr="005C1999">
        <w:rPr>
          <w:rFonts w:ascii="Times New Roman" w:hAnsi="Times New Roman"/>
          <w:b/>
          <w:lang w:val="fr-BE"/>
        </w:rPr>
        <w:t>2018</w:t>
      </w:r>
      <w:r w:rsidRPr="00254E4B">
        <w:rPr>
          <w:rFonts w:ascii="Times New Roman" w:hAnsi="Times New Roman"/>
          <w:b/>
          <w:lang w:val="fr-BE"/>
        </w:rPr>
        <w:t xml:space="preserve"> qui vise à modifier, parmi d’autres règlements, le règlement instituant l’ABE afin de renforcer le rôle de l’ABE dans la surveillance du secteur financier aux fins de la lutte contre le blanchiment de capitaux [COM(</w:t>
      </w:r>
      <w:r w:rsidRPr="005C1999">
        <w:rPr>
          <w:rFonts w:ascii="Times New Roman" w:hAnsi="Times New Roman"/>
          <w:b/>
          <w:lang w:val="fr-BE"/>
        </w:rPr>
        <w:t>2018</w:t>
      </w:r>
      <w:r w:rsidRPr="00254E4B">
        <w:rPr>
          <w:rFonts w:ascii="Times New Roman" w:hAnsi="Times New Roman"/>
          <w:b/>
          <w:lang w:val="fr-BE"/>
        </w:rPr>
        <w:t>) </w:t>
      </w:r>
      <w:r w:rsidRPr="005C1999">
        <w:rPr>
          <w:rFonts w:ascii="Times New Roman" w:hAnsi="Times New Roman"/>
          <w:b/>
          <w:lang w:val="fr-BE"/>
        </w:rPr>
        <w:t>646</w:t>
      </w:r>
      <w:r w:rsidRPr="00254E4B">
        <w:rPr>
          <w:rFonts w:ascii="Times New Roman" w:hAnsi="Times New Roman"/>
          <w:b/>
          <w:lang w:val="fr-BE"/>
        </w:rPr>
        <w:t>]; insiste sur le fait que, conformément au mécanisme de surveillance unique, la BCE est chargée de prendre des mesures d’intervention précoce, au sens des dispositions pertinentes du droit de l’Union; estime que la BCE devrait contribuer à alerter les autorités nationales compétentes et devrait coordonner toutes les mesures prises en cas de soupçon d’infraction aux règles anti-blanchiment dans des banques ou des groupes faisant l’objet d’une surveillance</w:t>
      </w:r>
    </w:p>
    <w:p w:rsidR="00680EFD" w:rsidRPr="00F03BF2" w:rsidRDefault="00F03BF2" w:rsidP="00F03BF2">
      <w:pPr>
        <w:rPr>
          <w:lang w:val="fr-BE"/>
        </w:rPr>
      </w:pPr>
      <w:r w:rsidRPr="00254E4B">
        <w:rPr>
          <w:rFonts w:ascii="Times New Roman" w:hAnsi="Times New Roman"/>
          <w:lang w:val="fr-BE"/>
        </w:rPr>
        <w:t xml:space="preserve">La Commission se félicite du soutien exprimé en faveur de sa proposition visant à renforcer les pouvoirs de l’ABE dans le cadre de la lutte contre le blanchiment de capitaux. La Commission est également convaincue de la nécessité de renforcer les accords d’échange d’informations et de coopération entre les autorités de surveillance prudentielle, notamment le mécanisme de surveillance unique (MSU), ainsi que les autorités de lutte contre le blanchiment de capitaux, et de supprimer tout obstacle s'opposant encore à cet échange d’informations. Dans ce contexte, le </w:t>
      </w:r>
      <w:r w:rsidRPr="005C1999">
        <w:rPr>
          <w:rFonts w:ascii="Times New Roman" w:hAnsi="Times New Roman"/>
          <w:lang w:val="fr-BE"/>
        </w:rPr>
        <w:t>4</w:t>
      </w:r>
      <w:r w:rsidRPr="00254E4B">
        <w:rPr>
          <w:rFonts w:ascii="Times New Roman" w:hAnsi="Times New Roman"/>
          <w:lang w:val="fr-BE"/>
        </w:rPr>
        <w:t xml:space="preserve"> décembre, les </w:t>
      </w:r>
      <w:proofErr w:type="spellStart"/>
      <w:r w:rsidRPr="00254E4B">
        <w:rPr>
          <w:rFonts w:ascii="Times New Roman" w:hAnsi="Times New Roman"/>
          <w:lang w:val="fr-BE"/>
        </w:rPr>
        <w:t>colégislateurs</w:t>
      </w:r>
      <w:proofErr w:type="spellEnd"/>
      <w:r w:rsidRPr="00254E4B">
        <w:rPr>
          <w:rFonts w:ascii="Times New Roman" w:hAnsi="Times New Roman"/>
          <w:lang w:val="fr-BE"/>
        </w:rPr>
        <w:t xml:space="preserve"> sont parve</w:t>
      </w:r>
      <w:r>
        <w:rPr>
          <w:rFonts w:ascii="Times New Roman" w:hAnsi="Times New Roman"/>
          <w:lang w:val="fr-BE"/>
        </w:rPr>
        <w:t xml:space="preserve">nus à un accord </w:t>
      </w:r>
      <w:r>
        <w:rPr>
          <w:rFonts w:ascii="Times New Roman" w:hAnsi="Times New Roman"/>
          <w:lang w:val="fr-BE"/>
        </w:rPr>
        <w:lastRenderedPageBreak/>
        <w:t>politique sur un</w:t>
      </w:r>
      <w:proofErr w:type="gramStart"/>
      <w:r w:rsidRPr="00254E4B">
        <w:rPr>
          <w:rFonts w:ascii="Times New Roman" w:hAnsi="Times New Roman"/>
          <w:lang w:val="fr-BE"/>
        </w:rPr>
        <w:t xml:space="preserve"> «paquet</w:t>
      </w:r>
      <w:proofErr w:type="gramEnd"/>
      <w:r w:rsidRPr="00254E4B">
        <w:rPr>
          <w:rFonts w:ascii="Times New Roman" w:hAnsi="Times New Roman"/>
          <w:lang w:val="fr-BE"/>
        </w:rPr>
        <w:t xml:space="preserve"> de réduction des risques» comprenant des modifications de la directive sur l’adéquation des fonds propres qui visent à renforcer ces accords.</w:t>
      </w:r>
    </w:p>
    <w:sectPr w:rsidR="00680EFD" w:rsidRPr="00F03B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BF2" w:rsidRDefault="00F03BF2" w:rsidP="00F03BF2">
      <w:pPr>
        <w:spacing w:after="0"/>
      </w:pPr>
      <w:r>
        <w:separator/>
      </w:r>
    </w:p>
  </w:endnote>
  <w:endnote w:type="continuationSeparator" w:id="0">
    <w:p w:rsidR="00F03BF2" w:rsidRDefault="00F03BF2" w:rsidP="00F03B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BF2" w:rsidRDefault="00F03BF2" w:rsidP="00F03BF2">
      <w:pPr>
        <w:spacing w:after="0"/>
      </w:pPr>
      <w:r>
        <w:separator/>
      </w:r>
    </w:p>
  </w:footnote>
  <w:footnote w:type="continuationSeparator" w:id="0">
    <w:p w:rsidR="00F03BF2" w:rsidRDefault="00F03BF2" w:rsidP="00F03BF2">
      <w:pPr>
        <w:spacing w:after="0"/>
      </w:pPr>
      <w:r>
        <w:continuationSeparator/>
      </w:r>
    </w:p>
  </w:footnote>
  <w:footnote w:id="1">
    <w:p w:rsidR="00F03BF2" w:rsidRPr="00254E4B" w:rsidRDefault="00F03BF2" w:rsidP="00F03BF2">
      <w:pPr>
        <w:pStyle w:val="FootnoteText"/>
        <w:spacing w:after="0"/>
        <w:rPr>
          <w:rFonts w:ascii="Times New Roman" w:hAnsi="Times New Roman"/>
          <w:lang w:val="fr-BE"/>
        </w:rPr>
      </w:pPr>
      <w:r>
        <w:rPr>
          <w:rStyle w:val="FootnoteReference"/>
          <w:rFonts w:ascii="Times New Roman" w:hAnsi="Times New Roman"/>
        </w:rPr>
        <w:footnoteRef/>
      </w:r>
      <w:r w:rsidRPr="00254E4B">
        <w:rPr>
          <w:rFonts w:ascii="Times New Roman" w:hAnsi="Times New Roman"/>
          <w:lang w:val="fr-BE"/>
        </w:rPr>
        <w:t xml:space="preserve"> </w:t>
      </w:r>
      <w:r w:rsidRPr="00254E4B">
        <w:rPr>
          <w:lang w:val="fr-BE"/>
        </w:rPr>
        <w:tab/>
      </w:r>
      <w:r w:rsidRPr="00254E4B">
        <w:rPr>
          <w:rFonts w:ascii="Times New Roman" w:hAnsi="Times New Roman"/>
          <w:lang w:val="fr-BE"/>
        </w:rPr>
        <w:t xml:space="preserve">Directive </w:t>
      </w:r>
      <w:r w:rsidRPr="005C1999">
        <w:rPr>
          <w:rFonts w:ascii="Times New Roman" w:hAnsi="Times New Roman"/>
          <w:lang w:val="fr-BE"/>
        </w:rPr>
        <w:t>2011</w:t>
      </w:r>
      <w:r w:rsidRPr="00254E4B">
        <w:rPr>
          <w:rFonts w:ascii="Times New Roman" w:hAnsi="Times New Roman"/>
          <w:lang w:val="fr-BE"/>
        </w:rPr>
        <w:t>/</w:t>
      </w:r>
      <w:r w:rsidRPr="005C1999">
        <w:rPr>
          <w:rFonts w:ascii="Times New Roman" w:hAnsi="Times New Roman"/>
          <w:lang w:val="fr-BE"/>
        </w:rPr>
        <w:t>16</w:t>
      </w:r>
      <w:r w:rsidRPr="00254E4B">
        <w:rPr>
          <w:rFonts w:ascii="Times New Roman" w:hAnsi="Times New Roman"/>
          <w:lang w:val="fr-BE"/>
        </w:rPr>
        <w:t xml:space="preserve">/UE du Conseil du </w:t>
      </w:r>
      <w:r w:rsidRPr="005C1999">
        <w:rPr>
          <w:rFonts w:ascii="Times New Roman" w:hAnsi="Times New Roman"/>
          <w:lang w:val="fr-BE"/>
        </w:rPr>
        <w:t>15</w:t>
      </w:r>
      <w:r w:rsidRPr="00254E4B">
        <w:rPr>
          <w:rFonts w:ascii="Times New Roman" w:hAnsi="Times New Roman"/>
          <w:lang w:val="fr-BE"/>
        </w:rPr>
        <w:t xml:space="preserve"> février </w:t>
      </w:r>
      <w:r w:rsidRPr="005C1999">
        <w:rPr>
          <w:rFonts w:ascii="Times New Roman" w:hAnsi="Times New Roman"/>
          <w:lang w:val="fr-BE"/>
        </w:rPr>
        <w:t>2011</w:t>
      </w:r>
      <w:r w:rsidRPr="00254E4B">
        <w:rPr>
          <w:rFonts w:ascii="Times New Roman" w:hAnsi="Times New Roman"/>
          <w:lang w:val="fr-BE"/>
        </w:rPr>
        <w:t xml:space="preserve"> relative à la coopération administrative dans le domaine fiscal et abrogeant la directive </w:t>
      </w:r>
      <w:r w:rsidRPr="005C1999">
        <w:rPr>
          <w:rFonts w:ascii="Times New Roman" w:hAnsi="Times New Roman"/>
          <w:lang w:val="fr-BE"/>
        </w:rPr>
        <w:t>77</w:t>
      </w:r>
      <w:r w:rsidRPr="00254E4B">
        <w:rPr>
          <w:rFonts w:ascii="Times New Roman" w:hAnsi="Times New Roman"/>
          <w:lang w:val="fr-BE"/>
        </w:rPr>
        <w:t>/</w:t>
      </w:r>
      <w:r w:rsidRPr="005C1999">
        <w:rPr>
          <w:rFonts w:ascii="Times New Roman" w:hAnsi="Times New Roman"/>
          <w:lang w:val="fr-BE"/>
        </w:rPr>
        <w:t>799</w:t>
      </w:r>
      <w:r w:rsidRPr="00254E4B">
        <w:rPr>
          <w:rFonts w:ascii="Times New Roman" w:hAnsi="Times New Roman"/>
          <w:lang w:val="fr-BE"/>
        </w:rPr>
        <w:t>/CEE.</w:t>
      </w:r>
    </w:p>
  </w:footnote>
  <w:footnote w:id="2">
    <w:p w:rsidR="00F03BF2" w:rsidRPr="00254E4B" w:rsidRDefault="00F03BF2" w:rsidP="00F03BF2">
      <w:pPr>
        <w:pStyle w:val="FootnoteText"/>
        <w:spacing w:after="0"/>
        <w:rPr>
          <w:lang w:val="fr-BE"/>
        </w:rPr>
      </w:pPr>
      <w:r>
        <w:rPr>
          <w:rStyle w:val="FootnoteReference"/>
          <w:rFonts w:ascii="Times New Roman" w:hAnsi="Times New Roman"/>
        </w:rPr>
        <w:footnoteRef/>
      </w:r>
      <w:r w:rsidRPr="00254E4B">
        <w:rPr>
          <w:rFonts w:ascii="Times New Roman" w:hAnsi="Times New Roman"/>
          <w:lang w:val="fr-BE"/>
        </w:rPr>
        <w:t xml:space="preserve"> </w:t>
      </w:r>
      <w:r w:rsidRPr="00254E4B">
        <w:rPr>
          <w:lang w:val="fr-BE"/>
        </w:rPr>
        <w:tab/>
      </w:r>
      <w:r w:rsidRPr="00254E4B">
        <w:rPr>
          <w:rFonts w:ascii="Times New Roman" w:hAnsi="Times New Roman"/>
          <w:lang w:val="fr-BE"/>
        </w:rPr>
        <w:t xml:space="preserve">Directive </w:t>
      </w:r>
      <w:r w:rsidRPr="005C1999">
        <w:rPr>
          <w:rFonts w:ascii="Times New Roman" w:hAnsi="Times New Roman"/>
          <w:lang w:val="fr-BE"/>
        </w:rPr>
        <w:t>2011</w:t>
      </w:r>
      <w:r w:rsidRPr="00254E4B">
        <w:rPr>
          <w:rFonts w:ascii="Times New Roman" w:hAnsi="Times New Roman"/>
          <w:lang w:val="fr-BE"/>
        </w:rPr>
        <w:t>/</w:t>
      </w:r>
      <w:r w:rsidRPr="005C1999">
        <w:rPr>
          <w:rFonts w:ascii="Times New Roman" w:hAnsi="Times New Roman"/>
          <w:lang w:val="fr-BE"/>
        </w:rPr>
        <w:t>96</w:t>
      </w:r>
      <w:r w:rsidRPr="00254E4B">
        <w:rPr>
          <w:rFonts w:ascii="Times New Roman" w:hAnsi="Times New Roman"/>
          <w:lang w:val="fr-BE"/>
        </w:rPr>
        <w:t xml:space="preserve">/UE du Conseil du </w:t>
      </w:r>
      <w:r w:rsidRPr="005C1999">
        <w:rPr>
          <w:rFonts w:ascii="Times New Roman" w:hAnsi="Times New Roman"/>
          <w:lang w:val="fr-BE"/>
        </w:rPr>
        <w:t>30</w:t>
      </w:r>
      <w:r w:rsidRPr="00254E4B">
        <w:rPr>
          <w:rFonts w:ascii="Times New Roman" w:hAnsi="Times New Roman"/>
          <w:lang w:val="fr-BE"/>
        </w:rPr>
        <w:t xml:space="preserve"> novembre </w:t>
      </w:r>
      <w:r w:rsidRPr="005C1999">
        <w:rPr>
          <w:rFonts w:ascii="Times New Roman" w:hAnsi="Times New Roman"/>
          <w:lang w:val="fr-BE"/>
        </w:rPr>
        <w:t>2011</w:t>
      </w:r>
      <w:r w:rsidRPr="00254E4B">
        <w:rPr>
          <w:rFonts w:ascii="Times New Roman" w:hAnsi="Times New Roman"/>
          <w:lang w:val="fr-BE"/>
        </w:rPr>
        <w:t xml:space="preserve"> concernant le régime fiscal commun applicable aux sociétés mères et filiales d’États membres différents.</w:t>
      </w:r>
    </w:p>
  </w:footnote>
  <w:footnote w:id="3">
    <w:p w:rsidR="00F03BF2" w:rsidRPr="006667C6" w:rsidRDefault="00F03BF2" w:rsidP="00F03BF2">
      <w:pPr>
        <w:pStyle w:val="FootnoteText"/>
        <w:spacing w:after="0"/>
        <w:rPr>
          <w:rFonts w:ascii="Times New Roman" w:hAnsi="Times New Roman"/>
          <w:lang w:val="fr-BE"/>
        </w:rPr>
      </w:pPr>
      <w:r w:rsidRPr="006667C6">
        <w:rPr>
          <w:rStyle w:val="FootnoteReference"/>
          <w:rFonts w:ascii="Times New Roman" w:hAnsi="Times New Roman"/>
        </w:rPr>
        <w:footnoteRef/>
      </w:r>
      <w:r w:rsidRPr="006667C6">
        <w:rPr>
          <w:rFonts w:ascii="Times New Roman" w:hAnsi="Times New Roman"/>
          <w:lang w:val="fr-BE"/>
        </w:rPr>
        <w:t xml:space="preserve"> </w:t>
      </w:r>
      <w:r w:rsidRPr="006667C6">
        <w:rPr>
          <w:rFonts w:ascii="Times New Roman" w:hAnsi="Times New Roman"/>
          <w:lang w:val="fr-BE"/>
        </w:rPr>
        <w:tab/>
        <w:t>Directive (UE) 2018/822 du Conseil du 25 mai 2018 modifiant la directive 2011/16/UE.</w:t>
      </w:r>
    </w:p>
  </w:footnote>
  <w:footnote w:id="4">
    <w:p w:rsidR="00F03BF2" w:rsidRPr="006667C6" w:rsidRDefault="00F03BF2" w:rsidP="00F03BF2">
      <w:pPr>
        <w:pStyle w:val="FootnoteText"/>
        <w:spacing w:after="0"/>
        <w:rPr>
          <w:rFonts w:ascii="Times New Roman" w:hAnsi="Times New Roman"/>
          <w:lang w:val="fr-BE"/>
        </w:rPr>
      </w:pPr>
      <w:r w:rsidRPr="006667C6">
        <w:rPr>
          <w:rStyle w:val="FootnoteReference"/>
          <w:rFonts w:ascii="Times New Roman" w:hAnsi="Times New Roman"/>
        </w:rPr>
        <w:footnoteRef/>
      </w:r>
      <w:r w:rsidRPr="006667C6">
        <w:rPr>
          <w:rFonts w:ascii="Times New Roman" w:hAnsi="Times New Roman"/>
          <w:lang w:val="fr-BE"/>
        </w:rPr>
        <w:t xml:space="preserve"> </w:t>
      </w:r>
      <w:r w:rsidRPr="006667C6">
        <w:rPr>
          <w:rFonts w:ascii="Times New Roman" w:hAnsi="Times New Roman"/>
          <w:lang w:val="fr-BE"/>
        </w:rPr>
        <w:tab/>
        <w:t>Conformément à l’article 23 de la directive 2011/16/UE du Conseil, JO L 64 du 11.3.2011, p. 1.</w:t>
      </w:r>
    </w:p>
  </w:footnote>
  <w:footnote w:id="5">
    <w:p w:rsidR="00F03BF2" w:rsidRPr="00254E4B" w:rsidRDefault="00F03BF2" w:rsidP="00F03BF2">
      <w:pPr>
        <w:pStyle w:val="FootnoteText"/>
        <w:spacing w:after="0"/>
        <w:rPr>
          <w:rFonts w:ascii="Times New Roman" w:hAnsi="Times New Roman"/>
          <w:lang w:val="fr-BE"/>
        </w:rPr>
      </w:pPr>
      <w:r>
        <w:rPr>
          <w:rStyle w:val="FootnoteReference"/>
          <w:rFonts w:ascii="Times New Roman" w:hAnsi="Times New Roman"/>
        </w:rPr>
        <w:footnoteRef/>
      </w:r>
      <w:r w:rsidRPr="00254E4B">
        <w:rPr>
          <w:rFonts w:ascii="Times New Roman" w:hAnsi="Times New Roman"/>
          <w:lang w:val="fr-BE"/>
        </w:rPr>
        <w:t xml:space="preserve"> </w:t>
      </w:r>
      <w:r w:rsidRPr="00254E4B">
        <w:rPr>
          <w:lang w:val="fr-BE"/>
        </w:rPr>
        <w:tab/>
      </w:r>
      <w:proofErr w:type="gramStart"/>
      <w:r w:rsidRPr="00254E4B">
        <w:rPr>
          <w:rFonts w:ascii="Times New Roman" w:hAnsi="Times New Roman"/>
          <w:lang w:val="fr-BE"/>
        </w:rPr>
        <w:t>COM(</w:t>
      </w:r>
      <w:proofErr w:type="gramEnd"/>
      <w:r w:rsidRPr="005C1999">
        <w:rPr>
          <w:rFonts w:ascii="Times New Roman" w:hAnsi="Times New Roman"/>
          <w:lang w:val="fr-BE"/>
        </w:rPr>
        <w:t>2017</w:t>
      </w:r>
      <w:r w:rsidRPr="00254E4B">
        <w:rPr>
          <w:rFonts w:ascii="Times New Roman" w:hAnsi="Times New Roman"/>
          <w:lang w:val="fr-BE"/>
        </w:rPr>
        <w:t>) </w:t>
      </w:r>
      <w:r w:rsidRPr="005C1999">
        <w:rPr>
          <w:rFonts w:ascii="Times New Roman" w:hAnsi="Times New Roman"/>
          <w:lang w:val="fr-BE"/>
        </w:rPr>
        <w:t>778</w:t>
      </w:r>
      <w:r w:rsidRPr="00254E4B">
        <w:rPr>
          <w:rFonts w:ascii="Times New Roman" w:hAnsi="Times New Roman"/>
          <w:lang w:val="fr-BE"/>
        </w:rPr>
        <w:t xml:space="preserve"> et SWD(</w:t>
      </w:r>
      <w:r w:rsidRPr="005C1999">
        <w:rPr>
          <w:rFonts w:ascii="Times New Roman" w:hAnsi="Times New Roman"/>
          <w:lang w:val="fr-BE"/>
        </w:rPr>
        <w:t>2017</w:t>
      </w:r>
      <w:r w:rsidRPr="00254E4B">
        <w:rPr>
          <w:rFonts w:ascii="Times New Roman" w:hAnsi="Times New Roman"/>
          <w:lang w:val="fr-BE"/>
        </w:rPr>
        <w:t>) </w:t>
      </w:r>
      <w:r w:rsidRPr="005C1999">
        <w:rPr>
          <w:rFonts w:ascii="Times New Roman" w:hAnsi="Times New Roman"/>
          <w:lang w:val="fr-BE"/>
        </w:rPr>
        <w:t>461</w:t>
      </w:r>
      <w:r w:rsidRPr="00254E4B">
        <w:rPr>
          <w:rFonts w:ascii="Times New Roman" w:hAnsi="Times New Roman"/>
          <w:lang w:val="fr-BE"/>
        </w:rPr>
        <w:t xml:space="preserve"> du </w:t>
      </w:r>
      <w:r w:rsidRPr="005C1999">
        <w:rPr>
          <w:rFonts w:ascii="Times New Roman" w:hAnsi="Times New Roman"/>
          <w:lang w:val="fr-BE"/>
        </w:rPr>
        <w:t>18</w:t>
      </w:r>
      <w:r w:rsidRPr="00254E4B">
        <w:rPr>
          <w:rFonts w:ascii="Times New Roman" w:hAnsi="Times New Roman"/>
          <w:lang w:val="fr-BE"/>
        </w:rPr>
        <w:t>.</w:t>
      </w:r>
      <w:r w:rsidRPr="005C1999">
        <w:rPr>
          <w:rFonts w:ascii="Times New Roman" w:hAnsi="Times New Roman"/>
          <w:lang w:val="fr-BE"/>
        </w:rPr>
        <w:t>12</w:t>
      </w:r>
      <w:r w:rsidRPr="00254E4B">
        <w:rPr>
          <w:rFonts w:ascii="Times New Roman" w:hAnsi="Times New Roman"/>
          <w:lang w:val="fr-BE"/>
        </w:rPr>
        <w:t>.</w:t>
      </w:r>
      <w:r w:rsidRPr="005C1999">
        <w:rPr>
          <w:rFonts w:ascii="Times New Roman" w:hAnsi="Times New Roman"/>
          <w:lang w:val="fr-BE"/>
        </w:rPr>
        <w:t>2017</w:t>
      </w:r>
      <w:r w:rsidRPr="00254E4B">
        <w:rPr>
          <w:rFonts w:ascii="Times New Roman" w:hAnsi="Times New Roman"/>
          <w:lang w:val="fr-BE"/>
        </w:rPr>
        <w:t>.</w:t>
      </w:r>
    </w:p>
  </w:footnote>
  <w:footnote w:id="6">
    <w:p w:rsidR="00F03BF2" w:rsidRPr="00254E4B" w:rsidRDefault="00F03BF2" w:rsidP="00F03BF2">
      <w:pPr>
        <w:pStyle w:val="FootnoteText"/>
        <w:spacing w:after="0"/>
        <w:rPr>
          <w:rFonts w:ascii="Times New Roman" w:hAnsi="Times New Roman"/>
          <w:lang w:val="fr-BE"/>
        </w:rPr>
      </w:pPr>
      <w:r>
        <w:rPr>
          <w:rStyle w:val="FootnoteReference"/>
          <w:rFonts w:ascii="Times New Roman" w:hAnsi="Times New Roman"/>
        </w:rPr>
        <w:footnoteRef/>
      </w:r>
      <w:r w:rsidRPr="00254E4B">
        <w:rPr>
          <w:rFonts w:ascii="Times New Roman" w:hAnsi="Times New Roman"/>
          <w:lang w:val="fr-BE"/>
        </w:rPr>
        <w:t xml:space="preserve"> </w:t>
      </w:r>
      <w:r w:rsidRPr="00254E4B">
        <w:rPr>
          <w:lang w:val="fr-BE"/>
        </w:rPr>
        <w:tab/>
      </w:r>
      <w:r w:rsidRPr="00254E4B">
        <w:rPr>
          <w:rFonts w:ascii="Times New Roman" w:hAnsi="Times New Roman"/>
          <w:lang w:val="fr-BE"/>
        </w:rPr>
        <w:t xml:space="preserve">Directive (UE) </w:t>
      </w:r>
      <w:r w:rsidRPr="005C1999">
        <w:rPr>
          <w:rFonts w:ascii="Times New Roman" w:hAnsi="Times New Roman"/>
          <w:lang w:val="fr-BE"/>
        </w:rPr>
        <w:t>2016</w:t>
      </w:r>
      <w:r w:rsidRPr="00254E4B">
        <w:rPr>
          <w:rFonts w:ascii="Times New Roman" w:hAnsi="Times New Roman"/>
          <w:lang w:val="fr-BE"/>
        </w:rPr>
        <w:t>/</w:t>
      </w:r>
      <w:r w:rsidRPr="005C1999">
        <w:rPr>
          <w:rFonts w:ascii="Times New Roman" w:hAnsi="Times New Roman"/>
          <w:lang w:val="fr-BE"/>
        </w:rPr>
        <w:t>1164</w:t>
      </w:r>
      <w:r w:rsidRPr="00254E4B">
        <w:rPr>
          <w:rFonts w:ascii="Times New Roman" w:hAnsi="Times New Roman"/>
          <w:lang w:val="fr-BE"/>
        </w:rPr>
        <w:t xml:space="preserve"> du Conseil du </w:t>
      </w:r>
      <w:r w:rsidRPr="005C1999">
        <w:rPr>
          <w:rFonts w:ascii="Times New Roman" w:hAnsi="Times New Roman"/>
          <w:lang w:val="fr-BE"/>
        </w:rPr>
        <w:t>12</w:t>
      </w:r>
      <w:r w:rsidRPr="00254E4B">
        <w:rPr>
          <w:rFonts w:ascii="Times New Roman" w:hAnsi="Times New Roman"/>
          <w:lang w:val="fr-BE"/>
        </w:rPr>
        <w:t xml:space="preserve"> juillet </w:t>
      </w:r>
      <w:r w:rsidRPr="005C1999">
        <w:rPr>
          <w:rFonts w:ascii="Times New Roman" w:hAnsi="Times New Roman"/>
          <w:lang w:val="fr-BE"/>
        </w:rPr>
        <w:t>2016</w:t>
      </w:r>
      <w:r w:rsidRPr="00254E4B">
        <w:rPr>
          <w:rFonts w:ascii="Times New Roman" w:hAnsi="Times New Roman"/>
          <w:lang w:val="fr-BE"/>
        </w:rPr>
        <w:t xml:space="preserve"> établissant des règles pour lutter contre les pratiques d’évasion fiscale qui ont une incidence directe sur le fonctionnement du marché intérieur.</w:t>
      </w:r>
    </w:p>
  </w:footnote>
  <w:footnote w:id="7">
    <w:p w:rsidR="00F03BF2" w:rsidRPr="00254E4B" w:rsidRDefault="00F03BF2" w:rsidP="00F03BF2">
      <w:pPr>
        <w:pStyle w:val="FootnoteText"/>
        <w:spacing w:after="0"/>
        <w:rPr>
          <w:rFonts w:ascii="Times New Roman" w:hAnsi="Times New Roman"/>
          <w:lang w:val="fr-BE"/>
        </w:rPr>
      </w:pPr>
      <w:r>
        <w:rPr>
          <w:rStyle w:val="FootnoteReference"/>
          <w:rFonts w:ascii="Times New Roman" w:hAnsi="Times New Roman"/>
        </w:rPr>
        <w:footnoteRef/>
      </w:r>
      <w:r w:rsidRPr="00254E4B">
        <w:rPr>
          <w:rFonts w:ascii="Times New Roman" w:hAnsi="Times New Roman"/>
          <w:lang w:val="fr-BE"/>
        </w:rPr>
        <w:t xml:space="preserve"> </w:t>
      </w:r>
      <w:r w:rsidRPr="00254E4B">
        <w:rPr>
          <w:lang w:val="fr-BE"/>
        </w:rPr>
        <w:tab/>
      </w:r>
      <w:r w:rsidRPr="00254E4B">
        <w:rPr>
          <w:rFonts w:ascii="Times New Roman" w:hAnsi="Times New Roman"/>
          <w:lang w:val="fr-BE"/>
        </w:rPr>
        <w:t xml:space="preserve">Directive </w:t>
      </w:r>
      <w:r w:rsidRPr="005C1999">
        <w:rPr>
          <w:rFonts w:ascii="Times New Roman" w:hAnsi="Times New Roman"/>
          <w:lang w:val="fr-BE"/>
        </w:rPr>
        <w:t>2011</w:t>
      </w:r>
      <w:r w:rsidRPr="00254E4B">
        <w:rPr>
          <w:rFonts w:ascii="Times New Roman" w:hAnsi="Times New Roman"/>
          <w:lang w:val="fr-BE"/>
        </w:rPr>
        <w:t>/</w:t>
      </w:r>
      <w:r w:rsidRPr="005C1999">
        <w:rPr>
          <w:rFonts w:ascii="Times New Roman" w:hAnsi="Times New Roman"/>
          <w:lang w:val="fr-BE"/>
        </w:rPr>
        <w:t>96</w:t>
      </w:r>
      <w:r w:rsidRPr="00254E4B">
        <w:rPr>
          <w:rFonts w:ascii="Times New Roman" w:hAnsi="Times New Roman"/>
          <w:lang w:val="fr-BE"/>
        </w:rPr>
        <w:t>/UE du Conseil.</w:t>
      </w:r>
    </w:p>
  </w:footnote>
  <w:footnote w:id="8">
    <w:p w:rsidR="00F03BF2" w:rsidRPr="00254E4B" w:rsidRDefault="00F03BF2" w:rsidP="00F03BF2">
      <w:pPr>
        <w:pStyle w:val="FootnoteText"/>
        <w:spacing w:after="0"/>
        <w:rPr>
          <w:rFonts w:ascii="Times New Roman" w:hAnsi="Times New Roman"/>
          <w:lang w:val="fr-BE"/>
        </w:rPr>
      </w:pPr>
      <w:r>
        <w:rPr>
          <w:rStyle w:val="FootnoteReference"/>
          <w:rFonts w:ascii="Times New Roman" w:hAnsi="Times New Roman"/>
        </w:rPr>
        <w:footnoteRef/>
      </w:r>
      <w:r w:rsidRPr="00254E4B">
        <w:rPr>
          <w:rFonts w:ascii="Times New Roman" w:hAnsi="Times New Roman"/>
          <w:lang w:val="fr-BE"/>
        </w:rPr>
        <w:t xml:space="preserve"> </w:t>
      </w:r>
      <w:r w:rsidRPr="00254E4B">
        <w:rPr>
          <w:lang w:val="fr-BE"/>
        </w:rPr>
        <w:tab/>
      </w:r>
      <w:proofErr w:type="gramStart"/>
      <w:r w:rsidRPr="00254E4B">
        <w:rPr>
          <w:rFonts w:ascii="Times New Roman" w:hAnsi="Times New Roman"/>
          <w:lang w:val="fr-BE"/>
        </w:rPr>
        <w:t>COM(</w:t>
      </w:r>
      <w:proofErr w:type="gramEnd"/>
      <w:r w:rsidRPr="005C1999">
        <w:rPr>
          <w:rFonts w:ascii="Times New Roman" w:hAnsi="Times New Roman"/>
          <w:lang w:val="fr-BE"/>
        </w:rPr>
        <w:t>2016</w:t>
      </w:r>
      <w:r w:rsidRPr="00254E4B">
        <w:rPr>
          <w:rFonts w:ascii="Times New Roman" w:hAnsi="Times New Roman"/>
          <w:lang w:val="fr-BE"/>
        </w:rPr>
        <w:t>) </w:t>
      </w:r>
      <w:r w:rsidRPr="005C1999">
        <w:rPr>
          <w:rFonts w:ascii="Times New Roman" w:hAnsi="Times New Roman"/>
          <w:lang w:val="fr-BE"/>
        </w:rPr>
        <w:t>687</w:t>
      </w:r>
      <w:r w:rsidRPr="00254E4B">
        <w:rPr>
          <w:rFonts w:ascii="Times New Roman" w:hAnsi="Times New Roman"/>
          <w:lang w:val="fr-BE"/>
        </w:rPr>
        <w:t>.</w:t>
      </w:r>
    </w:p>
  </w:footnote>
  <w:footnote w:id="9">
    <w:p w:rsidR="00F03BF2" w:rsidRPr="00254E4B" w:rsidRDefault="00F03BF2" w:rsidP="00F03BF2">
      <w:pPr>
        <w:pStyle w:val="FootnoteText"/>
        <w:spacing w:after="0"/>
        <w:rPr>
          <w:rFonts w:ascii="Times New Roman" w:hAnsi="Times New Roman"/>
          <w:lang w:val="fr-BE"/>
        </w:rPr>
      </w:pPr>
      <w:r>
        <w:rPr>
          <w:rStyle w:val="FootnoteReference"/>
          <w:rFonts w:ascii="Times New Roman" w:hAnsi="Times New Roman"/>
        </w:rPr>
        <w:footnoteRef/>
      </w:r>
      <w:r w:rsidRPr="00254E4B">
        <w:rPr>
          <w:rFonts w:ascii="Times New Roman" w:hAnsi="Times New Roman"/>
          <w:lang w:val="fr-BE"/>
        </w:rPr>
        <w:t xml:space="preserve"> </w:t>
      </w:r>
      <w:r w:rsidRPr="00254E4B">
        <w:rPr>
          <w:lang w:val="fr-BE"/>
        </w:rPr>
        <w:tab/>
      </w:r>
      <w:proofErr w:type="spellStart"/>
      <w:r w:rsidRPr="00254E4B">
        <w:rPr>
          <w:rFonts w:ascii="Times New Roman" w:hAnsi="Times New Roman"/>
          <w:lang w:val="fr-BE"/>
        </w:rPr>
        <w:t>Demere</w:t>
      </w:r>
      <w:proofErr w:type="spellEnd"/>
      <w:r w:rsidRPr="00254E4B">
        <w:rPr>
          <w:rFonts w:ascii="Times New Roman" w:hAnsi="Times New Roman"/>
          <w:lang w:val="fr-BE"/>
        </w:rPr>
        <w:t xml:space="preserve">, Paul et </w:t>
      </w:r>
      <w:proofErr w:type="spellStart"/>
      <w:r w:rsidRPr="00254E4B">
        <w:rPr>
          <w:rFonts w:ascii="Times New Roman" w:hAnsi="Times New Roman"/>
          <w:lang w:val="fr-BE"/>
        </w:rPr>
        <w:t>Donohoe</w:t>
      </w:r>
      <w:proofErr w:type="spellEnd"/>
      <w:r w:rsidRPr="00254E4B">
        <w:rPr>
          <w:rFonts w:ascii="Times New Roman" w:hAnsi="Times New Roman"/>
          <w:lang w:val="fr-BE"/>
        </w:rPr>
        <w:t xml:space="preserve">, Michael P. et </w:t>
      </w:r>
      <w:proofErr w:type="spellStart"/>
      <w:r w:rsidRPr="00254E4B">
        <w:rPr>
          <w:rFonts w:ascii="Times New Roman" w:hAnsi="Times New Roman"/>
          <w:lang w:val="fr-BE"/>
        </w:rPr>
        <w:t>Lisowsky</w:t>
      </w:r>
      <w:proofErr w:type="spellEnd"/>
      <w:r w:rsidRPr="00254E4B">
        <w:rPr>
          <w:rFonts w:ascii="Times New Roman" w:hAnsi="Times New Roman"/>
          <w:lang w:val="fr-BE"/>
        </w:rPr>
        <w:t xml:space="preserve">, Petro, </w:t>
      </w:r>
      <w:r w:rsidRPr="00254E4B">
        <w:rPr>
          <w:rFonts w:ascii="Times New Roman" w:hAnsi="Times New Roman"/>
          <w:i/>
          <w:lang w:val="fr-BE"/>
        </w:rPr>
        <w:t xml:space="preserve">The </w:t>
      </w:r>
      <w:proofErr w:type="spellStart"/>
      <w:r w:rsidRPr="00254E4B">
        <w:rPr>
          <w:rFonts w:ascii="Times New Roman" w:hAnsi="Times New Roman"/>
          <w:i/>
          <w:lang w:val="fr-BE"/>
        </w:rPr>
        <w:t>Economic</w:t>
      </w:r>
      <w:proofErr w:type="spellEnd"/>
      <w:r w:rsidRPr="00254E4B">
        <w:rPr>
          <w:rFonts w:ascii="Times New Roman" w:hAnsi="Times New Roman"/>
          <w:i/>
          <w:lang w:val="fr-BE"/>
        </w:rPr>
        <w:t xml:space="preserve"> </w:t>
      </w:r>
      <w:proofErr w:type="spellStart"/>
      <w:r w:rsidRPr="00254E4B">
        <w:rPr>
          <w:rFonts w:ascii="Times New Roman" w:hAnsi="Times New Roman"/>
          <w:i/>
          <w:lang w:val="fr-BE"/>
        </w:rPr>
        <w:t>Effects</w:t>
      </w:r>
      <w:proofErr w:type="spellEnd"/>
      <w:r w:rsidRPr="00254E4B">
        <w:rPr>
          <w:rFonts w:ascii="Times New Roman" w:hAnsi="Times New Roman"/>
          <w:i/>
          <w:lang w:val="fr-BE"/>
        </w:rPr>
        <w:t xml:space="preserve"> of </w:t>
      </w:r>
      <w:proofErr w:type="spellStart"/>
      <w:r w:rsidRPr="00254E4B">
        <w:rPr>
          <w:rFonts w:ascii="Times New Roman" w:hAnsi="Times New Roman"/>
          <w:i/>
          <w:lang w:val="fr-BE"/>
        </w:rPr>
        <w:t>Special</w:t>
      </w:r>
      <w:proofErr w:type="spellEnd"/>
      <w:r w:rsidRPr="00254E4B">
        <w:rPr>
          <w:rFonts w:ascii="Times New Roman" w:hAnsi="Times New Roman"/>
          <w:i/>
          <w:lang w:val="fr-BE"/>
        </w:rPr>
        <w:t xml:space="preserve"> </w:t>
      </w:r>
      <w:proofErr w:type="spellStart"/>
      <w:r w:rsidRPr="00254E4B">
        <w:rPr>
          <w:rFonts w:ascii="Times New Roman" w:hAnsi="Times New Roman"/>
          <w:i/>
          <w:lang w:val="fr-BE"/>
        </w:rPr>
        <w:t>Purpose</w:t>
      </w:r>
      <w:proofErr w:type="spellEnd"/>
      <w:r w:rsidRPr="00254E4B">
        <w:rPr>
          <w:rFonts w:ascii="Times New Roman" w:hAnsi="Times New Roman"/>
          <w:i/>
          <w:lang w:val="fr-BE"/>
        </w:rPr>
        <w:t xml:space="preserve"> </w:t>
      </w:r>
      <w:proofErr w:type="spellStart"/>
      <w:r w:rsidRPr="00254E4B">
        <w:rPr>
          <w:rFonts w:ascii="Times New Roman" w:hAnsi="Times New Roman"/>
          <w:i/>
          <w:lang w:val="fr-BE"/>
        </w:rPr>
        <w:t>Entities</w:t>
      </w:r>
      <w:proofErr w:type="spellEnd"/>
      <w:r w:rsidRPr="00254E4B">
        <w:rPr>
          <w:rFonts w:ascii="Times New Roman" w:hAnsi="Times New Roman"/>
          <w:i/>
          <w:lang w:val="fr-BE"/>
        </w:rPr>
        <w:t xml:space="preserve"> on </w:t>
      </w:r>
      <w:proofErr w:type="spellStart"/>
      <w:r w:rsidRPr="00254E4B">
        <w:rPr>
          <w:rFonts w:ascii="Times New Roman" w:hAnsi="Times New Roman"/>
          <w:i/>
          <w:lang w:val="fr-BE"/>
        </w:rPr>
        <w:t>Corporate</w:t>
      </w:r>
      <w:proofErr w:type="spellEnd"/>
      <w:r w:rsidRPr="00254E4B">
        <w:rPr>
          <w:rFonts w:ascii="Times New Roman" w:hAnsi="Times New Roman"/>
          <w:i/>
          <w:lang w:val="fr-BE"/>
        </w:rPr>
        <w:t xml:space="preserve"> </w:t>
      </w:r>
      <w:proofErr w:type="spellStart"/>
      <w:r w:rsidRPr="00254E4B">
        <w:rPr>
          <w:rFonts w:ascii="Times New Roman" w:hAnsi="Times New Roman"/>
          <w:i/>
          <w:lang w:val="fr-BE"/>
        </w:rPr>
        <w:t>Tax</w:t>
      </w:r>
      <w:proofErr w:type="spellEnd"/>
      <w:r w:rsidRPr="00254E4B">
        <w:rPr>
          <w:rFonts w:ascii="Times New Roman" w:hAnsi="Times New Roman"/>
          <w:i/>
          <w:lang w:val="fr-BE"/>
        </w:rPr>
        <w:t xml:space="preserve"> </w:t>
      </w:r>
      <w:proofErr w:type="spellStart"/>
      <w:r w:rsidRPr="00254E4B">
        <w:rPr>
          <w:rFonts w:ascii="Times New Roman" w:hAnsi="Times New Roman"/>
          <w:i/>
          <w:lang w:val="fr-BE"/>
        </w:rPr>
        <w:t>Avoidance</w:t>
      </w:r>
      <w:proofErr w:type="spellEnd"/>
      <w:r w:rsidRPr="00254E4B">
        <w:rPr>
          <w:rFonts w:ascii="Times New Roman" w:hAnsi="Times New Roman"/>
          <w:lang w:val="fr-BE"/>
        </w:rPr>
        <w:t xml:space="preserve"> (</w:t>
      </w:r>
      <w:r w:rsidRPr="005C1999">
        <w:rPr>
          <w:rFonts w:ascii="Times New Roman" w:hAnsi="Times New Roman"/>
          <w:lang w:val="fr-BE"/>
        </w:rPr>
        <w:t>17</w:t>
      </w:r>
      <w:r w:rsidRPr="00254E4B">
        <w:rPr>
          <w:rFonts w:ascii="Times New Roman" w:hAnsi="Times New Roman"/>
          <w:lang w:val="fr-BE"/>
        </w:rPr>
        <w:t xml:space="preserve"> octobre </w:t>
      </w:r>
      <w:r w:rsidRPr="005C1999">
        <w:rPr>
          <w:rFonts w:ascii="Times New Roman" w:hAnsi="Times New Roman"/>
          <w:lang w:val="fr-BE"/>
        </w:rPr>
        <w:t>2018</w:t>
      </w:r>
      <w:r w:rsidRPr="00254E4B">
        <w:rPr>
          <w:rFonts w:ascii="Times New Roman" w:hAnsi="Times New Roman"/>
          <w:lang w:val="fr-BE"/>
        </w:rPr>
        <w:t>). Disponible à SSRN:</w:t>
      </w:r>
      <w:r w:rsidRPr="00254E4B">
        <w:rPr>
          <w:rFonts w:ascii="Times New Roman" w:hAnsi="Times New Roman"/>
          <w:lang w:val="fr-BE"/>
        </w:rPr>
        <w:tab/>
        <w:t xml:space="preserve"> https://ssrn.com/abstract=</w:t>
      </w:r>
      <w:r w:rsidRPr="005C1999">
        <w:rPr>
          <w:rFonts w:ascii="Times New Roman" w:hAnsi="Times New Roman"/>
          <w:lang w:val="fr-BE"/>
        </w:rPr>
        <w:t>2557752</w:t>
      </w:r>
      <w:r w:rsidRPr="00254E4B">
        <w:rPr>
          <w:rFonts w:ascii="Times New Roman" w:hAnsi="Times New Roman"/>
          <w:lang w:val="fr-BE"/>
        </w:rPr>
        <w:t xml:space="preserve"> </w:t>
      </w:r>
      <w:proofErr w:type="spellStart"/>
      <w:r w:rsidRPr="00254E4B">
        <w:rPr>
          <w:rFonts w:ascii="Times New Roman" w:hAnsi="Times New Roman"/>
          <w:lang w:val="fr-BE"/>
        </w:rPr>
        <w:t>or</w:t>
      </w:r>
      <w:proofErr w:type="spellEnd"/>
      <w:r w:rsidRPr="00254E4B">
        <w:rPr>
          <w:rFonts w:ascii="Times New Roman" w:hAnsi="Times New Roman"/>
          <w:lang w:val="fr-BE"/>
        </w:rPr>
        <w:t xml:space="preserve"> http://dx.doi.org/</w:t>
      </w:r>
      <w:r w:rsidRPr="005C1999">
        <w:rPr>
          <w:rFonts w:ascii="Times New Roman" w:hAnsi="Times New Roman"/>
          <w:lang w:val="fr-BE"/>
        </w:rPr>
        <w:t>10</w:t>
      </w:r>
      <w:r w:rsidRPr="00254E4B">
        <w:rPr>
          <w:rFonts w:ascii="Times New Roman" w:hAnsi="Times New Roman"/>
          <w:lang w:val="fr-BE"/>
        </w:rPr>
        <w:t>.</w:t>
      </w:r>
      <w:r w:rsidRPr="005C1999">
        <w:rPr>
          <w:rFonts w:ascii="Times New Roman" w:hAnsi="Times New Roman"/>
          <w:lang w:val="fr-BE"/>
        </w:rPr>
        <w:t>2139</w:t>
      </w:r>
      <w:r w:rsidRPr="00254E4B">
        <w:rPr>
          <w:rFonts w:ascii="Times New Roman" w:hAnsi="Times New Roman"/>
          <w:lang w:val="fr-BE"/>
        </w:rPr>
        <w:t>/ssrn.</w:t>
      </w:r>
      <w:r w:rsidRPr="005C1999">
        <w:rPr>
          <w:rFonts w:ascii="Times New Roman" w:hAnsi="Times New Roman"/>
          <w:lang w:val="fr-BE"/>
        </w:rPr>
        <w:t>2557752</w:t>
      </w:r>
    </w:p>
  </w:footnote>
  <w:footnote w:id="10">
    <w:p w:rsidR="00F03BF2" w:rsidRPr="00254E4B" w:rsidRDefault="00F03BF2" w:rsidP="00F03BF2">
      <w:pPr>
        <w:pStyle w:val="FootnoteText"/>
        <w:spacing w:after="0"/>
        <w:rPr>
          <w:rFonts w:ascii="Times New Roman" w:hAnsi="Times New Roman"/>
          <w:lang w:val="fr-BE"/>
        </w:rPr>
      </w:pPr>
      <w:r>
        <w:rPr>
          <w:rStyle w:val="FootnoteReference"/>
          <w:rFonts w:ascii="Times New Roman" w:hAnsi="Times New Roman"/>
        </w:rPr>
        <w:footnoteRef/>
      </w:r>
      <w:r w:rsidRPr="00254E4B">
        <w:rPr>
          <w:rFonts w:ascii="Times New Roman" w:hAnsi="Times New Roman"/>
          <w:lang w:val="fr-BE"/>
        </w:rPr>
        <w:t xml:space="preserve"> </w:t>
      </w:r>
      <w:r w:rsidRPr="00254E4B">
        <w:rPr>
          <w:lang w:val="fr-BE"/>
        </w:rPr>
        <w:tab/>
      </w:r>
      <w:r w:rsidRPr="00254E4B">
        <w:rPr>
          <w:rFonts w:ascii="Times New Roman" w:hAnsi="Times New Roman"/>
          <w:lang w:val="fr-BE"/>
        </w:rPr>
        <w:t xml:space="preserve">Rapport du Parlement allemand du </w:t>
      </w:r>
      <w:r w:rsidRPr="005C1999">
        <w:rPr>
          <w:rFonts w:ascii="Times New Roman" w:hAnsi="Times New Roman"/>
          <w:lang w:val="fr-BE"/>
        </w:rPr>
        <w:t>20</w:t>
      </w:r>
      <w:r w:rsidRPr="00254E4B">
        <w:rPr>
          <w:rFonts w:ascii="Times New Roman" w:hAnsi="Times New Roman"/>
          <w:lang w:val="fr-BE"/>
        </w:rPr>
        <w:t xml:space="preserve"> juin </w:t>
      </w:r>
      <w:r w:rsidRPr="005C1999">
        <w:rPr>
          <w:rFonts w:ascii="Times New Roman" w:hAnsi="Times New Roman"/>
          <w:lang w:val="fr-BE"/>
        </w:rPr>
        <w:t>2017</w:t>
      </w:r>
      <w:r w:rsidRPr="00254E4B">
        <w:rPr>
          <w:lang w:val="fr-BE"/>
        </w:rPr>
        <w:tab/>
      </w:r>
      <w:r w:rsidRPr="00254E4B">
        <w:rPr>
          <w:rFonts w:ascii="Times New Roman" w:hAnsi="Times New Roman"/>
          <w:lang w:val="fr-BE"/>
        </w:rPr>
        <w:t xml:space="preserve"> </w:t>
      </w:r>
      <w:hyperlink r:id="rId1">
        <w:r w:rsidRPr="00254E4B">
          <w:rPr>
            <w:rStyle w:val="Hyperlink"/>
            <w:rFonts w:ascii="Times New Roman" w:hAnsi="Times New Roman"/>
            <w:lang w:val="fr-BE"/>
          </w:rPr>
          <w:t>https://dip</w:t>
        </w:r>
        <w:r w:rsidRPr="005C1999">
          <w:rPr>
            <w:rStyle w:val="Hyperlink"/>
            <w:rFonts w:ascii="Times New Roman" w:hAnsi="Times New Roman"/>
            <w:lang w:val="fr-BE"/>
          </w:rPr>
          <w:t>21</w:t>
        </w:r>
        <w:r w:rsidRPr="00254E4B">
          <w:rPr>
            <w:rStyle w:val="Hyperlink"/>
            <w:rFonts w:ascii="Times New Roman" w:hAnsi="Times New Roman"/>
            <w:lang w:val="fr-BE"/>
          </w:rPr>
          <w:t>.bundestag.de/dip</w:t>
        </w:r>
        <w:r w:rsidRPr="005C1999">
          <w:rPr>
            <w:rStyle w:val="Hyperlink"/>
            <w:rFonts w:ascii="Times New Roman" w:hAnsi="Times New Roman"/>
            <w:lang w:val="fr-BE"/>
          </w:rPr>
          <w:t>21</w:t>
        </w:r>
        <w:r w:rsidRPr="00254E4B">
          <w:rPr>
            <w:rStyle w:val="Hyperlink"/>
            <w:rFonts w:ascii="Times New Roman" w:hAnsi="Times New Roman"/>
            <w:lang w:val="fr-BE"/>
          </w:rPr>
          <w:t>/btd/</w:t>
        </w:r>
        <w:r w:rsidRPr="005C1999">
          <w:rPr>
            <w:rStyle w:val="Hyperlink"/>
            <w:rFonts w:ascii="Times New Roman" w:hAnsi="Times New Roman"/>
            <w:lang w:val="fr-BE"/>
          </w:rPr>
          <w:t>18</w:t>
        </w:r>
        <w:r w:rsidRPr="00254E4B">
          <w:rPr>
            <w:rStyle w:val="Hyperlink"/>
            <w:rFonts w:ascii="Times New Roman" w:hAnsi="Times New Roman"/>
            <w:lang w:val="fr-BE"/>
          </w:rPr>
          <w:t>/</w:t>
        </w:r>
        <w:r w:rsidRPr="005C1999">
          <w:rPr>
            <w:rStyle w:val="Hyperlink"/>
            <w:rFonts w:ascii="Times New Roman" w:hAnsi="Times New Roman"/>
            <w:lang w:val="fr-BE"/>
          </w:rPr>
          <w:t>127</w:t>
        </w:r>
        <w:r w:rsidRPr="00254E4B">
          <w:rPr>
            <w:rStyle w:val="Hyperlink"/>
            <w:rFonts w:ascii="Times New Roman" w:hAnsi="Times New Roman"/>
            <w:lang w:val="fr-BE"/>
          </w:rPr>
          <w:t>/</w:t>
        </w:r>
        <w:r w:rsidRPr="005C1999">
          <w:rPr>
            <w:rStyle w:val="Hyperlink"/>
            <w:rFonts w:ascii="Times New Roman" w:hAnsi="Times New Roman"/>
            <w:lang w:val="fr-BE"/>
          </w:rPr>
          <w:t>1812700</w:t>
        </w:r>
        <w:r w:rsidRPr="00254E4B">
          <w:rPr>
            <w:rStyle w:val="Hyperlink"/>
            <w:rFonts w:ascii="Times New Roman" w:hAnsi="Times New Roman"/>
            <w:lang w:val="fr-BE"/>
          </w:rPr>
          <w:t>.pdf</w:t>
        </w:r>
      </w:hyperlink>
    </w:p>
  </w:footnote>
  <w:footnote w:id="11">
    <w:p w:rsidR="00F03BF2" w:rsidRPr="00806F10" w:rsidRDefault="00F03BF2" w:rsidP="00F03BF2">
      <w:pPr>
        <w:pStyle w:val="FootnoteText"/>
        <w:spacing w:after="0"/>
        <w:rPr>
          <w:rFonts w:ascii="Times New Roman" w:hAnsi="Times New Roman"/>
          <w:lang w:val="pt-PT"/>
        </w:rPr>
      </w:pPr>
      <w:r>
        <w:rPr>
          <w:rStyle w:val="FootnoteReference"/>
          <w:rFonts w:ascii="Times New Roman" w:hAnsi="Times New Roman"/>
        </w:rPr>
        <w:footnoteRef/>
      </w:r>
      <w:r w:rsidRPr="00806F10">
        <w:rPr>
          <w:rFonts w:ascii="Times New Roman" w:hAnsi="Times New Roman"/>
          <w:lang w:val="pt-PT"/>
        </w:rPr>
        <w:t xml:space="preserve"> </w:t>
      </w:r>
      <w:r w:rsidRPr="00806F10">
        <w:rPr>
          <w:lang w:val="pt-PT"/>
        </w:rPr>
        <w:tab/>
      </w:r>
      <w:proofErr w:type="gramStart"/>
      <w:r w:rsidRPr="00806F10">
        <w:rPr>
          <w:rFonts w:ascii="Times New Roman" w:hAnsi="Times New Roman"/>
          <w:lang w:val="pt-PT"/>
        </w:rPr>
        <w:t>COM(</w:t>
      </w:r>
      <w:proofErr w:type="gramEnd"/>
      <w:r w:rsidRPr="005C1999">
        <w:rPr>
          <w:rFonts w:ascii="Times New Roman" w:hAnsi="Times New Roman"/>
          <w:lang w:val="pt-PT"/>
        </w:rPr>
        <w:t>2018</w:t>
      </w:r>
      <w:r w:rsidRPr="00806F10">
        <w:rPr>
          <w:rFonts w:ascii="Times New Roman" w:hAnsi="Times New Roman"/>
          <w:lang w:val="pt-PT"/>
        </w:rPr>
        <w:t>) </w:t>
      </w:r>
      <w:r w:rsidRPr="005C1999">
        <w:rPr>
          <w:rFonts w:ascii="Times New Roman" w:hAnsi="Times New Roman"/>
          <w:lang w:val="pt-PT"/>
        </w:rPr>
        <w:t>391</w:t>
      </w:r>
      <w:r w:rsidRPr="00806F10">
        <w:rPr>
          <w:rFonts w:ascii="Times New Roman" w:hAnsi="Times New Roman"/>
          <w:lang w:val="pt-PT"/>
        </w:rPr>
        <w:t xml:space="preserve"> final </w:t>
      </w:r>
      <w:proofErr w:type="spellStart"/>
      <w:r w:rsidRPr="00806F10">
        <w:rPr>
          <w:rFonts w:ascii="Times New Roman" w:hAnsi="Times New Roman"/>
          <w:lang w:val="pt-PT"/>
        </w:rPr>
        <w:t>et</w:t>
      </w:r>
      <w:proofErr w:type="spellEnd"/>
      <w:r w:rsidRPr="00806F10">
        <w:rPr>
          <w:rFonts w:ascii="Times New Roman" w:hAnsi="Times New Roman"/>
          <w:lang w:val="pt-PT"/>
        </w:rPr>
        <w:t xml:space="preserve"> COM(</w:t>
      </w:r>
      <w:r w:rsidRPr="005C1999">
        <w:rPr>
          <w:rFonts w:ascii="Times New Roman" w:hAnsi="Times New Roman"/>
          <w:lang w:val="pt-PT"/>
        </w:rPr>
        <w:t>2018</w:t>
      </w:r>
      <w:r w:rsidRPr="00806F10">
        <w:rPr>
          <w:rFonts w:ascii="Times New Roman" w:hAnsi="Times New Roman"/>
          <w:lang w:val="pt-PT"/>
        </w:rPr>
        <w:t>) </w:t>
      </w:r>
      <w:r w:rsidRPr="005C1999">
        <w:rPr>
          <w:rFonts w:ascii="Times New Roman" w:hAnsi="Times New Roman"/>
          <w:lang w:val="pt-PT"/>
        </w:rPr>
        <w:t>443</w:t>
      </w:r>
      <w:r w:rsidRPr="00806F10">
        <w:rPr>
          <w:rFonts w:ascii="Times New Roman" w:hAnsi="Times New Roman"/>
          <w:lang w:val="pt-PT"/>
        </w:rPr>
        <w:t xml:space="preserve"> final.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BF2"/>
    <w:rsid w:val="000A1623"/>
    <w:rsid w:val="00131AC6"/>
    <w:rsid w:val="001855CC"/>
    <w:rsid w:val="001C3806"/>
    <w:rsid w:val="002871F7"/>
    <w:rsid w:val="00680EFD"/>
    <w:rsid w:val="006843AE"/>
    <w:rsid w:val="00B34A98"/>
    <w:rsid w:val="00B65AA4"/>
    <w:rsid w:val="00ED700E"/>
    <w:rsid w:val="00F03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5E994-DB42-448C-8040-D15956E19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BF2"/>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DGName">
    <w:name w:val="Z_DGName"/>
    <w:basedOn w:val="Normal"/>
    <w:uiPriority w:val="99"/>
    <w:rsid w:val="000A1623"/>
    <w:pPr>
      <w:ind w:right="85"/>
    </w:pPr>
    <w:rPr>
      <w:rFonts w:ascii="Arial" w:hAnsi="Arial" w:cs="Arial"/>
      <w:color w:val="000000"/>
      <w:sz w:val="16"/>
      <w:szCs w:val="16"/>
      <w:lang w:val="fr-FR" w:eastAsia="fr-BE"/>
    </w:rPr>
  </w:style>
  <w:style w:type="paragraph" w:customStyle="1" w:styleId="NoSpacingGray-80">
    <w:name w:val="No Spacing + Gray-80%"/>
    <w:aliases w:val="Justified,Left:  0,5 cm + Left:  0,5 cm,Right:  0,08 cm"/>
    <w:basedOn w:val="NoSpacing"/>
    <w:rsid w:val="000A1623"/>
    <w:pPr>
      <w:ind w:right="707"/>
    </w:pPr>
    <w:rPr>
      <w:rFonts w:eastAsia="Times New Roman" w:cs="Times New Roman"/>
      <w:color w:val="000000"/>
    </w:rPr>
  </w:style>
  <w:style w:type="paragraph" w:styleId="NoSpacing">
    <w:name w:val="No Spacing"/>
    <w:link w:val="NoSpacingChar"/>
    <w:autoRedefine/>
    <w:uiPriority w:val="1"/>
    <w:qFormat/>
    <w:rsid w:val="000A1623"/>
    <w:pPr>
      <w:keepLines/>
      <w:spacing w:after="0" w:line="240" w:lineRule="auto"/>
      <w:jc w:val="both"/>
    </w:pPr>
    <w:rPr>
      <w:rFonts w:ascii="Times New Roman" w:hAnsi="Times New Roman"/>
      <w:color w:val="333333"/>
      <w:sz w:val="20"/>
      <w:szCs w:val="20"/>
      <w:lang w:val="fr-BE" w:eastAsia="en-GB"/>
    </w:rPr>
  </w:style>
  <w:style w:type="paragraph" w:styleId="Header">
    <w:name w:val="header"/>
    <w:basedOn w:val="Normal"/>
    <w:link w:val="HeaderChar"/>
    <w:uiPriority w:val="99"/>
    <w:unhideWhenUsed/>
    <w:rsid w:val="000A1623"/>
    <w:pPr>
      <w:tabs>
        <w:tab w:val="center" w:pos="4513"/>
        <w:tab w:val="right" w:pos="9026"/>
      </w:tabs>
      <w:spacing w:after="0"/>
    </w:pPr>
  </w:style>
  <w:style w:type="character" w:customStyle="1" w:styleId="HeaderChar">
    <w:name w:val="Header Char"/>
    <w:basedOn w:val="DefaultParagraphFont"/>
    <w:link w:val="Header"/>
    <w:uiPriority w:val="99"/>
    <w:rsid w:val="000A1623"/>
  </w:style>
  <w:style w:type="paragraph" w:styleId="Footer">
    <w:name w:val="footer"/>
    <w:basedOn w:val="Normal"/>
    <w:link w:val="FooterChar"/>
    <w:uiPriority w:val="99"/>
    <w:unhideWhenUsed/>
    <w:rsid w:val="000A1623"/>
    <w:pPr>
      <w:tabs>
        <w:tab w:val="center" w:pos="4513"/>
        <w:tab w:val="right" w:pos="9026"/>
      </w:tabs>
      <w:spacing w:after="0"/>
    </w:pPr>
  </w:style>
  <w:style w:type="character" w:customStyle="1" w:styleId="FooterChar">
    <w:name w:val="Footer Char"/>
    <w:basedOn w:val="DefaultParagraphFont"/>
    <w:link w:val="Footer"/>
    <w:uiPriority w:val="99"/>
    <w:rsid w:val="000A1623"/>
  </w:style>
  <w:style w:type="character" w:customStyle="1" w:styleId="NoSpacingChar">
    <w:name w:val="No Spacing Char"/>
    <w:link w:val="NoSpacing"/>
    <w:uiPriority w:val="1"/>
    <w:locked/>
    <w:rsid w:val="000A1623"/>
    <w:rPr>
      <w:rFonts w:ascii="Times New Roman" w:hAnsi="Times New Roman"/>
      <w:color w:val="333333"/>
      <w:sz w:val="20"/>
      <w:szCs w:val="20"/>
      <w:lang w:val="fr-BE" w:eastAsia="en-GB"/>
    </w:rPr>
  </w:style>
  <w:style w:type="paragraph" w:styleId="ListParagraph">
    <w:name w:val="List Paragraph"/>
    <w:basedOn w:val="Normal"/>
    <w:uiPriority w:val="34"/>
    <w:qFormat/>
    <w:rsid w:val="000A1623"/>
    <w:pPr>
      <w:ind w:left="720"/>
      <w:contextualSpacing/>
    </w:pPr>
  </w:style>
  <w:style w:type="paragraph" w:customStyle="1" w:styleId="Heading2capitalletters">
    <w:name w:val="Heading 2 (capital letters)"/>
    <w:basedOn w:val="Normal"/>
    <w:link w:val="Heading2capitallettersChar"/>
    <w:qFormat/>
    <w:rsid w:val="000A1623"/>
    <w:rPr>
      <w:rFonts w:ascii="Times New Roman" w:hAnsi="Times New Roman"/>
      <w:b/>
      <w:szCs w:val="24"/>
      <w:u w:val="single"/>
      <w:lang w:val="fr-BE"/>
    </w:rPr>
  </w:style>
  <w:style w:type="character" w:customStyle="1" w:styleId="Heading2capitallettersChar">
    <w:name w:val="Heading 2 (capital letters) Char"/>
    <w:basedOn w:val="DefaultParagraphFont"/>
    <w:link w:val="Heading2capitalletters"/>
    <w:rsid w:val="000A1623"/>
    <w:rPr>
      <w:rFonts w:ascii="Times New Roman" w:hAnsi="Times New Roman" w:cs="Times New Roman"/>
      <w:b/>
      <w:sz w:val="24"/>
      <w:szCs w:val="24"/>
      <w:u w:val="single"/>
      <w:lang w:val="fr-BE"/>
    </w:rPr>
  </w:style>
  <w:style w:type="paragraph" w:customStyle="1" w:styleId="Heading3number">
    <w:name w:val="Heading 3 (number)"/>
    <w:basedOn w:val="Normal"/>
    <w:link w:val="Heading3numberChar"/>
    <w:qFormat/>
    <w:rsid w:val="000A1623"/>
    <w:pPr>
      <w:ind w:left="284"/>
    </w:pPr>
    <w:rPr>
      <w:rFonts w:ascii="Times New Roman" w:hAnsi="Times New Roman"/>
      <w:b/>
      <w:szCs w:val="24"/>
      <w:u w:val="single"/>
      <w:lang w:val="fr-BE"/>
    </w:rPr>
  </w:style>
  <w:style w:type="character" w:customStyle="1" w:styleId="Heading3numberChar">
    <w:name w:val="Heading 3 (number) Char"/>
    <w:basedOn w:val="DefaultParagraphFont"/>
    <w:link w:val="Heading3number"/>
    <w:rsid w:val="000A1623"/>
    <w:rPr>
      <w:rFonts w:ascii="Times New Roman" w:hAnsi="Times New Roman" w:cs="Times New Roman"/>
      <w:b/>
      <w:sz w:val="24"/>
      <w:szCs w:val="24"/>
      <w:u w:val="single"/>
      <w:lang w:val="fr-BE"/>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rsid w:val="00F03BF2"/>
    <w:pPr>
      <w:ind w:left="357" w:hanging="357"/>
    </w:pPr>
    <w:rPr>
      <w:sz w:val="20"/>
    </w:rPr>
  </w:style>
  <w:style w:type="character" w:customStyle="1" w:styleId="FootnoteTextChar">
    <w:name w:val="Footnote Text Char"/>
    <w:basedOn w:val="DefaultParagraphFont"/>
    <w:uiPriority w:val="99"/>
    <w:semiHidden/>
    <w:rsid w:val="00F03BF2"/>
    <w:rPr>
      <w:rFonts w:ascii="Courier New" w:eastAsia="Times New Roman" w:hAnsi="Courier New" w:cs="Times New Roman"/>
      <w:sz w:val="20"/>
      <w:szCs w:val="20"/>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F03BF2"/>
    <w:rPr>
      <w:vertAlign w:val="superscript"/>
    </w:rPr>
  </w:style>
  <w:style w:type="character" w:styleId="Hyperlink">
    <w:name w:val="Hyperlink"/>
    <w:aliases w:val="Char1"/>
    <w:uiPriority w:val="99"/>
    <w:rsid w:val="00F03BF2"/>
    <w:rPr>
      <w:color w:val="0000FF"/>
      <w:u w:val="single"/>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F03BF2"/>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F03BF2"/>
    <w:pPr>
      <w:spacing w:after="160" w:line="240" w:lineRule="exact"/>
      <w:jc w:val="left"/>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dip21.bundestag.de/dip21/btd/18/127/18127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2971</Words>
  <Characters>16936</Characters>
  <Application>Microsoft Office Word</Application>
  <DocSecurity>0</DocSecurity>
  <Lines>260</Lines>
  <Paragraphs>61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Veronique (SG)</dc:creator>
  <cp:keywords/>
  <dc:description/>
  <cp:lastModifiedBy>VINCENT Veronique (SG)</cp:lastModifiedBy>
  <cp:revision>1</cp:revision>
  <dcterms:created xsi:type="dcterms:W3CDTF">2019-03-20T13:27:00Z</dcterms:created>
  <dcterms:modified xsi:type="dcterms:W3CDTF">2019-03-20T13:28:00Z</dcterms:modified>
</cp:coreProperties>
</file>