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7E" w:rsidRPr="00472087" w:rsidRDefault="00C9637E" w:rsidP="00C9637E">
      <w:pPr>
        <w:spacing w:after="600"/>
        <w:jc w:val="center"/>
        <w:rPr>
          <w:rFonts w:ascii="Times New Roman" w:hAnsi="Times New Roman"/>
          <w:b/>
          <w:szCs w:val="24"/>
          <w:lang w:val="fr-BE"/>
        </w:rPr>
      </w:pPr>
      <w:r w:rsidRPr="00472087">
        <w:rPr>
          <w:rFonts w:ascii="Times New Roman" w:hAnsi="Times New Roman"/>
          <w:b/>
          <w:lang w:val="fr-BE"/>
        </w:rPr>
        <w:t xml:space="preserve">Suite donnée à la résolution non législative du Parlement européen sur le rapport </w:t>
      </w:r>
      <w:r w:rsidRPr="005C1999">
        <w:rPr>
          <w:rFonts w:ascii="Times New Roman" w:hAnsi="Times New Roman"/>
          <w:b/>
          <w:lang w:val="fr-BE"/>
        </w:rPr>
        <w:t>2018</w:t>
      </w:r>
      <w:r w:rsidRPr="00472087">
        <w:rPr>
          <w:rFonts w:ascii="Times New Roman" w:hAnsi="Times New Roman"/>
          <w:b/>
          <w:lang w:val="fr-BE"/>
        </w:rPr>
        <w:t xml:space="preserve"> de la Commission concernant l’ancienne République yougoslave de Macédoine</w:t>
      </w:r>
    </w:p>
    <w:p w:rsidR="00C9637E" w:rsidRPr="005959E8" w:rsidRDefault="00C9637E" w:rsidP="00C9637E">
      <w:pPr>
        <w:ind w:left="567" w:hanging="567"/>
        <w:rPr>
          <w:rFonts w:ascii="Times New Roman" w:hAnsi="Times New Roman"/>
          <w:szCs w:val="24"/>
          <w:lang w:val="fr-BE"/>
        </w:rPr>
      </w:pPr>
      <w:r w:rsidRPr="005C1999">
        <w:rPr>
          <w:rFonts w:ascii="Times New Roman" w:hAnsi="Times New Roman"/>
          <w:b/>
          <w:lang w:val="fr-BE"/>
        </w:rPr>
        <w:t>1</w:t>
      </w:r>
      <w:r w:rsidRPr="005959E8">
        <w:rPr>
          <w:rFonts w:ascii="Times New Roman" w:hAnsi="Times New Roman"/>
          <w:b/>
          <w:lang w:val="fr-BE"/>
        </w:rPr>
        <w:t xml:space="preserve">. </w:t>
      </w:r>
      <w:r w:rsidRPr="005959E8">
        <w:rPr>
          <w:lang w:val="fr-BE"/>
        </w:rPr>
        <w:tab/>
      </w:r>
      <w:r w:rsidRPr="005959E8">
        <w:rPr>
          <w:rFonts w:ascii="Times New Roman" w:hAnsi="Times New Roman"/>
          <w:b/>
          <w:lang w:val="fr-BE"/>
        </w:rPr>
        <w:t>Rapporteur</w:t>
      </w:r>
      <w:r w:rsidRPr="005959E8">
        <w:rPr>
          <w:rFonts w:ascii="Times New Roman" w:hAnsi="Times New Roman"/>
          <w:lang w:val="fr-BE"/>
        </w:rPr>
        <w:t xml:space="preserve">: Ivo VAJGL (ALDE/SI) </w:t>
      </w:r>
    </w:p>
    <w:p w:rsidR="00C9637E" w:rsidRPr="005959E8" w:rsidRDefault="00C9637E" w:rsidP="00C9637E">
      <w:pPr>
        <w:ind w:left="567" w:hanging="567"/>
        <w:rPr>
          <w:rFonts w:ascii="Times New Roman" w:hAnsi="Times New Roman"/>
          <w:szCs w:val="24"/>
          <w:lang w:val="fr-BE"/>
        </w:rPr>
      </w:pPr>
      <w:r w:rsidRPr="005C1999">
        <w:rPr>
          <w:rFonts w:ascii="Times New Roman" w:hAnsi="Times New Roman"/>
          <w:b/>
          <w:lang w:val="fr-BE"/>
        </w:rPr>
        <w:t>2</w:t>
      </w:r>
      <w:r w:rsidRPr="005959E8">
        <w:rPr>
          <w:rFonts w:ascii="Times New Roman" w:hAnsi="Times New Roman"/>
          <w:b/>
          <w:lang w:val="fr-BE"/>
        </w:rPr>
        <w:t xml:space="preserve">. </w:t>
      </w:r>
      <w:r w:rsidRPr="005959E8">
        <w:rPr>
          <w:lang w:val="fr-BE"/>
        </w:rPr>
        <w:tab/>
      </w:r>
      <w:r w:rsidRPr="005959E8">
        <w:rPr>
          <w:rFonts w:ascii="Times New Roman" w:hAnsi="Times New Roman"/>
          <w:b/>
          <w:lang w:val="fr-BE"/>
        </w:rPr>
        <w:t>Numéros de référence</w:t>
      </w:r>
      <w:r w:rsidRPr="005959E8">
        <w:rPr>
          <w:rFonts w:ascii="Times New Roman" w:hAnsi="Times New Roman"/>
          <w:lang w:val="fr-BE"/>
        </w:rPr>
        <w:t xml:space="preserve">: </w:t>
      </w:r>
      <w:r w:rsidRPr="005C1999">
        <w:rPr>
          <w:rFonts w:ascii="Times New Roman" w:hAnsi="Times New Roman"/>
          <w:lang w:val="fr-BE"/>
        </w:rPr>
        <w:t>2018</w:t>
      </w:r>
      <w:r w:rsidRPr="005959E8">
        <w:rPr>
          <w:rFonts w:ascii="Times New Roman" w:hAnsi="Times New Roman"/>
          <w:lang w:val="fr-BE"/>
        </w:rPr>
        <w:t>/</w:t>
      </w:r>
      <w:r w:rsidRPr="005C1999">
        <w:rPr>
          <w:rFonts w:ascii="Times New Roman" w:hAnsi="Times New Roman"/>
          <w:lang w:val="fr-BE"/>
        </w:rPr>
        <w:t>2145</w:t>
      </w:r>
      <w:r w:rsidRPr="005959E8">
        <w:rPr>
          <w:rFonts w:ascii="Times New Roman" w:hAnsi="Times New Roman"/>
          <w:lang w:val="fr-BE"/>
        </w:rPr>
        <w:t xml:space="preserve"> (INI) / </w:t>
      </w:r>
      <w:r w:rsidRPr="005959E8">
        <w:rPr>
          <w:rStyle w:val="ringrefselectedheader"/>
          <w:rFonts w:ascii="Times New Roman" w:hAnsi="Times New Roman"/>
          <w:lang w:val="fr-BE"/>
        </w:rPr>
        <w:t>A</w:t>
      </w:r>
      <w:r w:rsidRPr="005C1999">
        <w:rPr>
          <w:rStyle w:val="ringrefselectedheader"/>
          <w:rFonts w:ascii="Times New Roman" w:hAnsi="Times New Roman"/>
          <w:lang w:val="fr-BE"/>
        </w:rPr>
        <w:t>8</w:t>
      </w:r>
      <w:r w:rsidRPr="005959E8">
        <w:rPr>
          <w:rStyle w:val="ringrefselectedheader"/>
          <w:rFonts w:ascii="Times New Roman" w:hAnsi="Times New Roman"/>
          <w:lang w:val="fr-BE"/>
        </w:rPr>
        <w:t>-</w:t>
      </w:r>
      <w:r w:rsidRPr="005C1999">
        <w:rPr>
          <w:rStyle w:val="ringrefselectedheader"/>
          <w:rFonts w:ascii="Times New Roman" w:hAnsi="Times New Roman"/>
          <w:lang w:val="fr-BE"/>
        </w:rPr>
        <w:t>0341</w:t>
      </w:r>
      <w:r w:rsidRPr="005959E8">
        <w:rPr>
          <w:rStyle w:val="ringrefselectedheader"/>
          <w:rFonts w:ascii="Times New Roman" w:hAnsi="Times New Roman"/>
          <w:lang w:val="fr-BE"/>
        </w:rPr>
        <w:t>/</w:t>
      </w:r>
      <w:r w:rsidRPr="005C1999">
        <w:rPr>
          <w:rStyle w:val="ringrefselectedheader"/>
          <w:rFonts w:ascii="Times New Roman" w:hAnsi="Times New Roman"/>
          <w:lang w:val="fr-BE"/>
        </w:rPr>
        <w:t>2018</w:t>
      </w:r>
      <w:r w:rsidRPr="005959E8">
        <w:rPr>
          <w:rStyle w:val="ringrefselectedheader"/>
          <w:rFonts w:ascii="Times New Roman" w:hAnsi="Times New Roman"/>
          <w:lang w:val="fr-BE"/>
        </w:rPr>
        <w:t xml:space="preserve"> / </w:t>
      </w:r>
      <w:r w:rsidRPr="005959E8">
        <w:rPr>
          <w:rFonts w:ascii="Times New Roman" w:hAnsi="Times New Roman"/>
          <w:lang w:val="fr-BE"/>
        </w:rPr>
        <w:t>P</w:t>
      </w:r>
      <w:r w:rsidRPr="005C1999">
        <w:rPr>
          <w:rFonts w:ascii="Times New Roman" w:hAnsi="Times New Roman"/>
          <w:lang w:val="fr-BE"/>
        </w:rPr>
        <w:t>8</w:t>
      </w:r>
      <w:r w:rsidRPr="005959E8">
        <w:rPr>
          <w:rFonts w:ascii="Times New Roman" w:hAnsi="Times New Roman"/>
          <w:lang w:val="fr-BE"/>
        </w:rPr>
        <w:t>_TA-</w:t>
      </w:r>
      <w:proofErr w:type="gramStart"/>
      <w:r w:rsidRPr="005959E8">
        <w:rPr>
          <w:rFonts w:ascii="Times New Roman" w:hAnsi="Times New Roman"/>
          <w:lang w:val="fr-BE"/>
        </w:rPr>
        <w:t>PROV(</w:t>
      </w:r>
      <w:proofErr w:type="gramEnd"/>
      <w:r w:rsidRPr="005C1999">
        <w:rPr>
          <w:rFonts w:ascii="Times New Roman" w:hAnsi="Times New Roman"/>
          <w:lang w:val="fr-BE"/>
        </w:rPr>
        <w:t>2018</w:t>
      </w:r>
      <w:r w:rsidRPr="005959E8">
        <w:rPr>
          <w:rFonts w:ascii="Times New Roman" w:hAnsi="Times New Roman"/>
          <w:lang w:val="fr-BE"/>
        </w:rPr>
        <w:t>)</w:t>
      </w:r>
      <w:r w:rsidRPr="005C1999">
        <w:rPr>
          <w:rFonts w:ascii="Times New Roman" w:hAnsi="Times New Roman"/>
          <w:lang w:val="fr-BE"/>
        </w:rPr>
        <w:t>0480</w:t>
      </w:r>
    </w:p>
    <w:p w:rsidR="00C9637E" w:rsidRPr="005959E8" w:rsidRDefault="00C9637E" w:rsidP="00C9637E">
      <w:pPr>
        <w:ind w:left="567" w:hanging="567"/>
        <w:rPr>
          <w:rFonts w:ascii="Times New Roman" w:hAnsi="Times New Roman"/>
          <w:szCs w:val="24"/>
          <w:lang w:val="fr-BE"/>
        </w:rPr>
      </w:pPr>
      <w:r w:rsidRPr="005C1999">
        <w:rPr>
          <w:rFonts w:ascii="Times New Roman" w:hAnsi="Times New Roman"/>
          <w:b/>
          <w:lang w:val="fr-BE"/>
        </w:rPr>
        <w:t>3</w:t>
      </w:r>
      <w:r w:rsidRPr="005959E8">
        <w:rPr>
          <w:rFonts w:ascii="Times New Roman" w:hAnsi="Times New Roman"/>
          <w:b/>
          <w:lang w:val="fr-BE"/>
        </w:rPr>
        <w:t xml:space="preserve">. </w:t>
      </w:r>
      <w:r w:rsidRPr="005959E8">
        <w:rPr>
          <w:lang w:val="fr-BE"/>
        </w:rPr>
        <w:tab/>
      </w:r>
      <w:r w:rsidRPr="005959E8">
        <w:rPr>
          <w:rFonts w:ascii="Times New Roman" w:hAnsi="Times New Roman"/>
          <w:b/>
          <w:lang w:val="fr-BE"/>
        </w:rPr>
        <w:t>Date d’adoption de la résolution</w:t>
      </w:r>
      <w:r w:rsidRPr="005959E8">
        <w:rPr>
          <w:rFonts w:ascii="Times New Roman" w:hAnsi="Times New Roman"/>
          <w:lang w:val="fr-BE"/>
        </w:rPr>
        <w:t xml:space="preserve">: </w:t>
      </w:r>
      <w:r w:rsidRPr="005C1999">
        <w:rPr>
          <w:rFonts w:ascii="Times New Roman" w:hAnsi="Times New Roman"/>
          <w:lang w:val="fr-BE"/>
        </w:rPr>
        <w:t>29</w:t>
      </w:r>
      <w:r w:rsidRPr="005959E8">
        <w:rPr>
          <w:rFonts w:ascii="Times New Roman" w:hAnsi="Times New Roman"/>
          <w:lang w:val="fr-BE"/>
        </w:rPr>
        <w:t> novembre </w:t>
      </w:r>
      <w:r w:rsidRPr="005C1999">
        <w:rPr>
          <w:rFonts w:ascii="Times New Roman" w:hAnsi="Times New Roman"/>
          <w:lang w:val="fr-BE"/>
        </w:rPr>
        <w:t>2018</w:t>
      </w:r>
      <w:r w:rsidRPr="005959E8">
        <w:rPr>
          <w:rFonts w:ascii="Times New Roman" w:hAnsi="Times New Roman"/>
          <w:lang w:val="fr-BE"/>
        </w:rPr>
        <w:t xml:space="preserve"> </w:t>
      </w:r>
    </w:p>
    <w:p w:rsidR="00C9637E" w:rsidRPr="005959E8" w:rsidRDefault="00C9637E" w:rsidP="00C9637E">
      <w:pPr>
        <w:ind w:left="567" w:hanging="567"/>
        <w:rPr>
          <w:rFonts w:ascii="Times New Roman" w:hAnsi="Times New Roman"/>
          <w:szCs w:val="24"/>
          <w:lang w:val="fr-BE"/>
        </w:rPr>
      </w:pPr>
      <w:r w:rsidRPr="005C1999">
        <w:rPr>
          <w:rFonts w:ascii="Times New Roman" w:hAnsi="Times New Roman"/>
          <w:b/>
          <w:lang w:val="fr-BE"/>
        </w:rPr>
        <w:t>4</w:t>
      </w:r>
      <w:r w:rsidRPr="005959E8">
        <w:rPr>
          <w:rFonts w:ascii="Times New Roman" w:hAnsi="Times New Roman"/>
          <w:b/>
          <w:lang w:val="fr-BE"/>
        </w:rPr>
        <w:t xml:space="preserve">. </w:t>
      </w:r>
      <w:r w:rsidRPr="005959E8">
        <w:rPr>
          <w:lang w:val="fr-BE"/>
        </w:rPr>
        <w:tab/>
      </w:r>
      <w:r w:rsidRPr="005959E8">
        <w:rPr>
          <w:rFonts w:ascii="Times New Roman" w:hAnsi="Times New Roman"/>
          <w:b/>
          <w:lang w:val="fr-BE"/>
        </w:rPr>
        <w:t>Commission parlementaire compétente</w:t>
      </w:r>
      <w:r w:rsidRPr="005959E8">
        <w:rPr>
          <w:rFonts w:ascii="Times New Roman" w:hAnsi="Times New Roman"/>
          <w:lang w:val="fr-BE"/>
        </w:rPr>
        <w:t>: commission des affaires étrangères (AFET)</w:t>
      </w:r>
    </w:p>
    <w:p w:rsidR="00C9637E" w:rsidRPr="005959E8" w:rsidRDefault="00C9637E" w:rsidP="00C9637E">
      <w:pPr>
        <w:ind w:left="567" w:hanging="567"/>
        <w:rPr>
          <w:rFonts w:ascii="Times New Roman" w:hAnsi="Times New Roman"/>
          <w:szCs w:val="24"/>
          <w:lang w:val="fr-BE"/>
        </w:rPr>
      </w:pPr>
      <w:r w:rsidRPr="005C1999">
        <w:rPr>
          <w:rFonts w:ascii="Times New Roman" w:hAnsi="Times New Roman"/>
          <w:b/>
          <w:lang w:val="fr-BE"/>
        </w:rPr>
        <w:t>5</w:t>
      </w:r>
      <w:r w:rsidRPr="005959E8">
        <w:rPr>
          <w:rFonts w:ascii="Times New Roman" w:hAnsi="Times New Roman"/>
          <w:b/>
          <w:lang w:val="fr-BE"/>
        </w:rPr>
        <w:t xml:space="preserve">. </w:t>
      </w:r>
      <w:r w:rsidRPr="005959E8">
        <w:rPr>
          <w:lang w:val="fr-BE"/>
        </w:rPr>
        <w:tab/>
      </w:r>
      <w:r w:rsidRPr="005959E8">
        <w:rPr>
          <w:rFonts w:ascii="Times New Roman" w:hAnsi="Times New Roman"/>
          <w:b/>
          <w:lang w:val="fr-BE"/>
        </w:rPr>
        <w:t>Analyse/évaluation succincte de la résolution et des demandes qu’elle contient</w:t>
      </w:r>
      <w:r w:rsidRPr="005959E8">
        <w:rPr>
          <w:rFonts w:ascii="Times New Roman" w:hAnsi="Times New Roman"/>
          <w:lang w:val="fr-BE"/>
        </w:rPr>
        <w:t>:</w:t>
      </w:r>
    </w:p>
    <w:p w:rsidR="00C9637E" w:rsidRPr="00472087" w:rsidRDefault="00C9637E" w:rsidP="00C9637E">
      <w:pPr>
        <w:rPr>
          <w:rFonts w:ascii="Times New Roman" w:hAnsi="Times New Roman"/>
          <w:bCs/>
          <w:spacing w:val="-6"/>
          <w:szCs w:val="24"/>
          <w:lang w:val="fr-BE"/>
        </w:rPr>
      </w:pPr>
      <w:r w:rsidRPr="00472087">
        <w:rPr>
          <w:rFonts w:ascii="Times New Roman" w:hAnsi="Times New Roman"/>
          <w:lang w:val="fr-BE"/>
        </w:rPr>
        <w:t xml:space="preserve">La résolution adoptée en séance plénière du Parlement européen est largement conforme aux principales conclusions du rapport </w:t>
      </w:r>
      <w:r w:rsidRPr="005C1999">
        <w:rPr>
          <w:rFonts w:ascii="Times New Roman" w:hAnsi="Times New Roman"/>
          <w:lang w:val="fr-BE"/>
        </w:rPr>
        <w:t>2018</w:t>
      </w:r>
      <w:r w:rsidRPr="00472087">
        <w:rPr>
          <w:rFonts w:ascii="Times New Roman" w:hAnsi="Times New Roman"/>
          <w:lang w:val="fr-BE"/>
        </w:rPr>
        <w:t xml:space="preserve"> de la Commission concernant l’ancienne République yougoslave de Macédoine dans la plupart des domaines de l’acquis. Elle soutient la </w:t>
      </w:r>
      <w:r w:rsidRPr="00472087">
        <w:rPr>
          <w:rFonts w:ascii="Times New Roman" w:hAnsi="Times New Roman"/>
          <w:b/>
          <w:lang w:val="fr-BE"/>
        </w:rPr>
        <w:t>perspective d’adhésion du pays</w:t>
      </w:r>
      <w:r w:rsidRPr="00472087">
        <w:rPr>
          <w:rFonts w:ascii="Times New Roman" w:hAnsi="Times New Roman"/>
          <w:lang w:val="fr-BE"/>
        </w:rPr>
        <w:t xml:space="preserve"> à l’Union européenne et à l’Organisation du traité de l’Atlantique Nord (OTAN). Dans cette résolution, le Parlement souscrit à la </w:t>
      </w:r>
      <w:r w:rsidRPr="00472087">
        <w:rPr>
          <w:rFonts w:ascii="Times New Roman" w:hAnsi="Times New Roman"/>
          <w:b/>
          <w:lang w:val="fr-BE"/>
        </w:rPr>
        <w:t>recommandation de la Commission</w:t>
      </w:r>
      <w:r w:rsidRPr="00472087">
        <w:rPr>
          <w:rFonts w:ascii="Times New Roman" w:hAnsi="Times New Roman"/>
          <w:lang w:val="fr-BE"/>
        </w:rPr>
        <w:t xml:space="preserve"> d’ouvrir les négociations d’adhésion et approuve les conclusions du Conseil de juin </w:t>
      </w:r>
      <w:r w:rsidRPr="005C1999">
        <w:rPr>
          <w:rFonts w:ascii="Times New Roman" w:hAnsi="Times New Roman"/>
          <w:lang w:val="fr-BE"/>
        </w:rPr>
        <w:t>2018</w:t>
      </w:r>
      <w:r w:rsidRPr="00472087">
        <w:rPr>
          <w:rFonts w:ascii="Times New Roman" w:hAnsi="Times New Roman"/>
          <w:lang w:val="fr-BE"/>
        </w:rPr>
        <w:t xml:space="preserve">, qui marquent la voie vers l’ouverture des négociations d’adhésion en juin </w:t>
      </w:r>
      <w:r w:rsidRPr="005C1999">
        <w:rPr>
          <w:rFonts w:ascii="Times New Roman" w:hAnsi="Times New Roman"/>
          <w:lang w:val="fr-BE"/>
        </w:rPr>
        <w:t>2019</w:t>
      </w:r>
      <w:r w:rsidRPr="00472087">
        <w:rPr>
          <w:rFonts w:ascii="Times New Roman" w:hAnsi="Times New Roman"/>
          <w:lang w:val="fr-BE"/>
        </w:rPr>
        <w:t xml:space="preserve">. Le Parlement salue les progrès accomplis pour faire avancer les </w:t>
      </w:r>
      <w:r w:rsidRPr="00472087">
        <w:rPr>
          <w:rFonts w:ascii="Times New Roman" w:hAnsi="Times New Roman"/>
          <w:b/>
          <w:lang w:val="fr-BE"/>
        </w:rPr>
        <w:t>réformes de l’Union européenne</w:t>
      </w:r>
      <w:r w:rsidRPr="00472087">
        <w:rPr>
          <w:rFonts w:ascii="Times New Roman" w:hAnsi="Times New Roman"/>
          <w:lang w:val="fr-BE"/>
        </w:rPr>
        <w:t xml:space="preserve">, notamment par la mise en œuvre de l’accord de </w:t>
      </w:r>
      <w:proofErr w:type="spellStart"/>
      <w:r w:rsidRPr="00472087">
        <w:rPr>
          <w:rFonts w:ascii="Times New Roman" w:hAnsi="Times New Roman"/>
          <w:lang w:val="fr-BE"/>
        </w:rPr>
        <w:t>Przino</w:t>
      </w:r>
      <w:proofErr w:type="spellEnd"/>
      <w:r w:rsidRPr="00472087">
        <w:rPr>
          <w:rFonts w:ascii="Times New Roman" w:hAnsi="Times New Roman"/>
          <w:lang w:val="fr-BE"/>
        </w:rPr>
        <w:t xml:space="preserve"> et des réformes prioritaires à opérer d'urgence. Il encourage le gouvernement à maintenir la dynamique positive amorcée et à accélérer la mise en œuvre de ces réformes. En ce qui concerne les </w:t>
      </w:r>
      <w:r w:rsidRPr="00472087">
        <w:rPr>
          <w:rFonts w:ascii="Times New Roman" w:hAnsi="Times New Roman"/>
          <w:b/>
          <w:lang w:val="fr-BE"/>
        </w:rPr>
        <w:t>relations de bon voisinage</w:t>
      </w:r>
      <w:r w:rsidRPr="00472087">
        <w:rPr>
          <w:rFonts w:ascii="Times New Roman" w:hAnsi="Times New Roman"/>
          <w:lang w:val="fr-BE"/>
        </w:rPr>
        <w:t>, le Parlement se félicite de l’entrée en vigueur du traité bilatéral avec la Bulgarie. Il salue également la signature de l’</w:t>
      </w:r>
      <w:r w:rsidRPr="00472087">
        <w:rPr>
          <w:rFonts w:ascii="Times New Roman" w:hAnsi="Times New Roman"/>
          <w:b/>
          <w:lang w:val="fr-BE"/>
        </w:rPr>
        <w:t xml:space="preserve">accord de </w:t>
      </w:r>
      <w:proofErr w:type="spellStart"/>
      <w:r w:rsidRPr="00472087">
        <w:rPr>
          <w:rFonts w:ascii="Times New Roman" w:hAnsi="Times New Roman"/>
          <w:b/>
          <w:lang w:val="fr-BE"/>
        </w:rPr>
        <w:t>Prespa</w:t>
      </w:r>
      <w:proofErr w:type="spellEnd"/>
      <w:r w:rsidRPr="00472087">
        <w:rPr>
          <w:rFonts w:ascii="Times New Roman" w:hAnsi="Times New Roman"/>
          <w:lang w:val="fr-BE"/>
        </w:rPr>
        <w:t xml:space="preserve"> et soutient l’achèvement de toutes les procédures internes nécessaires à sa ratification et à sa mise en œuvre.</w:t>
      </w:r>
    </w:p>
    <w:p w:rsidR="00C9637E" w:rsidRPr="00472087" w:rsidRDefault="00C9637E" w:rsidP="00C9637E">
      <w:pPr>
        <w:rPr>
          <w:rFonts w:ascii="Times New Roman" w:hAnsi="Times New Roman"/>
          <w:bCs/>
          <w:spacing w:val="-6"/>
          <w:szCs w:val="24"/>
          <w:lang w:val="fr-BE"/>
        </w:rPr>
      </w:pPr>
      <w:r w:rsidRPr="00472087">
        <w:rPr>
          <w:rFonts w:ascii="Times New Roman" w:hAnsi="Times New Roman"/>
          <w:spacing w:val="-6"/>
          <w:lang w:val="fr-BE"/>
        </w:rPr>
        <w:t xml:space="preserve">Dans cette résolution, le Parlement se félicite des mesures prises pour rétablir l’équilibre des pouvoirs, de la consultation accrue des organisations de la </w:t>
      </w:r>
      <w:r w:rsidRPr="00472087">
        <w:rPr>
          <w:rFonts w:ascii="Times New Roman" w:hAnsi="Times New Roman"/>
          <w:b/>
          <w:spacing w:val="-6"/>
          <w:lang w:val="fr-BE"/>
        </w:rPr>
        <w:t>société civile</w:t>
      </w:r>
      <w:r w:rsidRPr="00472087">
        <w:rPr>
          <w:rFonts w:ascii="Times New Roman" w:hAnsi="Times New Roman"/>
          <w:spacing w:val="-6"/>
          <w:lang w:val="fr-BE"/>
        </w:rPr>
        <w:t xml:space="preserve"> et de l’amélioration du cadre dans lequel elles opèrent. Il insiste sur l’importance de procéder à une révision de la législation électorale conformément aux recommandations de l’Organisation pour la sécurité et la coopération en Europe/Bureau des institutions démocratiques et des droits de l’homme (OSCE/BIDDH) ainsi que de la commission de Venise et du groupe d’États contre la corruption (GRECO) du Conseil de l’Europe. Il condamne l'attaque portée contre le </w:t>
      </w:r>
      <w:r w:rsidRPr="00472087">
        <w:rPr>
          <w:rFonts w:ascii="Times New Roman" w:hAnsi="Times New Roman"/>
          <w:b/>
          <w:spacing w:val="-6"/>
          <w:lang w:val="fr-BE"/>
        </w:rPr>
        <w:t>Parlement</w:t>
      </w:r>
      <w:r w:rsidRPr="00472087">
        <w:rPr>
          <w:rFonts w:ascii="Times New Roman" w:hAnsi="Times New Roman"/>
          <w:spacing w:val="-6"/>
          <w:lang w:val="fr-BE"/>
        </w:rPr>
        <w:t xml:space="preserve"> du pays le </w:t>
      </w:r>
      <w:r w:rsidRPr="005C1999">
        <w:rPr>
          <w:rFonts w:ascii="Times New Roman" w:hAnsi="Times New Roman"/>
          <w:spacing w:val="-6"/>
          <w:lang w:val="fr-BE"/>
        </w:rPr>
        <w:t>27</w:t>
      </w:r>
      <w:r w:rsidRPr="00472087">
        <w:rPr>
          <w:rFonts w:ascii="Times New Roman" w:hAnsi="Times New Roman"/>
          <w:spacing w:val="-6"/>
          <w:lang w:val="fr-BE"/>
        </w:rPr>
        <w:t xml:space="preserve"> avril et demande que les organisateurs et les auteurs soient traduits en justice. En ce qui concerne les travaux du Parlement, il se félicite du lancement du dialogue Jean Monnet et encourage le Parlement à revoir son règlement intérieur. Conformément au rapport de la Commission, il recommande au Parlement de faire pleinement usage de ses prérogatives de contrôle et de ses fonctions législatives, tout en limitant le recours aux procédures accélérées. En ce qui concerne la </w:t>
      </w:r>
      <w:r w:rsidRPr="00472087">
        <w:rPr>
          <w:rFonts w:ascii="Times New Roman" w:hAnsi="Times New Roman"/>
          <w:b/>
          <w:spacing w:val="-6"/>
          <w:lang w:val="fr-BE"/>
        </w:rPr>
        <w:t>réforme de l’administration publique</w:t>
      </w:r>
      <w:r w:rsidRPr="00472087">
        <w:rPr>
          <w:rFonts w:ascii="Times New Roman" w:hAnsi="Times New Roman"/>
          <w:spacing w:val="-6"/>
          <w:lang w:val="fr-BE"/>
        </w:rPr>
        <w:t xml:space="preserve">, il reconnaît les progrès réalisés grâce à l’adoption de la stratégie de réforme de l’administration publique et du programme de réforme de la gestion des finances publiques et appelle de ses vœux leur mise en œuvre. Il accueille favorablement les mesures prises pour améliorer les </w:t>
      </w:r>
      <w:r w:rsidRPr="00472087">
        <w:rPr>
          <w:rFonts w:ascii="Times New Roman" w:hAnsi="Times New Roman"/>
          <w:b/>
          <w:spacing w:val="-6"/>
          <w:lang w:val="fr-BE"/>
        </w:rPr>
        <w:t>relations interethniques</w:t>
      </w:r>
      <w:r w:rsidRPr="00472087">
        <w:rPr>
          <w:rFonts w:ascii="Times New Roman" w:hAnsi="Times New Roman"/>
          <w:spacing w:val="-6"/>
          <w:lang w:val="fr-BE"/>
        </w:rPr>
        <w:t xml:space="preserve"> et appelle à la mise en œuvre de l’accord-cadre d’Ohrid.</w:t>
      </w:r>
    </w:p>
    <w:p w:rsidR="00C9637E" w:rsidRPr="005959E8" w:rsidRDefault="00C9637E" w:rsidP="00C9637E">
      <w:pPr>
        <w:rPr>
          <w:rFonts w:ascii="Times New Roman" w:hAnsi="Times New Roman"/>
          <w:bCs/>
          <w:spacing w:val="-6"/>
          <w:szCs w:val="24"/>
          <w:lang w:val="fr-BE"/>
        </w:rPr>
      </w:pPr>
      <w:r w:rsidRPr="00472087">
        <w:rPr>
          <w:rFonts w:ascii="Times New Roman" w:hAnsi="Times New Roman"/>
          <w:spacing w:val="-6"/>
          <w:lang w:val="fr-BE"/>
        </w:rPr>
        <w:t>En ce qui concerne l’</w:t>
      </w:r>
      <w:r w:rsidRPr="00472087">
        <w:rPr>
          <w:rFonts w:ascii="Times New Roman" w:hAnsi="Times New Roman"/>
          <w:b/>
          <w:spacing w:val="-6"/>
          <w:lang w:val="fr-BE"/>
        </w:rPr>
        <w:t>état de droit,</w:t>
      </w:r>
      <w:r w:rsidRPr="00472087">
        <w:rPr>
          <w:rFonts w:ascii="Times New Roman" w:hAnsi="Times New Roman"/>
          <w:spacing w:val="-6"/>
          <w:lang w:val="fr-BE"/>
        </w:rPr>
        <w:t xml:space="preserve"> conformément au rapport de la Commission et aux conclusions du Conseil, le Parlement rappelle, dans la résolution, qu’il importe de poursuivre les réformes dans des domaines clés tels que le système judiciaire, la </w:t>
      </w:r>
      <w:r w:rsidRPr="00472087">
        <w:rPr>
          <w:rFonts w:ascii="Times New Roman" w:hAnsi="Times New Roman"/>
          <w:b/>
          <w:spacing w:val="-6"/>
          <w:lang w:val="fr-BE"/>
        </w:rPr>
        <w:t>lutte contre la corruption et la criminalité organisée</w:t>
      </w:r>
      <w:r w:rsidRPr="00472087">
        <w:rPr>
          <w:rFonts w:ascii="Times New Roman" w:hAnsi="Times New Roman"/>
          <w:spacing w:val="-6"/>
          <w:lang w:val="fr-BE"/>
        </w:rPr>
        <w:t xml:space="preserve">, notamment à haut niveau. Il se félicite également de la stratégie de réforme judiciaire et </w:t>
      </w:r>
      <w:r w:rsidRPr="00472087">
        <w:rPr>
          <w:rFonts w:ascii="Times New Roman" w:hAnsi="Times New Roman"/>
          <w:spacing w:val="-6"/>
          <w:lang w:val="fr-BE"/>
        </w:rPr>
        <w:lastRenderedPageBreak/>
        <w:t xml:space="preserve">appelle à sa mise en œuvre, tout en soulignant la nécessité de tenir compte des recommandations de la commission de Venise. </w:t>
      </w:r>
      <w:r w:rsidRPr="005959E8">
        <w:rPr>
          <w:rFonts w:ascii="Times New Roman" w:hAnsi="Times New Roman"/>
          <w:spacing w:val="-6"/>
          <w:lang w:val="fr-BE"/>
        </w:rPr>
        <w:t xml:space="preserve">Il demande que des comptes soient rendus pour les infractions liées au scandale des écoutes téléphoniques. Il insiste sur l'importance d’achever la </w:t>
      </w:r>
      <w:r w:rsidRPr="005959E8">
        <w:rPr>
          <w:rFonts w:ascii="Times New Roman" w:hAnsi="Times New Roman"/>
          <w:b/>
          <w:spacing w:val="-6"/>
          <w:lang w:val="fr-BE"/>
        </w:rPr>
        <w:t>réforme des services de renseignement</w:t>
      </w:r>
      <w:r w:rsidRPr="005959E8">
        <w:rPr>
          <w:rFonts w:ascii="Times New Roman" w:hAnsi="Times New Roman"/>
          <w:spacing w:val="-6"/>
          <w:lang w:val="fr-BE"/>
        </w:rPr>
        <w:t xml:space="preserve"> et d’assurer un contrôle externe approprié. Le Parlement souligne également le rôle crucial que jouent les </w:t>
      </w:r>
      <w:r w:rsidRPr="005959E8">
        <w:rPr>
          <w:rFonts w:ascii="Times New Roman" w:hAnsi="Times New Roman"/>
          <w:b/>
          <w:spacing w:val="-6"/>
          <w:lang w:val="fr-BE"/>
        </w:rPr>
        <w:t>médias</w:t>
      </w:r>
      <w:r w:rsidRPr="005959E8">
        <w:rPr>
          <w:rFonts w:ascii="Times New Roman" w:hAnsi="Times New Roman"/>
          <w:spacing w:val="-6"/>
          <w:lang w:val="fr-BE"/>
        </w:rPr>
        <w:t xml:space="preserve"> indépendants et constate l’amélioration de l’environnement médiatique. Dans l’ensemble, il partage l’évaluation de la Commission concernant la situation </w:t>
      </w:r>
      <w:r w:rsidRPr="005959E8">
        <w:rPr>
          <w:rFonts w:ascii="Times New Roman" w:hAnsi="Times New Roman"/>
          <w:b/>
          <w:spacing w:val="-6"/>
          <w:lang w:val="fr-BE"/>
        </w:rPr>
        <w:t>économique</w:t>
      </w:r>
      <w:r w:rsidRPr="005959E8">
        <w:rPr>
          <w:rFonts w:ascii="Times New Roman" w:hAnsi="Times New Roman"/>
          <w:spacing w:val="-6"/>
          <w:lang w:val="fr-BE"/>
        </w:rPr>
        <w:t xml:space="preserve"> (par exemple, la nécessité de lutter contre le chômage, l’économie informelle, etc.). Il salue également le passage prochain du pays à la </w:t>
      </w:r>
      <w:r w:rsidRPr="005959E8">
        <w:rPr>
          <w:rFonts w:ascii="Times New Roman" w:hAnsi="Times New Roman"/>
          <w:b/>
          <w:spacing w:val="-6"/>
          <w:lang w:val="fr-BE"/>
        </w:rPr>
        <w:t>deuxième phase de l’accord de stabilisation et d’association</w:t>
      </w:r>
      <w:r w:rsidRPr="005959E8">
        <w:rPr>
          <w:rFonts w:ascii="Times New Roman" w:hAnsi="Times New Roman"/>
          <w:spacing w:val="-6"/>
          <w:lang w:val="fr-BE"/>
        </w:rPr>
        <w:t>.</w:t>
      </w:r>
    </w:p>
    <w:p w:rsidR="00C9637E" w:rsidRPr="005959E8" w:rsidRDefault="00C9637E" w:rsidP="00C9637E">
      <w:pPr>
        <w:rPr>
          <w:rFonts w:ascii="Times New Roman" w:hAnsi="Times New Roman"/>
          <w:bCs/>
          <w:spacing w:val="-6"/>
          <w:szCs w:val="24"/>
          <w:lang w:val="fr-BE"/>
        </w:rPr>
      </w:pPr>
      <w:r w:rsidRPr="005959E8">
        <w:rPr>
          <w:rFonts w:ascii="Times New Roman" w:hAnsi="Times New Roman"/>
          <w:spacing w:val="-6"/>
          <w:lang w:val="fr-BE"/>
        </w:rPr>
        <w:t xml:space="preserve">Dans certains cas, l’évaluation faite dans la résolution </w:t>
      </w:r>
      <w:r w:rsidRPr="005959E8">
        <w:rPr>
          <w:rFonts w:ascii="Times New Roman" w:hAnsi="Times New Roman"/>
          <w:b/>
          <w:spacing w:val="-6"/>
          <w:lang w:val="fr-BE"/>
        </w:rPr>
        <w:t>diffère légèrement du rapport de la Commission.</w:t>
      </w:r>
      <w:r w:rsidRPr="005959E8">
        <w:rPr>
          <w:rFonts w:ascii="Times New Roman" w:hAnsi="Times New Roman"/>
          <w:spacing w:val="-6"/>
          <w:lang w:val="fr-BE"/>
        </w:rPr>
        <w:t xml:space="preserve"> Par exemple, la résolution note que l'ancienne République yougoslave de Macédoine est</w:t>
      </w:r>
      <w:proofErr w:type="gramStart"/>
      <w:r w:rsidRPr="005959E8">
        <w:rPr>
          <w:rFonts w:ascii="Times New Roman" w:hAnsi="Times New Roman"/>
          <w:spacing w:val="-6"/>
          <w:lang w:val="fr-BE"/>
        </w:rPr>
        <w:t xml:space="preserve"> «</w:t>
      </w:r>
      <w:r w:rsidRPr="005959E8">
        <w:rPr>
          <w:rFonts w:ascii="Times New Roman" w:hAnsi="Times New Roman"/>
          <w:i/>
          <w:spacing w:val="-6"/>
          <w:lang w:val="fr-BE"/>
        </w:rPr>
        <w:t>considérée</w:t>
      </w:r>
      <w:proofErr w:type="gramEnd"/>
      <w:r w:rsidRPr="005959E8">
        <w:rPr>
          <w:rFonts w:ascii="Times New Roman" w:hAnsi="Times New Roman"/>
          <w:i/>
          <w:spacing w:val="-6"/>
          <w:lang w:val="fr-BE"/>
        </w:rPr>
        <w:t xml:space="preserve"> comme le pays candidat qui a accompli la progression la plus notable </w:t>
      </w:r>
      <w:r w:rsidRPr="005959E8">
        <w:rPr>
          <w:rFonts w:ascii="Times New Roman" w:hAnsi="Times New Roman"/>
          <w:b/>
          <w:i/>
          <w:spacing w:val="-6"/>
          <w:lang w:val="fr-BE"/>
        </w:rPr>
        <w:t>en matière d’harmonisation de sa législation avec l’acquis de l’Union</w:t>
      </w:r>
      <w:r w:rsidRPr="005959E8">
        <w:rPr>
          <w:rFonts w:ascii="Times New Roman" w:hAnsi="Times New Roman"/>
          <w:spacing w:val="-6"/>
          <w:lang w:val="fr-BE"/>
        </w:rPr>
        <w:t xml:space="preserve">» (considérant A). Cette évaluation n’est pas explicite dans le rapport </w:t>
      </w:r>
      <w:r w:rsidRPr="005C1999">
        <w:rPr>
          <w:rFonts w:ascii="Times New Roman" w:hAnsi="Times New Roman"/>
          <w:spacing w:val="-6"/>
          <w:lang w:val="fr-BE"/>
        </w:rPr>
        <w:t>2018</w:t>
      </w:r>
      <w:r w:rsidRPr="005959E8">
        <w:rPr>
          <w:rFonts w:ascii="Times New Roman" w:hAnsi="Times New Roman"/>
          <w:spacing w:val="-6"/>
          <w:lang w:val="fr-BE"/>
        </w:rPr>
        <w:t xml:space="preserve"> de la Commission. En ce qui concerne le travail effectué par le </w:t>
      </w:r>
      <w:r w:rsidRPr="005959E8">
        <w:rPr>
          <w:rFonts w:ascii="Times New Roman" w:hAnsi="Times New Roman"/>
          <w:b/>
          <w:spacing w:val="-6"/>
          <w:lang w:val="fr-BE"/>
        </w:rPr>
        <w:t>bureau du procureur spécial</w:t>
      </w:r>
      <w:r w:rsidRPr="005959E8">
        <w:rPr>
          <w:rFonts w:ascii="Times New Roman" w:hAnsi="Times New Roman"/>
          <w:spacing w:val="-6"/>
          <w:lang w:val="fr-BE"/>
        </w:rPr>
        <w:t xml:space="preserve"> (paragraphe </w:t>
      </w:r>
      <w:r w:rsidRPr="005C1999">
        <w:rPr>
          <w:rFonts w:ascii="Times New Roman" w:hAnsi="Times New Roman"/>
          <w:spacing w:val="-6"/>
          <w:lang w:val="fr-BE"/>
        </w:rPr>
        <w:t>29</w:t>
      </w:r>
      <w:r w:rsidRPr="005959E8">
        <w:rPr>
          <w:rFonts w:ascii="Times New Roman" w:hAnsi="Times New Roman"/>
          <w:spacing w:val="-6"/>
          <w:lang w:val="fr-BE"/>
        </w:rPr>
        <w:t>), la Commission a estimé que les entraves à son action avaient diminué et que le travail des tribunaux s’était amélioré. Certaines nuances mineures s’appliquent également à certains secteurs de l’acquis [par exemple, Skopje et Tetovo ont des valeurs de concentration de particules fines dans l’air (PM</w:t>
      </w:r>
      <w:r w:rsidRPr="005C1999">
        <w:rPr>
          <w:rFonts w:ascii="Times New Roman" w:hAnsi="Times New Roman"/>
          <w:spacing w:val="-6"/>
          <w:lang w:val="fr-BE"/>
        </w:rPr>
        <w:t>2</w:t>
      </w:r>
      <w:r w:rsidRPr="005959E8">
        <w:rPr>
          <w:rFonts w:ascii="Times New Roman" w:hAnsi="Times New Roman"/>
          <w:spacing w:val="-6"/>
          <w:lang w:val="fr-BE"/>
        </w:rPr>
        <w:t>,</w:t>
      </w:r>
      <w:r w:rsidRPr="005C1999">
        <w:rPr>
          <w:rFonts w:ascii="Times New Roman" w:hAnsi="Times New Roman"/>
          <w:spacing w:val="-6"/>
          <w:lang w:val="fr-BE"/>
        </w:rPr>
        <w:t>5</w:t>
      </w:r>
      <w:r w:rsidRPr="005959E8">
        <w:rPr>
          <w:rFonts w:ascii="Times New Roman" w:hAnsi="Times New Roman"/>
          <w:spacing w:val="-6"/>
          <w:lang w:val="fr-BE"/>
        </w:rPr>
        <w:t>)</w:t>
      </w:r>
      <w:proofErr w:type="gramStart"/>
      <w:r w:rsidRPr="005959E8">
        <w:rPr>
          <w:rFonts w:ascii="Times New Roman" w:hAnsi="Times New Roman"/>
          <w:spacing w:val="-6"/>
          <w:lang w:val="fr-BE"/>
        </w:rPr>
        <w:t xml:space="preserve"> «</w:t>
      </w:r>
      <w:proofErr w:type="spellStart"/>
      <w:r w:rsidRPr="005959E8">
        <w:rPr>
          <w:rFonts w:ascii="Times New Roman" w:hAnsi="Times New Roman"/>
          <w:spacing w:val="-6"/>
          <w:lang w:val="fr-BE"/>
        </w:rPr>
        <w:t>among</w:t>
      </w:r>
      <w:proofErr w:type="spellEnd"/>
      <w:proofErr w:type="gramEnd"/>
      <w:r w:rsidRPr="005959E8">
        <w:rPr>
          <w:rFonts w:ascii="Times New Roman" w:hAnsi="Times New Roman"/>
          <w:spacing w:val="-6"/>
          <w:lang w:val="fr-BE"/>
        </w:rPr>
        <w:t xml:space="preserve"> the </w:t>
      </w:r>
      <w:proofErr w:type="spellStart"/>
      <w:r w:rsidRPr="005959E8">
        <w:rPr>
          <w:rFonts w:ascii="Times New Roman" w:hAnsi="Times New Roman"/>
          <w:spacing w:val="-6"/>
          <w:lang w:val="fr-BE"/>
        </w:rPr>
        <w:t>highest</w:t>
      </w:r>
      <w:proofErr w:type="spellEnd"/>
      <w:r w:rsidRPr="005959E8">
        <w:rPr>
          <w:rFonts w:ascii="Times New Roman" w:hAnsi="Times New Roman"/>
          <w:spacing w:val="-6"/>
          <w:lang w:val="fr-BE"/>
        </w:rPr>
        <w:t xml:space="preserve">» («parmi les plus élevées» en Europe), au lieu de «the </w:t>
      </w:r>
      <w:proofErr w:type="spellStart"/>
      <w:r w:rsidRPr="005959E8">
        <w:rPr>
          <w:rFonts w:ascii="Times New Roman" w:hAnsi="Times New Roman"/>
          <w:spacing w:val="-6"/>
          <w:lang w:val="fr-BE"/>
        </w:rPr>
        <w:t>highest</w:t>
      </w:r>
      <w:proofErr w:type="spellEnd"/>
      <w:r w:rsidRPr="005959E8">
        <w:rPr>
          <w:rFonts w:ascii="Times New Roman" w:hAnsi="Times New Roman"/>
          <w:spacing w:val="-6"/>
          <w:lang w:val="fr-BE"/>
        </w:rPr>
        <w:t>» («les» plus élevées, traduit par «se sont hissées en premières positions du classement» au considérant I).</w:t>
      </w:r>
    </w:p>
    <w:p w:rsidR="00C9637E" w:rsidRPr="005959E8" w:rsidRDefault="00C9637E" w:rsidP="00C9637E">
      <w:pPr>
        <w:rPr>
          <w:rFonts w:ascii="Times New Roman" w:hAnsi="Times New Roman"/>
          <w:bCs/>
          <w:spacing w:val="-6"/>
          <w:szCs w:val="24"/>
          <w:lang w:val="fr-BE"/>
        </w:rPr>
      </w:pPr>
      <w:r w:rsidRPr="005959E8">
        <w:rPr>
          <w:rFonts w:ascii="Times New Roman" w:hAnsi="Times New Roman"/>
          <w:spacing w:val="-6"/>
          <w:lang w:val="fr-BE"/>
        </w:rPr>
        <w:t xml:space="preserve">Dans cette résolution, le Parlement invite les autorités hongroises à répondre positivement à la demande d’extradition de l’ancien Premier ministre, </w:t>
      </w:r>
      <w:r w:rsidRPr="005959E8">
        <w:rPr>
          <w:rFonts w:ascii="Times New Roman" w:hAnsi="Times New Roman"/>
          <w:spacing w:val="-6"/>
          <w:u w:val="single"/>
          <w:lang w:val="fr-BE"/>
        </w:rPr>
        <w:t xml:space="preserve">M. </w:t>
      </w:r>
      <w:proofErr w:type="spellStart"/>
      <w:r w:rsidRPr="005959E8">
        <w:rPr>
          <w:rFonts w:ascii="Times New Roman" w:hAnsi="Times New Roman"/>
          <w:spacing w:val="-6"/>
          <w:u w:val="single"/>
          <w:lang w:val="fr-BE"/>
        </w:rPr>
        <w:t>Gruevski</w:t>
      </w:r>
      <w:proofErr w:type="spellEnd"/>
      <w:r w:rsidRPr="005959E8">
        <w:rPr>
          <w:rFonts w:ascii="Times New Roman" w:hAnsi="Times New Roman"/>
          <w:spacing w:val="-6"/>
          <w:lang w:val="fr-BE"/>
        </w:rPr>
        <w:t>. À cet égard, la Commission rappelle que l’état de droit est un principe fondamental de l’Union européenne, tant pour les États membres que pour les pays candidats. La Commission attend de toutes les parties concernées qu’elles agissent dans le strict respect des législations pertinentes et en évitant toute politisation.</w:t>
      </w:r>
    </w:p>
    <w:p w:rsidR="00C9637E" w:rsidRPr="005959E8" w:rsidRDefault="00C9637E" w:rsidP="00C9637E">
      <w:pPr>
        <w:rPr>
          <w:rFonts w:ascii="Times New Roman" w:hAnsi="Times New Roman"/>
          <w:bCs/>
          <w:szCs w:val="24"/>
          <w:lang w:val="fr-BE"/>
        </w:rPr>
      </w:pPr>
      <w:r w:rsidRPr="005959E8">
        <w:rPr>
          <w:rFonts w:ascii="Times New Roman" w:hAnsi="Times New Roman"/>
          <w:lang w:val="fr-BE"/>
        </w:rPr>
        <w:t xml:space="preserve">En ce qui concerne la </w:t>
      </w:r>
      <w:r w:rsidRPr="005959E8">
        <w:rPr>
          <w:rFonts w:ascii="Times New Roman" w:hAnsi="Times New Roman"/>
          <w:b/>
          <w:lang w:val="fr-BE"/>
        </w:rPr>
        <w:t>demande</w:t>
      </w:r>
      <w:r w:rsidRPr="005959E8">
        <w:rPr>
          <w:rFonts w:ascii="Times New Roman" w:hAnsi="Times New Roman"/>
          <w:lang w:val="fr-BE"/>
        </w:rPr>
        <w:t xml:space="preserve">, le Parlement, dans la résolution, invite la Commission à exonérer le pays des mesures de sauvegarde de l’acier et de l’aluminium (paragraphe </w:t>
      </w:r>
      <w:r w:rsidRPr="005C1999">
        <w:rPr>
          <w:rFonts w:ascii="Times New Roman" w:hAnsi="Times New Roman"/>
          <w:lang w:val="fr-BE"/>
        </w:rPr>
        <w:t>66</w:t>
      </w:r>
      <w:r w:rsidRPr="005959E8">
        <w:rPr>
          <w:rFonts w:ascii="Times New Roman" w:hAnsi="Times New Roman"/>
          <w:lang w:val="fr-BE"/>
        </w:rPr>
        <w:t>).</w:t>
      </w:r>
    </w:p>
    <w:p w:rsidR="00C9637E" w:rsidRPr="005959E8" w:rsidRDefault="00C9637E" w:rsidP="00C9637E">
      <w:pPr>
        <w:ind w:left="567" w:hanging="567"/>
        <w:rPr>
          <w:rFonts w:ascii="Times New Roman" w:hAnsi="Times New Roman"/>
          <w:b/>
          <w:szCs w:val="24"/>
          <w:lang w:val="fr-BE"/>
        </w:rPr>
      </w:pPr>
      <w:r w:rsidRPr="005C1999">
        <w:rPr>
          <w:rFonts w:ascii="Times New Roman" w:hAnsi="Times New Roman"/>
          <w:b/>
          <w:lang w:val="fr-BE"/>
        </w:rPr>
        <w:t>6</w:t>
      </w:r>
      <w:r w:rsidRPr="005959E8">
        <w:rPr>
          <w:rFonts w:ascii="Times New Roman" w:hAnsi="Times New Roman"/>
          <w:b/>
          <w:lang w:val="fr-BE"/>
        </w:rPr>
        <w:t xml:space="preserve">. </w:t>
      </w:r>
      <w:r w:rsidRPr="005959E8">
        <w:rPr>
          <w:lang w:val="fr-BE"/>
        </w:rPr>
        <w:tab/>
      </w:r>
      <w:r w:rsidRPr="005959E8">
        <w:rPr>
          <w:rFonts w:ascii="Times New Roman" w:hAnsi="Times New Roman"/>
          <w:b/>
          <w:lang w:val="fr-BE"/>
        </w:rPr>
        <w:t>Réponse à ces demandes et aperçu des mesures que la Commission a prises ou envisage de prendre:</w:t>
      </w:r>
    </w:p>
    <w:p w:rsidR="00C9637E" w:rsidRPr="00472087" w:rsidRDefault="00C9637E" w:rsidP="00C9637E">
      <w:pPr>
        <w:pStyle w:val="5Normal"/>
        <w:rPr>
          <w:rFonts w:ascii="Times New Roman" w:hAnsi="Times New Roman"/>
          <w:b/>
          <w:sz w:val="24"/>
          <w:szCs w:val="24"/>
          <w:lang w:val="fr-BE"/>
        </w:rPr>
      </w:pPr>
      <w:r w:rsidRPr="00472087">
        <w:rPr>
          <w:rFonts w:ascii="Times New Roman" w:hAnsi="Times New Roman"/>
          <w:b/>
          <w:sz w:val="24"/>
          <w:lang w:val="fr-BE"/>
        </w:rPr>
        <w:t xml:space="preserve">Invite la Commission à exonérer le pays des mesures de sauvegarde de l’acier et de l’aluminium (point </w:t>
      </w:r>
      <w:r w:rsidRPr="005C1999">
        <w:rPr>
          <w:rFonts w:ascii="Times New Roman" w:hAnsi="Times New Roman"/>
          <w:b/>
          <w:sz w:val="24"/>
          <w:lang w:val="fr-BE"/>
        </w:rPr>
        <w:t>66</w:t>
      </w:r>
      <w:r w:rsidRPr="00472087">
        <w:rPr>
          <w:rFonts w:ascii="Times New Roman" w:hAnsi="Times New Roman"/>
          <w:b/>
          <w:sz w:val="24"/>
          <w:lang w:val="fr-BE"/>
        </w:rPr>
        <w:t>)</w:t>
      </w:r>
    </w:p>
    <w:p w:rsidR="00C9637E" w:rsidRPr="00472087" w:rsidRDefault="00C9637E" w:rsidP="00C9637E">
      <w:pPr>
        <w:pStyle w:val="5Normal"/>
        <w:spacing w:after="240"/>
        <w:rPr>
          <w:rFonts w:ascii="Times New Roman" w:hAnsi="Times New Roman"/>
          <w:sz w:val="24"/>
          <w:szCs w:val="24"/>
          <w:lang w:val="fr-BE"/>
        </w:rPr>
      </w:pPr>
      <w:r w:rsidRPr="00472087">
        <w:rPr>
          <w:rFonts w:ascii="Times New Roman" w:hAnsi="Times New Roman"/>
          <w:sz w:val="24"/>
          <w:lang w:val="fr-BE"/>
        </w:rPr>
        <w:t xml:space="preserve">En ce qui concerne les mesures de sauvegarde sur l’acier et l’aluminium, les résultats définitifs de l’enquête sur l’acier et les conclusions qui en ont été tirées ont été publiés au Journal officiel de l’Union européenne du </w:t>
      </w:r>
      <w:r w:rsidRPr="005C1999">
        <w:rPr>
          <w:rFonts w:ascii="Times New Roman" w:hAnsi="Times New Roman"/>
          <w:sz w:val="24"/>
          <w:lang w:val="fr-BE"/>
        </w:rPr>
        <w:t>1</w:t>
      </w:r>
      <w:r w:rsidRPr="00472087">
        <w:rPr>
          <w:rFonts w:ascii="Times New Roman" w:hAnsi="Times New Roman"/>
          <w:sz w:val="24"/>
          <w:vertAlign w:val="superscript"/>
          <w:lang w:val="fr-BE"/>
        </w:rPr>
        <w:t>er</w:t>
      </w:r>
      <w:r w:rsidRPr="00472087">
        <w:rPr>
          <w:rFonts w:ascii="Times New Roman" w:hAnsi="Times New Roman"/>
          <w:sz w:val="24"/>
          <w:lang w:val="fr-BE"/>
        </w:rPr>
        <w:t xml:space="preserve"> février </w:t>
      </w:r>
      <w:r w:rsidRPr="005C1999">
        <w:rPr>
          <w:rFonts w:ascii="Times New Roman" w:hAnsi="Times New Roman"/>
          <w:sz w:val="24"/>
          <w:lang w:val="fr-BE"/>
        </w:rPr>
        <w:t>2019</w:t>
      </w:r>
      <w:r w:rsidRPr="00472087">
        <w:rPr>
          <w:rFonts w:ascii="Times New Roman" w:hAnsi="Times New Roman"/>
          <w:sz w:val="24"/>
          <w:lang w:val="fr-BE"/>
        </w:rPr>
        <w:t xml:space="preserve">. En conséquence, les mesures définitives seront en vigueur du </w:t>
      </w:r>
      <w:r w:rsidRPr="005C1999">
        <w:rPr>
          <w:rFonts w:ascii="Times New Roman" w:hAnsi="Times New Roman"/>
          <w:sz w:val="24"/>
          <w:lang w:val="fr-BE"/>
        </w:rPr>
        <w:t>2</w:t>
      </w:r>
      <w:r w:rsidRPr="00472087">
        <w:rPr>
          <w:rFonts w:ascii="Times New Roman" w:hAnsi="Times New Roman"/>
          <w:sz w:val="24"/>
          <w:lang w:val="fr-BE"/>
        </w:rPr>
        <w:t xml:space="preserve"> février </w:t>
      </w:r>
      <w:r w:rsidRPr="005C1999">
        <w:rPr>
          <w:rFonts w:ascii="Times New Roman" w:hAnsi="Times New Roman"/>
          <w:sz w:val="24"/>
          <w:lang w:val="fr-BE"/>
        </w:rPr>
        <w:t>2019</w:t>
      </w:r>
      <w:r w:rsidRPr="00472087">
        <w:rPr>
          <w:rFonts w:ascii="Times New Roman" w:hAnsi="Times New Roman"/>
          <w:sz w:val="24"/>
          <w:lang w:val="fr-BE"/>
        </w:rPr>
        <w:t xml:space="preserve"> au </w:t>
      </w:r>
      <w:r w:rsidRPr="005C1999">
        <w:rPr>
          <w:rFonts w:ascii="Times New Roman" w:hAnsi="Times New Roman"/>
          <w:sz w:val="24"/>
          <w:lang w:val="fr-BE"/>
        </w:rPr>
        <w:t>30</w:t>
      </w:r>
      <w:r w:rsidRPr="00472087">
        <w:rPr>
          <w:rFonts w:ascii="Times New Roman" w:hAnsi="Times New Roman"/>
          <w:sz w:val="24"/>
          <w:lang w:val="fr-BE"/>
        </w:rPr>
        <w:t xml:space="preserve"> juin </w:t>
      </w:r>
      <w:r w:rsidRPr="005C1999">
        <w:rPr>
          <w:rFonts w:ascii="Times New Roman" w:hAnsi="Times New Roman"/>
          <w:sz w:val="24"/>
          <w:lang w:val="fr-BE"/>
        </w:rPr>
        <w:t>2021</w:t>
      </w:r>
      <w:r w:rsidRPr="00472087">
        <w:rPr>
          <w:rFonts w:ascii="Times New Roman" w:hAnsi="Times New Roman"/>
          <w:sz w:val="24"/>
          <w:lang w:val="fr-BE"/>
        </w:rPr>
        <w:t xml:space="preserve">. En vertu des règles de l’Organisation mondiale du commerce (OMC), des mesures de sauvegarde devraient être imposées contre tous les pays d’origine. Toutefois, le pays a bénéficié d’un certain nombre d’exemptions en tant que pays en développement de l’OMC et les mesures de sauvegarde ne s’appliqueront donc qu’à quatre des </w:t>
      </w:r>
      <w:r w:rsidRPr="005C1999">
        <w:rPr>
          <w:rFonts w:ascii="Times New Roman" w:hAnsi="Times New Roman"/>
          <w:sz w:val="24"/>
          <w:lang w:val="fr-BE"/>
        </w:rPr>
        <w:t>26</w:t>
      </w:r>
      <w:r w:rsidRPr="00472087">
        <w:rPr>
          <w:rFonts w:ascii="Times New Roman" w:hAnsi="Times New Roman"/>
          <w:sz w:val="24"/>
          <w:lang w:val="fr-BE"/>
        </w:rPr>
        <w:t xml:space="preserve"> catégories de produits soumis aux mesures. En outre, pour trois de ces quatre catégories de produits concernées, le pays bénéficiera d’un contingent spécifique basé sur les importations traditionnelles.</w:t>
      </w:r>
    </w:p>
    <w:p w:rsidR="00C9637E" w:rsidRPr="00472087" w:rsidRDefault="00C9637E" w:rsidP="00C9637E">
      <w:pPr>
        <w:rPr>
          <w:rFonts w:ascii="Times New Roman" w:hAnsi="Times New Roman"/>
          <w:noProof/>
          <w:szCs w:val="24"/>
          <w:lang w:val="fr-BE"/>
        </w:rPr>
      </w:pPr>
      <w:r w:rsidRPr="00472087">
        <w:rPr>
          <w:rFonts w:ascii="Times New Roman" w:hAnsi="Times New Roman"/>
          <w:noProof/>
          <w:lang w:val="fr-BE"/>
        </w:rPr>
        <w:t>La Commission soutient sans réserve l’accord historique conclu entre Skopje et Athènes, qui constitue un exemple de réconciliation pour la région et l’Europe dans son ensemble.</w:t>
      </w:r>
    </w:p>
    <w:p w:rsidR="00C9637E" w:rsidRPr="00472087" w:rsidRDefault="00C9637E" w:rsidP="00C9637E">
      <w:pPr>
        <w:spacing w:after="0"/>
        <w:rPr>
          <w:rFonts w:ascii="Times New Roman" w:hAnsi="Times New Roman"/>
          <w:szCs w:val="24"/>
          <w:lang w:val="fr-BE"/>
        </w:rPr>
      </w:pPr>
      <w:r w:rsidRPr="00472087">
        <w:rPr>
          <w:rFonts w:ascii="Times New Roman" w:hAnsi="Times New Roman"/>
          <w:noProof/>
          <w:lang w:val="fr-BE"/>
        </w:rPr>
        <w:lastRenderedPageBreak/>
        <w:t>La Commission continuera d’accompagner les efforts de réforme du pays, notamment par les travaux préparatoires nécessaires sur la voie de l’ouverture des négociations d’adhésion.</w:t>
      </w:r>
    </w:p>
    <w:p w:rsidR="00680EFD" w:rsidRPr="00C9637E" w:rsidRDefault="00680EFD">
      <w:pPr>
        <w:rPr>
          <w:lang w:val="fr-BE"/>
        </w:rPr>
      </w:pPr>
      <w:bookmarkStart w:id="0" w:name="_GoBack"/>
      <w:bookmarkEnd w:id="0"/>
    </w:p>
    <w:sectPr w:rsidR="00680EFD" w:rsidRPr="00C96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7E"/>
    <w:rsid w:val="000A1623"/>
    <w:rsid w:val="00131AC6"/>
    <w:rsid w:val="001855CC"/>
    <w:rsid w:val="001C3806"/>
    <w:rsid w:val="002871F7"/>
    <w:rsid w:val="00680EFD"/>
    <w:rsid w:val="006843AE"/>
    <w:rsid w:val="00B34A98"/>
    <w:rsid w:val="00B65AA4"/>
    <w:rsid w:val="00C9637E"/>
    <w:rsid w:val="00ED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19175-2ABA-4C42-B765-861E8321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37E"/>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GName">
    <w:name w:val="Z_DGName"/>
    <w:basedOn w:val="Normal"/>
    <w:uiPriority w:val="99"/>
    <w:rsid w:val="000A1623"/>
    <w:pPr>
      <w:ind w:right="85"/>
    </w:pPr>
    <w:rPr>
      <w:rFonts w:ascii="Arial" w:hAnsi="Arial" w:cs="Arial"/>
      <w:color w:val="000000"/>
      <w:sz w:val="16"/>
      <w:szCs w:val="16"/>
      <w:lang w:val="fr-FR" w:eastAsia="fr-BE"/>
    </w:rPr>
  </w:style>
  <w:style w:type="paragraph" w:customStyle="1" w:styleId="NoSpacingGray-80">
    <w:name w:val="No Spacing + Gray-80%"/>
    <w:aliases w:val="Justified,Left:  0,5 cm + Left:  0,5 cm,Right:  0,08 cm"/>
    <w:basedOn w:val="NoSpacing"/>
    <w:rsid w:val="000A1623"/>
    <w:pPr>
      <w:ind w:right="707"/>
    </w:pPr>
    <w:rPr>
      <w:rFonts w:eastAsia="Times New Roman" w:cs="Times New Roman"/>
      <w:color w:val="000000"/>
    </w:rPr>
  </w:style>
  <w:style w:type="paragraph" w:styleId="NoSpacing">
    <w:name w:val="No Spacing"/>
    <w:link w:val="NoSpacingChar"/>
    <w:autoRedefine/>
    <w:uiPriority w:val="1"/>
    <w:qFormat/>
    <w:rsid w:val="000A1623"/>
    <w:pPr>
      <w:keepLines/>
      <w:spacing w:after="0" w:line="240" w:lineRule="auto"/>
      <w:jc w:val="both"/>
    </w:pPr>
    <w:rPr>
      <w:rFonts w:ascii="Times New Roman" w:hAnsi="Times New Roman"/>
      <w:color w:val="333333"/>
      <w:sz w:val="20"/>
      <w:szCs w:val="20"/>
      <w:lang w:val="fr-BE" w:eastAsia="en-GB"/>
    </w:rPr>
  </w:style>
  <w:style w:type="paragraph" w:styleId="Header">
    <w:name w:val="header"/>
    <w:basedOn w:val="Normal"/>
    <w:link w:val="HeaderChar"/>
    <w:uiPriority w:val="99"/>
    <w:unhideWhenUsed/>
    <w:rsid w:val="000A1623"/>
    <w:pPr>
      <w:tabs>
        <w:tab w:val="center" w:pos="4513"/>
        <w:tab w:val="right" w:pos="9026"/>
      </w:tabs>
      <w:spacing w:after="0"/>
    </w:pPr>
  </w:style>
  <w:style w:type="character" w:customStyle="1" w:styleId="HeaderChar">
    <w:name w:val="Header Char"/>
    <w:basedOn w:val="DefaultParagraphFont"/>
    <w:link w:val="Header"/>
    <w:uiPriority w:val="99"/>
    <w:rsid w:val="000A1623"/>
  </w:style>
  <w:style w:type="paragraph" w:styleId="Footer">
    <w:name w:val="footer"/>
    <w:basedOn w:val="Normal"/>
    <w:link w:val="FooterChar"/>
    <w:uiPriority w:val="99"/>
    <w:unhideWhenUsed/>
    <w:rsid w:val="000A1623"/>
    <w:pPr>
      <w:tabs>
        <w:tab w:val="center" w:pos="4513"/>
        <w:tab w:val="right" w:pos="9026"/>
      </w:tabs>
      <w:spacing w:after="0"/>
    </w:pPr>
  </w:style>
  <w:style w:type="character" w:customStyle="1" w:styleId="FooterChar">
    <w:name w:val="Footer Char"/>
    <w:basedOn w:val="DefaultParagraphFont"/>
    <w:link w:val="Footer"/>
    <w:uiPriority w:val="99"/>
    <w:rsid w:val="000A1623"/>
  </w:style>
  <w:style w:type="character" w:customStyle="1" w:styleId="NoSpacingChar">
    <w:name w:val="No Spacing Char"/>
    <w:link w:val="NoSpacing"/>
    <w:uiPriority w:val="1"/>
    <w:locked/>
    <w:rsid w:val="000A1623"/>
    <w:rPr>
      <w:rFonts w:ascii="Times New Roman" w:hAnsi="Times New Roman"/>
      <w:color w:val="333333"/>
      <w:sz w:val="20"/>
      <w:szCs w:val="20"/>
      <w:lang w:val="fr-BE" w:eastAsia="en-GB"/>
    </w:rPr>
  </w:style>
  <w:style w:type="paragraph" w:styleId="ListParagraph">
    <w:name w:val="List Paragraph"/>
    <w:basedOn w:val="Normal"/>
    <w:uiPriority w:val="34"/>
    <w:qFormat/>
    <w:rsid w:val="000A1623"/>
    <w:pPr>
      <w:ind w:left="720"/>
      <w:contextualSpacing/>
    </w:pPr>
  </w:style>
  <w:style w:type="paragraph" w:customStyle="1" w:styleId="Heading2capitalletters">
    <w:name w:val="Heading 2 (capital letters)"/>
    <w:basedOn w:val="Normal"/>
    <w:link w:val="Heading2capitallettersChar"/>
    <w:qFormat/>
    <w:rsid w:val="000A1623"/>
    <w:rPr>
      <w:rFonts w:ascii="Times New Roman" w:hAnsi="Times New Roman"/>
      <w:b/>
      <w:szCs w:val="24"/>
      <w:u w:val="single"/>
      <w:lang w:val="fr-BE"/>
    </w:rPr>
  </w:style>
  <w:style w:type="character" w:customStyle="1" w:styleId="Heading2capitallettersChar">
    <w:name w:val="Heading 2 (capital letters) Char"/>
    <w:basedOn w:val="DefaultParagraphFont"/>
    <w:link w:val="Heading2capitalletters"/>
    <w:rsid w:val="000A1623"/>
    <w:rPr>
      <w:rFonts w:ascii="Times New Roman" w:hAnsi="Times New Roman" w:cs="Times New Roman"/>
      <w:b/>
      <w:sz w:val="24"/>
      <w:szCs w:val="24"/>
      <w:u w:val="single"/>
      <w:lang w:val="fr-BE"/>
    </w:rPr>
  </w:style>
  <w:style w:type="paragraph" w:customStyle="1" w:styleId="Heading3number">
    <w:name w:val="Heading 3 (number)"/>
    <w:basedOn w:val="Normal"/>
    <w:link w:val="Heading3numberChar"/>
    <w:qFormat/>
    <w:rsid w:val="000A1623"/>
    <w:pPr>
      <w:ind w:left="284"/>
    </w:pPr>
    <w:rPr>
      <w:rFonts w:ascii="Times New Roman" w:hAnsi="Times New Roman"/>
      <w:b/>
      <w:szCs w:val="24"/>
      <w:u w:val="single"/>
      <w:lang w:val="fr-BE"/>
    </w:rPr>
  </w:style>
  <w:style w:type="character" w:customStyle="1" w:styleId="Heading3numberChar">
    <w:name w:val="Heading 3 (number) Char"/>
    <w:basedOn w:val="DefaultParagraphFont"/>
    <w:link w:val="Heading3number"/>
    <w:rsid w:val="000A1623"/>
    <w:rPr>
      <w:rFonts w:ascii="Times New Roman" w:hAnsi="Times New Roman" w:cs="Times New Roman"/>
      <w:b/>
      <w:sz w:val="24"/>
      <w:szCs w:val="24"/>
      <w:u w:val="single"/>
      <w:lang w:val="fr-BE"/>
    </w:rPr>
  </w:style>
  <w:style w:type="paragraph" w:customStyle="1" w:styleId="5Normal">
    <w:name w:val="5 Normal"/>
    <w:link w:val="5NormalChar"/>
    <w:rsid w:val="00C9637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eastAsia="en-GB"/>
    </w:rPr>
  </w:style>
  <w:style w:type="character" w:customStyle="1" w:styleId="ringrefselectedheader">
    <w:name w:val="ring_ref_selected_header"/>
    <w:basedOn w:val="DefaultParagraphFont"/>
    <w:rsid w:val="00C9637E"/>
  </w:style>
  <w:style w:type="character" w:customStyle="1" w:styleId="5NormalChar">
    <w:name w:val="5 Normal Char"/>
    <w:link w:val="5Normal"/>
    <w:rsid w:val="00C9637E"/>
    <w:rPr>
      <w:rFonts w:ascii="Arial" w:eastAsia="Times New Roman" w:hAnsi="Arial" w:cs="Times New Roman"/>
      <w:spacing w:val="-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6446</Characters>
  <Application>Microsoft Office Word</Application>
  <DocSecurity>0</DocSecurity>
  <Lines>97</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1</cp:revision>
  <dcterms:created xsi:type="dcterms:W3CDTF">2019-03-20T13:33:00Z</dcterms:created>
  <dcterms:modified xsi:type="dcterms:W3CDTF">2019-03-20T13:34:00Z</dcterms:modified>
</cp:coreProperties>
</file>