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F3" w:rsidRPr="004245C1" w:rsidRDefault="001349F3" w:rsidP="001349F3">
      <w:pPr>
        <w:spacing w:after="600"/>
        <w:jc w:val="center"/>
        <w:rPr>
          <w:rFonts w:ascii="Times New Roman" w:hAnsi="Times New Roman"/>
          <w:b/>
          <w:bCs/>
          <w:szCs w:val="24"/>
        </w:rPr>
      </w:pPr>
      <w:r w:rsidRPr="004245C1">
        <w:rPr>
          <w:rFonts w:ascii="Times New Roman" w:hAnsi="Times New Roman"/>
          <w:b/>
          <w:bCs/>
          <w:szCs w:val="24"/>
        </w:rPr>
        <w:t xml:space="preserve">Follow up to the </w:t>
      </w:r>
      <w:r w:rsidRPr="004245C1">
        <w:rPr>
          <w:rFonts w:ascii="Times New Roman" w:hAnsi="Times New Roman"/>
          <w:b/>
          <w:szCs w:val="24"/>
        </w:rPr>
        <w:t>European Parliament non-legislative resolution</w:t>
      </w:r>
      <w:r w:rsidRPr="004245C1">
        <w:rPr>
          <w:rFonts w:ascii="Times New Roman" w:hAnsi="Times New Roman"/>
          <w:b/>
          <w:noProof/>
          <w:szCs w:val="24"/>
        </w:rPr>
        <w:t xml:space="preserve"> </w:t>
      </w:r>
      <w:r w:rsidRPr="004245C1">
        <w:rPr>
          <w:rFonts w:ascii="Times New Roman" w:hAnsi="Times New Roman"/>
          <w:b/>
          <w:bCs/>
          <w:szCs w:val="24"/>
        </w:rPr>
        <w:t xml:space="preserve">on </w:t>
      </w:r>
      <w:r w:rsidRPr="004245C1">
        <w:rPr>
          <w:rFonts w:ascii="Times New Roman" w:hAnsi="Times New Roman"/>
          <w:b/>
          <w:szCs w:val="24"/>
          <w:shd w:val="clear" w:color="auto" w:fill="FFFFFF"/>
        </w:rPr>
        <w:t>the draft Commission regulation amending Annex XVII to Regulation (EC) No 1907/2006 of the European Parliament and of the Council on the Registration, Evaluation, Authorisation and Restriction of Chemicals (REACH) as regards lead and its compounds</w:t>
      </w:r>
    </w:p>
    <w:p w:rsidR="001349F3" w:rsidRDefault="001349F3" w:rsidP="001349F3">
      <w:pPr>
        <w:numPr>
          <w:ilvl w:val="0"/>
          <w:numId w:val="1"/>
        </w:numPr>
        <w:ind w:left="567" w:hanging="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Resolution tabled pursuant to Rule 112 (2) (3) and (4) of the European Parliament's Rules of procedure</w:t>
      </w:r>
    </w:p>
    <w:p w:rsidR="001349F3" w:rsidRDefault="001349F3" w:rsidP="001349F3">
      <w:pPr>
        <w:numPr>
          <w:ilvl w:val="0"/>
          <w:numId w:val="1"/>
        </w:numPr>
        <w:ind w:left="567" w:hanging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Reference numbers: </w:t>
      </w:r>
      <w:r>
        <w:rPr>
          <w:rFonts w:ascii="Times New Roman" w:hAnsi="Times New Roman"/>
          <w:szCs w:val="24"/>
        </w:rPr>
        <w:t>2019/2949 (RSP) / B9-0089/2020 / P9_TA-PROV(2020)0030</w:t>
      </w:r>
    </w:p>
    <w:p w:rsidR="001349F3" w:rsidRDefault="001349F3" w:rsidP="001349F3">
      <w:pPr>
        <w:numPr>
          <w:ilvl w:val="0"/>
          <w:numId w:val="1"/>
        </w:numPr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Date of adoption of the resolution:</w:t>
      </w:r>
      <w:r>
        <w:rPr>
          <w:rFonts w:ascii="Times New Roman" w:hAnsi="Times New Roman"/>
          <w:szCs w:val="24"/>
        </w:rPr>
        <w:t xml:space="preserve"> 12 February 2020</w:t>
      </w:r>
    </w:p>
    <w:p w:rsidR="001349F3" w:rsidRPr="00AB6A06" w:rsidRDefault="001349F3" w:rsidP="001349F3">
      <w:pPr>
        <w:pStyle w:val="ListParagraph"/>
        <w:numPr>
          <w:ilvl w:val="0"/>
          <w:numId w:val="1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Competent Parliamentary Committee</w:t>
      </w:r>
      <w:r w:rsidRPr="00AB6A06">
        <w:rPr>
          <w:rFonts w:ascii="Times New Roman" w:hAnsi="Times New Roman"/>
          <w:b/>
          <w:sz w:val="24"/>
          <w:szCs w:val="24"/>
          <w:lang w:val="en-GB"/>
        </w:rPr>
        <w:t>:</w:t>
      </w:r>
      <w:r w:rsidRPr="00AB6A0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B6A06">
        <w:rPr>
          <w:rFonts w:ascii="Times New Roman" w:hAnsi="Times New Roman"/>
          <w:sz w:val="24"/>
          <w:szCs w:val="24"/>
        </w:rPr>
        <w:t>Committee on the Environment, Public Health and Food Safety (ENVI), Committee on Industry, Research and Energy (ITRE) (associated committees)</w:t>
      </w:r>
    </w:p>
    <w:p w:rsidR="001349F3" w:rsidRPr="007378D8" w:rsidRDefault="001349F3" w:rsidP="001349F3">
      <w:pPr>
        <w:widowControl w:val="0"/>
        <w:numPr>
          <w:ilvl w:val="0"/>
          <w:numId w:val="1"/>
        </w:numPr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Brief analysis/assessment of the resolution and requests made in it:</w:t>
      </w:r>
    </w:p>
    <w:p w:rsidR="001349F3" w:rsidRPr="00CC63B1" w:rsidRDefault="001349F3" w:rsidP="001349F3">
      <w:pPr>
        <w:spacing w:after="120"/>
        <w:rPr>
          <w:rFonts w:ascii="Times New Roman" w:hAnsi="Times New Roman"/>
          <w:b/>
          <w:szCs w:val="24"/>
        </w:rPr>
      </w:pPr>
      <w:r w:rsidRPr="00711C74">
        <w:rPr>
          <w:rFonts w:ascii="Times New Roman" w:hAnsi="Times New Roman"/>
          <w:szCs w:val="24"/>
        </w:rPr>
        <w:t>The resolution</w:t>
      </w:r>
      <w:r>
        <w:rPr>
          <w:rFonts w:ascii="Times New Roman" w:hAnsi="Times New Roman"/>
          <w:szCs w:val="24"/>
        </w:rPr>
        <w:t>,</w:t>
      </w:r>
      <w:r w:rsidRPr="00711C74">
        <w:rPr>
          <w:rFonts w:ascii="Times New Roman" w:hAnsi="Times New Roman"/>
          <w:szCs w:val="24"/>
        </w:rPr>
        <w:t xml:space="preserve"> adopted by the </w:t>
      </w:r>
      <w:r w:rsidRPr="00D073F3">
        <w:rPr>
          <w:rFonts w:ascii="Times New Roman" w:hAnsi="Times New Roman"/>
          <w:szCs w:val="24"/>
        </w:rPr>
        <w:t>Parliament with 394 votes in favour, 241 against and 13 abstention</w:t>
      </w:r>
      <w:r>
        <w:rPr>
          <w:rFonts w:ascii="Times New Roman" w:hAnsi="Times New Roman"/>
          <w:szCs w:val="24"/>
        </w:rPr>
        <w:t>:</w:t>
      </w:r>
    </w:p>
    <w:p w:rsidR="001349F3" w:rsidRPr="00CC63B1" w:rsidRDefault="001349F3" w:rsidP="001349F3">
      <w:pPr>
        <w:numPr>
          <w:ilvl w:val="1"/>
          <w:numId w:val="1"/>
        </w:numPr>
        <w:spacing w:after="120"/>
        <w:ind w:left="92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considers that the draft Commission r</w:t>
      </w:r>
      <w:r w:rsidRPr="00D073F3">
        <w:rPr>
          <w:rFonts w:ascii="Times New Roman" w:hAnsi="Times New Roman"/>
          <w:szCs w:val="24"/>
        </w:rPr>
        <w:t>egulation is not compatible with the aim and content of the REACH Regulation</w:t>
      </w:r>
      <w:r>
        <w:rPr>
          <w:rFonts w:ascii="Times New Roman" w:hAnsi="Times New Roman"/>
          <w:szCs w:val="24"/>
        </w:rPr>
        <w:t xml:space="preserve"> </w:t>
      </w:r>
      <w:r w:rsidRPr="002738B9">
        <w:rPr>
          <w:rFonts w:ascii="Times New Roman" w:hAnsi="Times New Roman"/>
          <w:szCs w:val="24"/>
        </w:rPr>
        <w:t>to achieve a high level of protection o</w:t>
      </w:r>
      <w:r>
        <w:rPr>
          <w:rFonts w:ascii="Times New Roman" w:hAnsi="Times New Roman"/>
          <w:szCs w:val="24"/>
        </w:rPr>
        <w:t>f human health and environment (</w:t>
      </w:r>
      <w:r>
        <w:rPr>
          <w:rFonts w:ascii="Times New Roman" w:hAnsi="Times New Roman"/>
          <w:b/>
          <w:szCs w:val="24"/>
        </w:rPr>
        <w:t xml:space="preserve">point 2, </w:t>
      </w:r>
      <w:r>
        <w:rPr>
          <w:rFonts w:ascii="Times New Roman" w:hAnsi="Times New Roman"/>
          <w:szCs w:val="24"/>
        </w:rPr>
        <w:t xml:space="preserve">explained in </w:t>
      </w:r>
      <w:r w:rsidRPr="00AF3011">
        <w:rPr>
          <w:rFonts w:ascii="Times New Roman" w:hAnsi="Times New Roman"/>
          <w:b/>
          <w:szCs w:val="24"/>
        </w:rPr>
        <w:t>recital</w:t>
      </w:r>
      <w:r>
        <w:rPr>
          <w:rFonts w:ascii="Times New Roman" w:hAnsi="Times New Roman"/>
          <w:b/>
          <w:szCs w:val="24"/>
        </w:rPr>
        <w:t>s</w:t>
      </w:r>
      <w:r w:rsidRPr="00AF301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U, AC, AE, AI, AL </w:t>
      </w:r>
      <w:r w:rsidRPr="00D8112F">
        <w:rPr>
          <w:rFonts w:ascii="Times New Roman" w:hAnsi="Times New Roman"/>
          <w:szCs w:val="24"/>
        </w:rPr>
        <w:t>and</w:t>
      </w:r>
      <w:r>
        <w:rPr>
          <w:rFonts w:ascii="Times New Roman" w:hAnsi="Times New Roman"/>
          <w:b/>
          <w:szCs w:val="24"/>
        </w:rPr>
        <w:t xml:space="preserve"> </w:t>
      </w:r>
      <w:r w:rsidRPr="00AF3011">
        <w:rPr>
          <w:rFonts w:ascii="Times New Roman" w:hAnsi="Times New Roman"/>
          <w:b/>
          <w:szCs w:val="24"/>
        </w:rPr>
        <w:t>AP</w:t>
      </w:r>
      <w:r w:rsidRPr="00A1160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; and thus</w:t>
      </w:r>
    </w:p>
    <w:p w:rsidR="001349F3" w:rsidRPr="00CC63B1" w:rsidRDefault="001349F3" w:rsidP="001349F3">
      <w:pPr>
        <w:numPr>
          <w:ilvl w:val="1"/>
          <w:numId w:val="1"/>
        </w:numPr>
        <w:spacing w:after="120"/>
        <w:ind w:left="92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invites</w:t>
      </w:r>
      <w:r w:rsidRPr="00711C74">
        <w:rPr>
          <w:rFonts w:ascii="Times New Roman" w:hAnsi="Times New Roman"/>
          <w:szCs w:val="24"/>
        </w:rPr>
        <w:t xml:space="preserve"> the Co</w:t>
      </w:r>
      <w:r>
        <w:rPr>
          <w:rFonts w:ascii="Times New Roman" w:hAnsi="Times New Roman"/>
          <w:szCs w:val="24"/>
        </w:rPr>
        <w:t>mmission to withdraw its draft r</w:t>
      </w:r>
      <w:r w:rsidRPr="00711C74">
        <w:rPr>
          <w:rFonts w:ascii="Times New Roman" w:hAnsi="Times New Roman"/>
          <w:szCs w:val="24"/>
        </w:rPr>
        <w:t>egulation and submit a new one to the committee without delay</w:t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b/>
          <w:szCs w:val="24"/>
        </w:rPr>
        <w:t>point 3</w:t>
      </w:r>
      <w:r w:rsidRPr="00A1160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;</w:t>
      </w:r>
    </w:p>
    <w:p w:rsidR="001349F3" w:rsidRPr="00CC63B1" w:rsidRDefault="001349F3" w:rsidP="001349F3">
      <w:pPr>
        <w:numPr>
          <w:ilvl w:val="1"/>
          <w:numId w:val="1"/>
        </w:numPr>
        <w:spacing w:after="120"/>
        <w:ind w:left="927"/>
        <w:rPr>
          <w:rFonts w:ascii="Times New Roman" w:hAnsi="Times New Roman"/>
          <w:b/>
          <w:szCs w:val="24"/>
        </w:rPr>
      </w:pPr>
      <w:r w:rsidRPr="00711C74">
        <w:rPr>
          <w:rFonts w:ascii="Times New Roman" w:hAnsi="Times New Roman"/>
          <w:szCs w:val="24"/>
        </w:rPr>
        <w:t>considers</w:t>
      </w:r>
      <w:r>
        <w:rPr>
          <w:rFonts w:ascii="Times New Roman" w:hAnsi="Times New Roman"/>
          <w:szCs w:val="24"/>
        </w:rPr>
        <w:t>,</w:t>
      </w:r>
      <w:r w:rsidRPr="00711C7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 line with</w:t>
      </w:r>
      <w:r w:rsidRPr="00A1160A">
        <w:rPr>
          <w:rFonts w:ascii="Times New Roman" w:hAnsi="Times New Roman"/>
          <w:szCs w:val="24"/>
        </w:rPr>
        <w:t xml:space="preserve"> </w:t>
      </w:r>
      <w:r w:rsidRPr="00711C74">
        <w:rPr>
          <w:rFonts w:ascii="Times New Roman" w:hAnsi="Times New Roman"/>
          <w:szCs w:val="24"/>
        </w:rPr>
        <w:t>previously adopted Parliament resolutions</w:t>
      </w:r>
      <w:r>
        <w:rPr>
          <w:rFonts w:ascii="Times New Roman" w:hAnsi="Times New Roman"/>
          <w:szCs w:val="24"/>
        </w:rPr>
        <w:t>,</w:t>
      </w:r>
      <w:r w:rsidRPr="00711C74">
        <w:rPr>
          <w:rFonts w:ascii="Times New Roman" w:hAnsi="Times New Roman"/>
          <w:szCs w:val="24"/>
        </w:rPr>
        <w:t xml:space="preserve"> that any recovery of</w:t>
      </w:r>
      <w:r>
        <w:rPr>
          <w:rFonts w:ascii="Times New Roman" w:hAnsi="Times New Roman"/>
          <w:szCs w:val="24"/>
        </w:rPr>
        <w:t xml:space="preserve"> </w:t>
      </w:r>
      <w:r w:rsidRPr="00FB7A5A">
        <w:rPr>
          <w:rFonts w:ascii="Times New Roman" w:hAnsi="Times New Roman"/>
          <w:szCs w:val="24"/>
        </w:rPr>
        <w:t xml:space="preserve">polymers or copolymers of vinyl chloride </w:t>
      </w:r>
      <w:r>
        <w:rPr>
          <w:rFonts w:ascii="Times New Roman" w:hAnsi="Times New Roman"/>
          <w:szCs w:val="24"/>
        </w:rPr>
        <w:t>(</w:t>
      </w:r>
      <w:r w:rsidRPr="00711C74">
        <w:rPr>
          <w:rFonts w:ascii="Times New Roman" w:hAnsi="Times New Roman"/>
          <w:szCs w:val="24"/>
        </w:rPr>
        <w:t>PVC</w:t>
      </w:r>
      <w:r>
        <w:rPr>
          <w:rFonts w:ascii="Times New Roman" w:hAnsi="Times New Roman"/>
          <w:szCs w:val="24"/>
        </w:rPr>
        <w:t>)</w:t>
      </w:r>
      <w:r w:rsidRPr="00711C74">
        <w:rPr>
          <w:rFonts w:ascii="Times New Roman" w:hAnsi="Times New Roman"/>
          <w:szCs w:val="24"/>
        </w:rPr>
        <w:t xml:space="preserve"> waste should not lead to the carry-over and dilution of lead compounds into a new generation of products</w:t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b/>
          <w:szCs w:val="24"/>
        </w:rPr>
        <w:t>point 4</w:t>
      </w:r>
      <w:r w:rsidRPr="00A1160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; and thus </w:t>
      </w:r>
      <w:r w:rsidRPr="00CC63B1">
        <w:rPr>
          <w:rFonts w:ascii="Times New Roman" w:hAnsi="Times New Roman"/>
          <w:szCs w:val="24"/>
        </w:rPr>
        <w:t xml:space="preserve">asks to delete from the draft </w:t>
      </w:r>
      <w:r>
        <w:rPr>
          <w:rFonts w:ascii="Times New Roman" w:hAnsi="Times New Roman"/>
          <w:szCs w:val="24"/>
        </w:rPr>
        <w:t>r</w:t>
      </w:r>
      <w:r w:rsidRPr="00CC63B1">
        <w:rPr>
          <w:rFonts w:ascii="Times New Roman" w:hAnsi="Times New Roman"/>
          <w:szCs w:val="24"/>
        </w:rPr>
        <w:t>egulation the proposed derogations regarding the lead content of articles made of recycled PVC (</w:t>
      </w:r>
      <w:r w:rsidRPr="00CC63B1">
        <w:rPr>
          <w:rFonts w:ascii="Times New Roman" w:hAnsi="Times New Roman"/>
          <w:b/>
          <w:szCs w:val="24"/>
        </w:rPr>
        <w:t>point 5</w:t>
      </w:r>
      <w:r>
        <w:rPr>
          <w:rFonts w:ascii="Times New Roman" w:hAnsi="Times New Roman"/>
          <w:szCs w:val="24"/>
        </w:rPr>
        <w:t>);</w:t>
      </w:r>
    </w:p>
    <w:p w:rsidR="001349F3" w:rsidRPr="00CC63B1" w:rsidRDefault="001349F3" w:rsidP="001349F3">
      <w:pPr>
        <w:numPr>
          <w:ilvl w:val="1"/>
          <w:numId w:val="1"/>
        </w:numPr>
        <w:spacing w:after="120"/>
        <w:ind w:left="92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requests to change </w:t>
      </w:r>
      <w:r w:rsidRPr="00711C74">
        <w:rPr>
          <w:rFonts w:ascii="Times New Roman" w:hAnsi="Times New Roman"/>
          <w:szCs w:val="24"/>
        </w:rPr>
        <w:t xml:space="preserve">the proposed marking requirements </w:t>
      </w:r>
      <w:r>
        <w:rPr>
          <w:rFonts w:ascii="Times New Roman" w:hAnsi="Times New Roman"/>
          <w:szCs w:val="24"/>
        </w:rPr>
        <w:t xml:space="preserve">(“contains recycled PVC”) </w:t>
      </w:r>
      <w:r w:rsidRPr="00711C74">
        <w:rPr>
          <w:rFonts w:ascii="Times New Roman" w:hAnsi="Times New Roman"/>
          <w:szCs w:val="24"/>
        </w:rPr>
        <w:t xml:space="preserve">for such articles </w:t>
      </w:r>
      <w:r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b/>
          <w:szCs w:val="24"/>
        </w:rPr>
        <w:t>point 5</w:t>
      </w:r>
      <w:r w:rsidRPr="00A1160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711C74">
        <w:rPr>
          <w:rFonts w:ascii="Times New Roman" w:hAnsi="Times New Roman"/>
          <w:szCs w:val="24"/>
        </w:rPr>
        <w:t>as</w:t>
      </w:r>
      <w:r>
        <w:rPr>
          <w:rFonts w:ascii="Times New Roman" w:hAnsi="Times New Roman"/>
          <w:szCs w:val="24"/>
        </w:rPr>
        <w:t>,</w:t>
      </w:r>
      <w:r w:rsidRPr="00711C74">
        <w:rPr>
          <w:rFonts w:ascii="Times New Roman" w:hAnsi="Times New Roman"/>
          <w:szCs w:val="24"/>
        </w:rPr>
        <w:t xml:space="preserve"> according to the motion</w:t>
      </w:r>
      <w:r>
        <w:rPr>
          <w:rFonts w:ascii="Times New Roman" w:hAnsi="Times New Roman"/>
          <w:szCs w:val="24"/>
        </w:rPr>
        <w:t>,</w:t>
      </w:r>
      <w:r w:rsidRPr="00711C74">
        <w:rPr>
          <w:rFonts w:ascii="Times New Roman" w:hAnsi="Times New Roman"/>
          <w:szCs w:val="24"/>
        </w:rPr>
        <w:t xml:space="preserve"> it has a </w:t>
      </w:r>
      <w:r>
        <w:rPr>
          <w:rFonts w:ascii="Times New Roman" w:hAnsi="Times New Roman"/>
          <w:szCs w:val="24"/>
        </w:rPr>
        <w:t xml:space="preserve">misleading </w:t>
      </w:r>
      <w:r w:rsidRPr="00711C74">
        <w:rPr>
          <w:rFonts w:ascii="Times New Roman" w:hAnsi="Times New Roman"/>
          <w:szCs w:val="24"/>
        </w:rPr>
        <w:t xml:space="preserve">positive connotation </w:t>
      </w:r>
      <w:r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b/>
          <w:szCs w:val="24"/>
        </w:rPr>
        <w:t>recital AB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which</w:t>
      </w:r>
      <w:r w:rsidRPr="00711C74">
        <w:rPr>
          <w:rFonts w:ascii="Times New Roman" w:hAnsi="Times New Roman"/>
          <w:szCs w:val="24"/>
        </w:rPr>
        <w:t xml:space="preserve"> </w:t>
      </w:r>
      <w:r w:rsidRPr="002738B9">
        <w:rPr>
          <w:rFonts w:ascii="Times New Roman" w:hAnsi="Times New Roman"/>
          <w:szCs w:val="24"/>
        </w:rPr>
        <w:t>go</w:t>
      </w:r>
      <w:r>
        <w:rPr>
          <w:rFonts w:ascii="Times New Roman" w:hAnsi="Times New Roman"/>
          <w:szCs w:val="24"/>
        </w:rPr>
        <w:t>es</w:t>
      </w:r>
      <w:r w:rsidRPr="002738B9">
        <w:rPr>
          <w:rFonts w:ascii="Times New Roman" w:hAnsi="Times New Roman"/>
          <w:szCs w:val="24"/>
        </w:rPr>
        <w:t xml:space="preserve"> against the objective of the REACH Regulation </w:t>
      </w:r>
      <w:r>
        <w:rPr>
          <w:rFonts w:ascii="Times New Roman" w:hAnsi="Times New Roman"/>
          <w:szCs w:val="24"/>
        </w:rPr>
        <w:t>(</w:t>
      </w:r>
      <w:r w:rsidRPr="00CC63B1">
        <w:rPr>
          <w:rFonts w:ascii="Times New Roman" w:hAnsi="Times New Roman"/>
          <w:b/>
          <w:szCs w:val="24"/>
        </w:rPr>
        <w:t>point 2</w:t>
      </w:r>
      <w:r>
        <w:rPr>
          <w:rFonts w:ascii="Times New Roman" w:hAnsi="Times New Roman"/>
          <w:szCs w:val="24"/>
        </w:rPr>
        <w:t xml:space="preserve"> and </w:t>
      </w:r>
      <w:r w:rsidRPr="00FB3DAB">
        <w:rPr>
          <w:rFonts w:ascii="Times New Roman" w:hAnsi="Times New Roman"/>
          <w:b/>
          <w:szCs w:val="24"/>
        </w:rPr>
        <w:t>recital</w:t>
      </w:r>
      <w:r>
        <w:rPr>
          <w:rFonts w:ascii="Times New Roman" w:hAnsi="Times New Roman"/>
          <w:b/>
          <w:szCs w:val="24"/>
        </w:rPr>
        <w:t xml:space="preserve"> AC</w:t>
      </w:r>
      <w:r w:rsidRPr="00A1160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;</w:t>
      </w:r>
    </w:p>
    <w:p w:rsidR="001349F3" w:rsidRPr="00CC63B1" w:rsidRDefault="001349F3" w:rsidP="001349F3">
      <w:pPr>
        <w:numPr>
          <w:ilvl w:val="1"/>
          <w:numId w:val="1"/>
        </w:numPr>
        <w:spacing w:after="120"/>
        <w:ind w:left="92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asks</w:t>
      </w:r>
      <w:r w:rsidRPr="00711C74">
        <w:rPr>
          <w:rFonts w:ascii="Times New Roman" w:hAnsi="Times New Roman"/>
          <w:szCs w:val="24"/>
        </w:rPr>
        <w:t xml:space="preserve"> to remove the derogation for the two lead pigments that are currently subject to the authorisation regime under REACH</w:t>
      </w:r>
      <w:r>
        <w:rPr>
          <w:rFonts w:ascii="Times New Roman" w:hAnsi="Times New Roman"/>
          <w:szCs w:val="24"/>
        </w:rPr>
        <w:t>, because of enforcement concerns (</w:t>
      </w:r>
      <w:r>
        <w:rPr>
          <w:rFonts w:ascii="Times New Roman" w:hAnsi="Times New Roman"/>
          <w:b/>
          <w:szCs w:val="24"/>
        </w:rPr>
        <w:t xml:space="preserve">point 5, </w:t>
      </w:r>
      <w:r w:rsidRPr="00A1160A">
        <w:rPr>
          <w:rFonts w:ascii="Times New Roman" w:hAnsi="Times New Roman"/>
          <w:b/>
          <w:szCs w:val="24"/>
        </w:rPr>
        <w:t>recital</w:t>
      </w:r>
      <w:r>
        <w:rPr>
          <w:rFonts w:ascii="Times New Roman" w:hAnsi="Times New Roman"/>
          <w:b/>
          <w:szCs w:val="24"/>
        </w:rPr>
        <w:t xml:space="preserve">s </w:t>
      </w:r>
      <w:r w:rsidRPr="00A1160A">
        <w:rPr>
          <w:rFonts w:ascii="Times New Roman" w:hAnsi="Times New Roman"/>
          <w:b/>
          <w:szCs w:val="24"/>
        </w:rPr>
        <w:t xml:space="preserve">AH </w:t>
      </w:r>
      <w:r w:rsidRPr="00A01117">
        <w:rPr>
          <w:rFonts w:ascii="Times New Roman" w:hAnsi="Times New Roman"/>
          <w:szCs w:val="24"/>
        </w:rPr>
        <w:t>and</w:t>
      </w:r>
      <w:r>
        <w:rPr>
          <w:rFonts w:ascii="Times New Roman" w:hAnsi="Times New Roman"/>
          <w:b/>
          <w:szCs w:val="24"/>
        </w:rPr>
        <w:t xml:space="preserve"> </w:t>
      </w:r>
      <w:r w:rsidRPr="00A1160A">
        <w:rPr>
          <w:rFonts w:ascii="Times New Roman" w:hAnsi="Times New Roman"/>
          <w:b/>
          <w:szCs w:val="24"/>
        </w:rPr>
        <w:t>AI</w:t>
      </w:r>
      <w:r>
        <w:rPr>
          <w:rFonts w:ascii="Times New Roman" w:hAnsi="Times New Roman"/>
          <w:szCs w:val="24"/>
        </w:rPr>
        <w:t>) and not taking into account Case T-837/16 annulling that authorisation (</w:t>
      </w:r>
      <w:r w:rsidRPr="00A1160A">
        <w:rPr>
          <w:rFonts w:ascii="Times New Roman" w:hAnsi="Times New Roman"/>
          <w:b/>
          <w:szCs w:val="24"/>
        </w:rPr>
        <w:t>recital</w:t>
      </w:r>
      <w:r>
        <w:rPr>
          <w:rFonts w:ascii="Times New Roman" w:hAnsi="Times New Roman"/>
          <w:b/>
          <w:szCs w:val="24"/>
        </w:rPr>
        <w:t xml:space="preserve"> AJ)</w:t>
      </w:r>
      <w:r>
        <w:rPr>
          <w:rFonts w:ascii="Times New Roman" w:hAnsi="Times New Roman"/>
          <w:szCs w:val="24"/>
        </w:rPr>
        <w:t>;</w:t>
      </w:r>
    </w:p>
    <w:p w:rsidR="001349F3" w:rsidRPr="00D33B10" w:rsidRDefault="001349F3" w:rsidP="001349F3">
      <w:pPr>
        <w:numPr>
          <w:ilvl w:val="1"/>
          <w:numId w:val="1"/>
        </w:numPr>
        <w:spacing w:after="120"/>
        <w:ind w:left="927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szCs w:val="24"/>
        </w:rPr>
        <w:t>requests</w:t>
      </w:r>
      <w:proofErr w:type="gramEnd"/>
      <w:r>
        <w:rPr>
          <w:rFonts w:ascii="Times New Roman" w:hAnsi="Times New Roman"/>
          <w:szCs w:val="24"/>
        </w:rPr>
        <w:t xml:space="preserve"> to </w:t>
      </w:r>
      <w:r w:rsidRPr="00711C74">
        <w:rPr>
          <w:rFonts w:ascii="Times New Roman" w:hAnsi="Times New Roman"/>
          <w:szCs w:val="24"/>
        </w:rPr>
        <w:t xml:space="preserve">reduce the general transitional period for when the provisions of the </w:t>
      </w:r>
      <w:r>
        <w:rPr>
          <w:rFonts w:ascii="Times New Roman" w:hAnsi="Times New Roman"/>
          <w:szCs w:val="24"/>
        </w:rPr>
        <w:t>r</w:t>
      </w:r>
      <w:r w:rsidRPr="00711C74">
        <w:rPr>
          <w:rFonts w:ascii="Times New Roman" w:hAnsi="Times New Roman"/>
          <w:szCs w:val="24"/>
        </w:rPr>
        <w:t>egulation shall take effect</w:t>
      </w:r>
      <w:r>
        <w:rPr>
          <w:rFonts w:ascii="Times New Roman" w:hAnsi="Times New Roman"/>
          <w:szCs w:val="24"/>
        </w:rPr>
        <w:t xml:space="preserve"> to a maximum of 6 months (</w:t>
      </w:r>
      <w:r>
        <w:rPr>
          <w:rFonts w:ascii="Times New Roman" w:hAnsi="Times New Roman"/>
          <w:b/>
          <w:szCs w:val="24"/>
        </w:rPr>
        <w:t>point 5</w:t>
      </w:r>
      <w:r w:rsidRPr="00A1160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1349F3" w:rsidRPr="00CC63B1" w:rsidRDefault="001349F3" w:rsidP="001349F3">
      <w:pPr>
        <w:numPr>
          <w:ilvl w:val="0"/>
          <w:numId w:val="1"/>
        </w:numPr>
        <w:ind w:left="567" w:hanging="567"/>
        <w:rPr>
          <w:rFonts w:ascii="Times New Roman" w:hAnsi="Times New Roman"/>
          <w:szCs w:val="24"/>
        </w:rPr>
      </w:pPr>
      <w:r w:rsidRPr="006F5D6B">
        <w:rPr>
          <w:rFonts w:ascii="Times New Roman" w:hAnsi="Times New Roman"/>
          <w:b/>
          <w:szCs w:val="24"/>
        </w:rPr>
        <w:t>Response to the requests and overview of the action taken, or intended to be taken, by the Commission:</w:t>
      </w:r>
      <w:bookmarkStart w:id="0" w:name="_GoBack"/>
      <w:bookmarkEnd w:id="0"/>
    </w:p>
    <w:p w:rsidR="001349F3" w:rsidRDefault="001349F3" w:rsidP="001349F3">
      <w:pPr>
        <w:numPr>
          <w:ilvl w:val="1"/>
          <w:numId w:val="1"/>
        </w:numPr>
        <w:spacing w:after="120"/>
        <w:ind w:left="9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Commission considers that, r</w:t>
      </w:r>
      <w:r w:rsidRPr="00D33B10">
        <w:rPr>
          <w:rFonts w:ascii="Times New Roman" w:hAnsi="Times New Roman"/>
          <w:szCs w:val="24"/>
        </w:rPr>
        <w:t xml:space="preserve">egarding </w:t>
      </w:r>
      <w:r w:rsidRPr="00D33B10">
        <w:rPr>
          <w:rFonts w:ascii="Times New Roman" w:hAnsi="Times New Roman"/>
          <w:b/>
          <w:szCs w:val="24"/>
        </w:rPr>
        <w:t>point 2</w:t>
      </w:r>
      <w:r w:rsidRPr="0030570F">
        <w:rPr>
          <w:rFonts w:ascii="Times New Roman" w:hAnsi="Times New Roman"/>
          <w:b/>
          <w:szCs w:val="24"/>
        </w:rPr>
        <w:t xml:space="preserve"> </w:t>
      </w:r>
      <w:r w:rsidRPr="0030570F">
        <w:rPr>
          <w:rFonts w:ascii="Times New Roman" w:hAnsi="Times New Roman"/>
          <w:szCs w:val="24"/>
        </w:rPr>
        <w:t xml:space="preserve">of the resolution, </w:t>
      </w:r>
      <w:r w:rsidRPr="00D33B10">
        <w:rPr>
          <w:rFonts w:ascii="Times New Roman" w:hAnsi="Times New Roman"/>
          <w:szCs w:val="24"/>
        </w:rPr>
        <w:t xml:space="preserve">the draft </w:t>
      </w:r>
      <w:r>
        <w:rPr>
          <w:rFonts w:ascii="Times New Roman" w:hAnsi="Times New Roman"/>
          <w:szCs w:val="24"/>
        </w:rPr>
        <w:t>r</w:t>
      </w:r>
      <w:r w:rsidRPr="00D33B10">
        <w:rPr>
          <w:rFonts w:ascii="Times New Roman" w:hAnsi="Times New Roman"/>
          <w:szCs w:val="24"/>
        </w:rPr>
        <w:t xml:space="preserve">egulation is fully in line with the aims of </w:t>
      </w:r>
      <w:r w:rsidRPr="0030570F">
        <w:rPr>
          <w:rFonts w:ascii="Times New Roman" w:hAnsi="Times New Roman"/>
          <w:szCs w:val="24"/>
        </w:rPr>
        <w:t xml:space="preserve">the REACH Regulation of ensuring a high </w:t>
      </w:r>
      <w:proofErr w:type="gramStart"/>
      <w:r w:rsidRPr="0030570F">
        <w:rPr>
          <w:rFonts w:ascii="Times New Roman" w:hAnsi="Times New Roman"/>
          <w:szCs w:val="24"/>
        </w:rPr>
        <w:lastRenderedPageBreak/>
        <w:t>level</w:t>
      </w:r>
      <w:proofErr w:type="gramEnd"/>
      <w:r w:rsidRPr="0030570F">
        <w:rPr>
          <w:rFonts w:ascii="Times New Roman" w:hAnsi="Times New Roman"/>
          <w:szCs w:val="24"/>
        </w:rPr>
        <w:t xml:space="preserve"> of protection of human health and the environment </w:t>
      </w:r>
      <w:r>
        <w:rPr>
          <w:rFonts w:ascii="Times New Roman" w:hAnsi="Times New Roman"/>
          <w:szCs w:val="24"/>
        </w:rPr>
        <w:t>based on</w:t>
      </w:r>
      <w:r w:rsidRPr="0030570F">
        <w:rPr>
          <w:rFonts w:ascii="Times New Roman" w:hAnsi="Times New Roman"/>
          <w:szCs w:val="24"/>
        </w:rPr>
        <w:t xml:space="preserve"> sound </w:t>
      </w:r>
      <w:r w:rsidRPr="00CC63B1">
        <w:rPr>
          <w:rFonts w:ascii="Times New Roman" w:hAnsi="Times New Roman"/>
          <w:szCs w:val="24"/>
        </w:rPr>
        <w:t>scientific evidence</w:t>
      </w:r>
      <w:r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>I</w:t>
      </w:r>
      <w:r w:rsidRPr="009659AC">
        <w:rPr>
          <w:rFonts w:ascii="Times New Roman" w:hAnsi="Times New Roman"/>
          <w:szCs w:val="24"/>
        </w:rPr>
        <w:t xml:space="preserve">n particular, regarding the aspect </w:t>
      </w:r>
      <w:r w:rsidRPr="0030570F">
        <w:rPr>
          <w:rFonts w:ascii="Times New Roman" w:hAnsi="Times New Roman"/>
          <w:szCs w:val="24"/>
        </w:rPr>
        <w:t xml:space="preserve">outlined in </w:t>
      </w:r>
      <w:r w:rsidRPr="00D33B10">
        <w:rPr>
          <w:rFonts w:ascii="Times New Roman" w:hAnsi="Times New Roman"/>
          <w:b/>
          <w:szCs w:val="24"/>
        </w:rPr>
        <w:t>recital U</w:t>
      </w:r>
      <w:r w:rsidRPr="0030570F">
        <w:rPr>
          <w:rFonts w:ascii="Times New Roman" w:hAnsi="Times New Roman"/>
          <w:szCs w:val="24"/>
        </w:rPr>
        <w:t xml:space="preserve">, the European Chemicals Agency (ECHA)’s robust scientific assessment </w:t>
      </w:r>
      <w:r>
        <w:rPr>
          <w:rFonts w:ascii="Times New Roman" w:hAnsi="Times New Roman"/>
          <w:szCs w:val="24"/>
        </w:rPr>
        <w:t>demonstrates</w:t>
      </w:r>
      <w:r w:rsidRPr="0030570F">
        <w:rPr>
          <w:rFonts w:ascii="Times New Roman" w:hAnsi="Times New Roman"/>
          <w:szCs w:val="24"/>
        </w:rPr>
        <w:t xml:space="preserve"> that recycling PVC waste containing legacy lead, under the controlled conditions set out in the draft regulation,</w:t>
      </w:r>
      <w:r w:rsidRPr="00CC63B1" w:rsidDel="004F16B3">
        <w:rPr>
          <w:rFonts w:ascii="Times New Roman" w:hAnsi="Times New Roman"/>
          <w:szCs w:val="24"/>
        </w:rPr>
        <w:t xml:space="preserve"> </w:t>
      </w:r>
      <w:r w:rsidRPr="00CC63B1">
        <w:rPr>
          <w:rFonts w:ascii="Times New Roman" w:hAnsi="Times New Roman"/>
          <w:szCs w:val="24"/>
        </w:rPr>
        <w:t>is safer for human health and the environment than PVC disposal alternatives (landfilling or incinerating PVC waste)</w:t>
      </w:r>
      <w:r>
        <w:rPr>
          <w:rFonts w:ascii="Times New Roman" w:hAnsi="Times New Roman"/>
          <w:szCs w:val="24"/>
        </w:rPr>
        <w:t xml:space="preserve"> and spares the resources needed to produce additional virgin PVC.</w:t>
      </w:r>
      <w:proofErr w:type="gramEnd"/>
    </w:p>
    <w:p w:rsidR="001349F3" w:rsidRDefault="001349F3" w:rsidP="001349F3">
      <w:pPr>
        <w:spacing w:after="120"/>
        <w:ind w:left="964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Regarding the aspect of </w:t>
      </w:r>
      <w:r w:rsidRPr="00AF3011">
        <w:rPr>
          <w:rFonts w:ascii="Times New Roman" w:hAnsi="Times New Roman"/>
          <w:b/>
          <w:szCs w:val="24"/>
        </w:rPr>
        <w:t>point 2</w:t>
      </w:r>
      <w:r>
        <w:rPr>
          <w:rFonts w:ascii="Times New Roman" w:hAnsi="Times New Roman"/>
          <w:b/>
          <w:szCs w:val="24"/>
        </w:rPr>
        <w:t xml:space="preserve"> </w:t>
      </w:r>
      <w:r w:rsidRPr="00A62B81">
        <w:rPr>
          <w:rFonts w:ascii="Times New Roman" w:hAnsi="Times New Roman"/>
          <w:szCs w:val="24"/>
        </w:rPr>
        <w:t>and</w:t>
      </w:r>
      <w:r>
        <w:rPr>
          <w:rFonts w:ascii="Times New Roman" w:hAnsi="Times New Roman"/>
          <w:b/>
          <w:szCs w:val="24"/>
        </w:rPr>
        <w:t xml:space="preserve"> 5 </w:t>
      </w:r>
      <w:r>
        <w:rPr>
          <w:rFonts w:ascii="Times New Roman" w:hAnsi="Times New Roman"/>
          <w:szCs w:val="24"/>
        </w:rPr>
        <w:t>outlined</w:t>
      </w:r>
      <w:r w:rsidRPr="00E07567">
        <w:rPr>
          <w:rFonts w:ascii="Times New Roman" w:hAnsi="Times New Roman"/>
          <w:szCs w:val="24"/>
        </w:rPr>
        <w:t xml:space="preserve"> in </w:t>
      </w:r>
      <w:r>
        <w:rPr>
          <w:rFonts w:ascii="Times New Roman" w:hAnsi="Times New Roman"/>
          <w:b/>
          <w:szCs w:val="24"/>
        </w:rPr>
        <w:t xml:space="preserve">recitals AE </w:t>
      </w:r>
      <w:r w:rsidRPr="00A62B81">
        <w:rPr>
          <w:rFonts w:ascii="Times New Roman" w:hAnsi="Times New Roman"/>
          <w:szCs w:val="24"/>
        </w:rPr>
        <w:t xml:space="preserve">and </w:t>
      </w:r>
      <w:r>
        <w:rPr>
          <w:rFonts w:ascii="Times New Roman" w:hAnsi="Times New Roman"/>
          <w:b/>
          <w:szCs w:val="24"/>
        </w:rPr>
        <w:t>AI,</w:t>
      </w:r>
      <w:r w:rsidRPr="00190A7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Cs w:val="24"/>
        </w:rPr>
        <w:t>the</w:t>
      </w:r>
      <w:r w:rsidRPr="00E10B5F">
        <w:rPr>
          <w:rFonts w:ascii="Times New Roman" w:hAnsi="Times New Roman"/>
          <w:szCs w:val="24"/>
        </w:rPr>
        <w:t xml:space="preserve"> proposed measure </w:t>
      </w:r>
      <w:r>
        <w:rPr>
          <w:rFonts w:ascii="Times New Roman" w:hAnsi="Times New Roman"/>
          <w:szCs w:val="24"/>
        </w:rPr>
        <w:t>cannot be regarded as</w:t>
      </w:r>
      <w:r w:rsidRPr="002738B9">
        <w:rPr>
          <w:rFonts w:ascii="Times New Roman" w:hAnsi="Times New Roman"/>
          <w:szCs w:val="24"/>
        </w:rPr>
        <w:t xml:space="preserve"> not practical to implement and enforce</w:t>
      </w:r>
      <w:r>
        <w:rPr>
          <w:rFonts w:ascii="Times New Roman" w:hAnsi="Times New Roman"/>
          <w:szCs w:val="24"/>
        </w:rPr>
        <w:t xml:space="preserve"> and thus</w:t>
      </w:r>
      <w:r w:rsidRPr="002738B9">
        <w:rPr>
          <w:rFonts w:ascii="Times New Roman" w:hAnsi="Times New Roman"/>
          <w:szCs w:val="24"/>
        </w:rPr>
        <w:t xml:space="preserve"> in violation of the provisions of Annex XV, point 3 (ii) of the REACH Regulation, </w:t>
      </w:r>
      <w:r>
        <w:rPr>
          <w:rFonts w:ascii="Times New Roman" w:hAnsi="Times New Roman"/>
          <w:szCs w:val="24"/>
        </w:rPr>
        <w:t xml:space="preserve">since </w:t>
      </w:r>
      <w:r w:rsidRPr="002738B9">
        <w:rPr>
          <w:rFonts w:ascii="Times New Roman" w:hAnsi="Times New Roman"/>
          <w:szCs w:val="24"/>
        </w:rPr>
        <w:t>it</w:t>
      </w:r>
      <w:r w:rsidRPr="00E10B5F">
        <w:rPr>
          <w:rFonts w:ascii="Times New Roman" w:hAnsi="Times New Roman"/>
          <w:szCs w:val="24"/>
        </w:rPr>
        <w:t xml:space="preserve"> takes into account the opinion of the enforcement authorities through the ECHA’s Forum for Exchange of Information on Enforcement</w:t>
      </w:r>
      <w:r>
        <w:rPr>
          <w:rFonts w:ascii="Times New Roman" w:hAnsi="Times New Roman"/>
          <w:szCs w:val="24"/>
        </w:rPr>
        <w:t>.</w:t>
      </w:r>
      <w:proofErr w:type="gramEnd"/>
    </w:p>
    <w:p w:rsidR="001349F3" w:rsidRPr="00F91554" w:rsidRDefault="001349F3" w:rsidP="001349F3">
      <w:pPr>
        <w:numPr>
          <w:ilvl w:val="1"/>
          <w:numId w:val="1"/>
        </w:numPr>
        <w:spacing w:after="120"/>
        <w:ind w:left="927"/>
        <w:rPr>
          <w:rFonts w:ascii="Times New Roman" w:hAnsi="Times New Roman"/>
          <w:szCs w:val="24"/>
        </w:rPr>
      </w:pPr>
      <w:r w:rsidRPr="00214379">
        <w:rPr>
          <w:rFonts w:ascii="Times New Roman" w:hAnsi="Times New Roman"/>
          <w:szCs w:val="24"/>
        </w:rPr>
        <w:t xml:space="preserve">Regarding </w:t>
      </w:r>
      <w:r>
        <w:rPr>
          <w:rFonts w:ascii="Times New Roman" w:hAnsi="Times New Roman"/>
          <w:szCs w:val="24"/>
        </w:rPr>
        <w:t xml:space="preserve">the request raised in </w:t>
      </w:r>
      <w:r w:rsidRPr="00214379">
        <w:rPr>
          <w:rFonts w:ascii="Times New Roman" w:hAnsi="Times New Roman"/>
          <w:b/>
          <w:szCs w:val="24"/>
        </w:rPr>
        <w:t>point 3</w:t>
      </w:r>
      <w:r w:rsidRPr="00D864D8">
        <w:rPr>
          <w:rFonts w:ascii="Times New Roman" w:hAnsi="Times New Roman"/>
          <w:szCs w:val="24"/>
        </w:rPr>
        <w:t xml:space="preserve"> to submit a new proposal</w:t>
      </w:r>
      <w:r w:rsidRPr="00BB67A0">
        <w:rPr>
          <w:rFonts w:ascii="Times New Roman" w:hAnsi="Times New Roman"/>
          <w:szCs w:val="24"/>
        </w:rPr>
        <w:t xml:space="preserve">, </w:t>
      </w:r>
      <w:r w:rsidRPr="00F91554">
        <w:rPr>
          <w:rFonts w:ascii="Times New Roman" w:hAnsi="Times New Roman"/>
          <w:szCs w:val="24"/>
        </w:rPr>
        <w:t>the Commission has now according to the regulatory procedure with scrutiny the possibility of:</w:t>
      </w:r>
    </w:p>
    <w:p w:rsidR="001349F3" w:rsidRPr="00F91554" w:rsidRDefault="001349F3" w:rsidP="001349F3">
      <w:pPr>
        <w:numPr>
          <w:ilvl w:val="2"/>
          <w:numId w:val="1"/>
        </w:numPr>
        <w:spacing w:after="120"/>
        <w:ind w:left="1304"/>
        <w:rPr>
          <w:rFonts w:ascii="Times New Roman" w:hAnsi="Times New Roman"/>
          <w:szCs w:val="24"/>
        </w:rPr>
      </w:pPr>
      <w:r w:rsidRPr="00F91554">
        <w:rPr>
          <w:rFonts w:ascii="Times New Roman" w:hAnsi="Times New Roman"/>
          <w:szCs w:val="24"/>
        </w:rPr>
        <w:t>not acting further (i.e. not submitting a new or amended proposal);</w:t>
      </w:r>
    </w:p>
    <w:p w:rsidR="001349F3" w:rsidRPr="00F91554" w:rsidRDefault="001349F3" w:rsidP="001349F3">
      <w:pPr>
        <w:numPr>
          <w:ilvl w:val="2"/>
          <w:numId w:val="1"/>
        </w:numPr>
        <w:spacing w:after="120"/>
        <w:ind w:left="1304"/>
        <w:rPr>
          <w:rFonts w:ascii="Times New Roman" w:hAnsi="Times New Roman"/>
          <w:szCs w:val="24"/>
        </w:rPr>
      </w:pPr>
      <w:r w:rsidRPr="00F91554">
        <w:rPr>
          <w:rFonts w:ascii="Times New Roman" w:hAnsi="Times New Roman"/>
          <w:szCs w:val="24"/>
        </w:rPr>
        <w:t>submitting an amended draft to the REACH committee under the regulatory procedure with scrutiny; or</w:t>
      </w:r>
    </w:p>
    <w:p w:rsidR="001349F3" w:rsidRPr="00F91554" w:rsidRDefault="001349F3" w:rsidP="001349F3">
      <w:pPr>
        <w:numPr>
          <w:ilvl w:val="2"/>
          <w:numId w:val="1"/>
        </w:numPr>
        <w:spacing w:after="120"/>
        <w:ind w:left="1304"/>
        <w:rPr>
          <w:rFonts w:ascii="Times New Roman" w:hAnsi="Times New Roman"/>
          <w:szCs w:val="24"/>
        </w:rPr>
      </w:pPr>
      <w:proofErr w:type="gramStart"/>
      <w:r w:rsidRPr="00F91554">
        <w:rPr>
          <w:rFonts w:ascii="Times New Roman" w:hAnsi="Times New Roman"/>
          <w:szCs w:val="24"/>
        </w:rPr>
        <w:t>submitting</w:t>
      </w:r>
      <w:proofErr w:type="gramEnd"/>
      <w:r w:rsidRPr="00F91554">
        <w:rPr>
          <w:rFonts w:ascii="Times New Roman" w:hAnsi="Times New Roman"/>
          <w:szCs w:val="24"/>
        </w:rPr>
        <w:t xml:space="preserve"> a legislative proposal under the o</w:t>
      </w:r>
      <w:r>
        <w:rPr>
          <w:rFonts w:ascii="Times New Roman" w:hAnsi="Times New Roman"/>
          <w:szCs w:val="24"/>
        </w:rPr>
        <w:t>rdinary legislative procedure.</w:t>
      </w:r>
    </w:p>
    <w:p w:rsidR="001349F3" w:rsidRDefault="001349F3" w:rsidP="001349F3">
      <w:pPr>
        <w:spacing w:after="120"/>
        <w:ind w:left="907"/>
        <w:rPr>
          <w:rFonts w:ascii="Times New Roman" w:hAnsi="Times New Roman"/>
          <w:szCs w:val="24"/>
        </w:rPr>
      </w:pPr>
      <w:r w:rsidRPr="00F91554">
        <w:rPr>
          <w:rFonts w:ascii="Times New Roman" w:hAnsi="Times New Roman"/>
          <w:szCs w:val="24"/>
        </w:rPr>
        <w:t>The Commission is assessing the options and w</w:t>
      </w:r>
      <w:r>
        <w:rPr>
          <w:rFonts w:ascii="Times New Roman" w:hAnsi="Times New Roman"/>
          <w:szCs w:val="24"/>
        </w:rPr>
        <w:t>ill take a decision in due time</w:t>
      </w:r>
      <w:r w:rsidRPr="0030699D">
        <w:rPr>
          <w:rFonts w:ascii="Times New Roman" w:hAnsi="Times New Roman"/>
          <w:szCs w:val="24"/>
        </w:rPr>
        <w:t>.</w:t>
      </w:r>
    </w:p>
    <w:p w:rsidR="001349F3" w:rsidRDefault="001349F3" w:rsidP="001349F3">
      <w:pPr>
        <w:numPr>
          <w:ilvl w:val="1"/>
          <w:numId w:val="1"/>
        </w:numPr>
        <w:spacing w:after="120"/>
        <w:ind w:left="9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Regarding </w:t>
      </w:r>
      <w:r w:rsidRPr="00AF3011">
        <w:rPr>
          <w:rFonts w:ascii="Times New Roman" w:hAnsi="Times New Roman"/>
          <w:b/>
          <w:szCs w:val="24"/>
        </w:rPr>
        <w:t xml:space="preserve">point </w:t>
      </w:r>
      <w:r>
        <w:rPr>
          <w:rFonts w:ascii="Times New Roman" w:hAnsi="Times New Roman"/>
          <w:b/>
          <w:szCs w:val="24"/>
        </w:rPr>
        <w:t xml:space="preserve">4, </w:t>
      </w:r>
      <w:r>
        <w:rPr>
          <w:rFonts w:ascii="Times New Roman" w:hAnsi="Times New Roman"/>
          <w:szCs w:val="24"/>
        </w:rPr>
        <w:t>ECHA and its Committees for Risk Assessment (</w:t>
      </w:r>
      <w:r w:rsidRPr="002738B9">
        <w:rPr>
          <w:rFonts w:ascii="Times New Roman" w:hAnsi="Times New Roman"/>
          <w:szCs w:val="24"/>
        </w:rPr>
        <w:t>RAC</w:t>
      </w:r>
      <w:r>
        <w:rPr>
          <w:rFonts w:ascii="Times New Roman" w:hAnsi="Times New Roman"/>
          <w:szCs w:val="24"/>
        </w:rPr>
        <w:t>)</w:t>
      </w:r>
      <w:r w:rsidRPr="002738B9">
        <w:rPr>
          <w:rFonts w:ascii="Times New Roman" w:hAnsi="Times New Roman"/>
          <w:szCs w:val="24"/>
        </w:rPr>
        <w:t xml:space="preserve"> and </w:t>
      </w:r>
      <w:r>
        <w:rPr>
          <w:rFonts w:ascii="Times New Roman" w:hAnsi="Times New Roman"/>
          <w:szCs w:val="24"/>
        </w:rPr>
        <w:t>Socio-economic Assessment (</w:t>
      </w:r>
      <w:r w:rsidRPr="002738B9">
        <w:rPr>
          <w:rFonts w:ascii="Times New Roman" w:hAnsi="Times New Roman"/>
          <w:szCs w:val="24"/>
        </w:rPr>
        <w:t>SEAC</w:t>
      </w:r>
      <w:r>
        <w:rPr>
          <w:rFonts w:ascii="Times New Roman" w:hAnsi="Times New Roman"/>
          <w:szCs w:val="24"/>
        </w:rPr>
        <w:t>)</w:t>
      </w:r>
      <w:r w:rsidRPr="002738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weighed the risks stemming from recycling PVC waste (including the carry-over of lead in future articles) against the </w:t>
      </w:r>
      <w:r w:rsidRPr="002738B9">
        <w:rPr>
          <w:rFonts w:ascii="Times New Roman" w:hAnsi="Times New Roman"/>
          <w:szCs w:val="24"/>
        </w:rPr>
        <w:t xml:space="preserve">impacts on human health and the environment </w:t>
      </w:r>
      <w:r>
        <w:rPr>
          <w:rFonts w:ascii="Times New Roman" w:hAnsi="Times New Roman"/>
          <w:szCs w:val="24"/>
        </w:rPr>
        <w:t xml:space="preserve">that </w:t>
      </w:r>
      <w:r w:rsidRPr="002738B9">
        <w:rPr>
          <w:rFonts w:ascii="Times New Roman" w:hAnsi="Times New Roman"/>
          <w:szCs w:val="24"/>
        </w:rPr>
        <w:t xml:space="preserve">would arise from landfilling </w:t>
      </w:r>
      <w:r>
        <w:rPr>
          <w:rFonts w:ascii="Times New Roman" w:hAnsi="Times New Roman"/>
          <w:szCs w:val="24"/>
        </w:rPr>
        <w:t>or</w:t>
      </w:r>
      <w:r w:rsidRPr="002738B9">
        <w:rPr>
          <w:rFonts w:ascii="Times New Roman" w:hAnsi="Times New Roman"/>
          <w:szCs w:val="24"/>
        </w:rPr>
        <w:t xml:space="preserve"> incinerat</w:t>
      </w:r>
      <w:r>
        <w:rPr>
          <w:rFonts w:ascii="Times New Roman" w:hAnsi="Times New Roman"/>
          <w:szCs w:val="24"/>
        </w:rPr>
        <w:t xml:space="preserve">ing the same PVC waste. </w:t>
      </w:r>
      <w:r w:rsidRPr="002738B9">
        <w:rPr>
          <w:rFonts w:ascii="Times New Roman" w:hAnsi="Times New Roman"/>
          <w:szCs w:val="24"/>
        </w:rPr>
        <w:t>ECHA estimated that for each tonne of PVC that is not recycled there would be an average increase in lead releases of around 40 g</w:t>
      </w:r>
      <w:r>
        <w:rPr>
          <w:rFonts w:ascii="Times New Roman" w:hAnsi="Times New Roman"/>
          <w:szCs w:val="24"/>
        </w:rPr>
        <w:t>. That would mean approximately 23 tonnes of additional lead releases per year if most of the currently recycled PVC articles with legacy lead were not recycled anymore.</w:t>
      </w:r>
    </w:p>
    <w:p w:rsidR="001349F3" w:rsidRDefault="001349F3" w:rsidP="001349F3">
      <w:pPr>
        <w:spacing w:after="120"/>
        <w:ind w:left="90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RAC and SEAC further </w:t>
      </w:r>
      <w:r w:rsidRPr="002738B9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oncluded</w:t>
      </w:r>
      <w:r w:rsidRPr="002738B9">
        <w:rPr>
          <w:rFonts w:ascii="Times New Roman" w:hAnsi="Times New Roman"/>
          <w:szCs w:val="24"/>
        </w:rPr>
        <w:t xml:space="preserve"> that </w:t>
      </w:r>
      <w:r>
        <w:rPr>
          <w:rFonts w:ascii="Times New Roman" w:hAnsi="Times New Roman"/>
          <w:szCs w:val="24"/>
        </w:rPr>
        <w:t xml:space="preserve">delaying the disposal of </w:t>
      </w:r>
      <w:r w:rsidRPr="002738B9">
        <w:rPr>
          <w:rFonts w:ascii="Times New Roman" w:hAnsi="Times New Roman"/>
          <w:szCs w:val="24"/>
        </w:rPr>
        <w:t>lead-containing</w:t>
      </w:r>
      <w:r>
        <w:rPr>
          <w:rFonts w:ascii="Times New Roman" w:hAnsi="Times New Roman"/>
          <w:szCs w:val="24"/>
        </w:rPr>
        <w:t xml:space="preserve"> </w:t>
      </w:r>
      <w:r w:rsidRPr="002738B9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VC waste through recycling is a benefit in itself. T</w:t>
      </w:r>
      <w:r w:rsidRPr="002738B9">
        <w:rPr>
          <w:rFonts w:ascii="Times New Roman" w:hAnsi="Times New Roman"/>
          <w:szCs w:val="24"/>
        </w:rPr>
        <w:t xml:space="preserve">he use of </w:t>
      </w:r>
      <w:proofErr w:type="spellStart"/>
      <w:r w:rsidRPr="002738B9">
        <w:rPr>
          <w:rFonts w:ascii="Times New Roman" w:hAnsi="Times New Roman"/>
          <w:szCs w:val="24"/>
        </w:rPr>
        <w:t>recyclate</w:t>
      </w:r>
      <w:proofErr w:type="spellEnd"/>
      <w:r w:rsidRPr="002738B9">
        <w:rPr>
          <w:rFonts w:ascii="Times New Roman" w:hAnsi="Times New Roman"/>
          <w:szCs w:val="24"/>
        </w:rPr>
        <w:t xml:space="preserve"> coated with virgin PVC </w:t>
      </w:r>
      <w:proofErr w:type="gramStart"/>
      <w:r w:rsidRPr="002738B9">
        <w:rPr>
          <w:rFonts w:ascii="Times New Roman" w:hAnsi="Times New Roman"/>
          <w:szCs w:val="24"/>
        </w:rPr>
        <w:t>can be considered</w:t>
      </w:r>
      <w:proofErr w:type="gramEnd"/>
      <w:r w:rsidRPr="002738B9">
        <w:rPr>
          <w:rFonts w:ascii="Times New Roman" w:hAnsi="Times New Roman"/>
          <w:szCs w:val="24"/>
        </w:rPr>
        <w:t xml:space="preserve"> a way of safely containing lead</w:t>
      </w:r>
      <w:r>
        <w:rPr>
          <w:rFonts w:ascii="Times New Roman" w:hAnsi="Times New Roman"/>
          <w:szCs w:val="24"/>
        </w:rPr>
        <w:t xml:space="preserve"> </w:t>
      </w:r>
      <w:r w:rsidRPr="002738B9">
        <w:rPr>
          <w:rFonts w:ascii="Times New Roman" w:hAnsi="Times New Roman"/>
          <w:szCs w:val="24"/>
        </w:rPr>
        <w:t xml:space="preserve">until </w:t>
      </w:r>
      <w:r>
        <w:rPr>
          <w:rFonts w:ascii="Times New Roman" w:hAnsi="Times New Roman"/>
          <w:szCs w:val="24"/>
        </w:rPr>
        <w:t xml:space="preserve">safer, </w:t>
      </w:r>
      <w:r w:rsidRPr="002738B9">
        <w:rPr>
          <w:rFonts w:ascii="Times New Roman" w:hAnsi="Times New Roman"/>
          <w:szCs w:val="24"/>
        </w:rPr>
        <w:t xml:space="preserve">more effective waste treatment technology </w:t>
      </w:r>
      <w:r>
        <w:rPr>
          <w:rFonts w:ascii="Times New Roman" w:hAnsi="Times New Roman"/>
          <w:szCs w:val="24"/>
        </w:rPr>
        <w:t xml:space="preserve">(e.g. chemical recycling), which may prevent the release of lead into the environment, </w:t>
      </w:r>
      <w:r w:rsidRPr="002738B9">
        <w:rPr>
          <w:rFonts w:ascii="Times New Roman" w:hAnsi="Times New Roman"/>
          <w:szCs w:val="24"/>
        </w:rPr>
        <w:t>is made available</w:t>
      </w:r>
      <w:r>
        <w:rPr>
          <w:rFonts w:ascii="Times New Roman" w:hAnsi="Times New Roman"/>
          <w:szCs w:val="24"/>
        </w:rPr>
        <w:t xml:space="preserve"> at industrial scale.</w:t>
      </w:r>
    </w:p>
    <w:p w:rsidR="001349F3" w:rsidRDefault="001349F3" w:rsidP="001349F3">
      <w:pPr>
        <w:spacing w:after="120"/>
        <w:ind w:left="90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Based on RAC and SEAC scientific assessments, </w:t>
      </w:r>
      <w:r w:rsidRPr="002738B9">
        <w:rPr>
          <w:rFonts w:ascii="Times New Roman" w:hAnsi="Times New Roman"/>
          <w:szCs w:val="24"/>
        </w:rPr>
        <w:t>allowing the recycling of end-of-life PVC articles containing legacy lead minimise</w:t>
      </w:r>
      <w:r>
        <w:rPr>
          <w:rFonts w:ascii="Times New Roman" w:hAnsi="Times New Roman"/>
          <w:szCs w:val="24"/>
        </w:rPr>
        <w:t>s</w:t>
      </w:r>
      <w:r w:rsidRPr="002738B9">
        <w:rPr>
          <w:rFonts w:ascii="Times New Roman" w:hAnsi="Times New Roman"/>
          <w:szCs w:val="24"/>
        </w:rPr>
        <w:t xml:space="preserve"> the immediate lead emissions and </w:t>
      </w:r>
      <w:r>
        <w:rPr>
          <w:rFonts w:ascii="Times New Roman" w:hAnsi="Times New Roman"/>
          <w:szCs w:val="24"/>
        </w:rPr>
        <w:t>ensures a high level of protection of human health and the environment.</w:t>
      </w:r>
    </w:p>
    <w:p w:rsidR="001349F3" w:rsidRDefault="001349F3" w:rsidP="001349F3">
      <w:pPr>
        <w:numPr>
          <w:ilvl w:val="1"/>
          <w:numId w:val="1"/>
        </w:numPr>
        <w:spacing w:after="120"/>
        <w:ind w:left="9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Regarding the aspects of </w:t>
      </w:r>
      <w:r>
        <w:rPr>
          <w:rFonts w:ascii="Times New Roman" w:hAnsi="Times New Roman"/>
          <w:b/>
          <w:szCs w:val="24"/>
        </w:rPr>
        <w:t xml:space="preserve">point 5 </w:t>
      </w:r>
      <w:r w:rsidRPr="00A62B81">
        <w:rPr>
          <w:rFonts w:ascii="Times New Roman" w:hAnsi="Times New Roman"/>
          <w:szCs w:val="24"/>
        </w:rPr>
        <w:t xml:space="preserve">and </w:t>
      </w:r>
      <w:r w:rsidRPr="00AF3011">
        <w:rPr>
          <w:rFonts w:ascii="Times New Roman" w:hAnsi="Times New Roman"/>
          <w:b/>
          <w:szCs w:val="24"/>
        </w:rPr>
        <w:t>point 2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outlined </w:t>
      </w:r>
      <w:r w:rsidRPr="00E07567">
        <w:rPr>
          <w:rFonts w:ascii="Times New Roman" w:hAnsi="Times New Roman"/>
          <w:szCs w:val="24"/>
        </w:rPr>
        <w:t xml:space="preserve">in </w:t>
      </w:r>
      <w:r>
        <w:rPr>
          <w:rFonts w:ascii="Times New Roman" w:hAnsi="Times New Roman"/>
          <w:b/>
          <w:szCs w:val="24"/>
        </w:rPr>
        <w:t xml:space="preserve">recitals AB </w:t>
      </w:r>
      <w:r w:rsidRPr="00A62B81">
        <w:rPr>
          <w:rFonts w:ascii="Times New Roman" w:hAnsi="Times New Roman"/>
          <w:szCs w:val="24"/>
        </w:rPr>
        <w:t xml:space="preserve">and </w:t>
      </w:r>
      <w:r>
        <w:rPr>
          <w:rFonts w:ascii="Times New Roman" w:hAnsi="Times New Roman"/>
          <w:b/>
          <w:szCs w:val="24"/>
        </w:rPr>
        <w:t xml:space="preserve">AC, </w:t>
      </w:r>
      <w:r>
        <w:rPr>
          <w:rFonts w:ascii="Times New Roman" w:hAnsi="Times New Roman"/>
          <w:szCs w:val="24"/>
        </w:rPr>
        <w:t>t</w:t>
      </w:r>
      <w:r w:rsidRPr="002738B9">
        <w:rPr>
          <w:rFonts w:ascii="Times New Roman" w:hAnsi="Times New Roman"/>
          <w:szCs w:val="24"/>
        </w:rPr>
        <w:t xml:space="preserve">he marking “contains recovered PVC” is an element facilitating the identification of recycled PVC containing legacy lead </w:t>
      </w:r>
      <w:r>
        <w:rPr>
          <w:rFonts w:ascii="Times New Roman" w:hAnsi="Times New Roman"/>
          <w:szCs w:val="24"/>
        </w:rPr>
        <w:t xml:space="preserve">and </w:t>
      </w:r>
      <w:r w:rsidRPr="002738B9">
        <w:rPr>
          <w:rFonts w:ascii="Times New Roman" w:hAnsi="Times New Roman"/>
          <w:szCs w:val="24"/>
        </w:rPr>
        <w:t>supporting the enforcement of the measure and can therefore not be regarded as measure that would not be in line with the REACH objectives</w:t>
      </w:r>
      <w:r>
        <w:rPr>
          <w:rFonts w:ascii="Times New Roman" w:hAnsi="Times New Roman"/>
          <w:szCs w:val="24"/>
        </w:rPr>
        <w:t>.</w:t>
      </w:r>
    </w:p>
    <w:p w:rsidR="001349F3" w:rsidRDefault="001349F3" w:rsidP="001349F3">
      <w:pPr>
        <w:numPr>
          <w:ilvl w:val="1"/>
          <w:numId w:val="1"/>
        </w:numPr>
        <w:spacing w:after="120"/>
        <w:ind w:left="9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Regarding the aspect of </w:t>
      </w:r>
      <w:r w:rsidRPr="00AF3011">
        <w:rPr>
          <w:rFonts w:ascii="Times New Roman" w:hAnsi="Times New Roman"/>
          <w:b/>
          <w:szCs w:val="24"/>
        </w:rPr>
        <w:t xml:space="preserve">point </w:t>
      </w:r>
      <w:r>
        <w:rPr>
          <w:rFonts w:ascii="Times New Roman" w:hAnsi="Times New Roman"/>
          <w:b/>
          <w:szCs w:val="24"/>
        </w:rPr>
        <w:t xml:space="preserve">5 </w:t>
      </w:r>
      <w:r w:rsidRPr="00214379">
        <w:rPr>
          <w:rFonts w:ascii="Times New Roman" w:hAnsi="Times New Roman"/>
          <w:szCs w:val="24"/>
        </w:rPr>
        <w:t>concerning two lead pigments</w:t>
      </w:r>
      <w:r>
        <w:rPr>
          <w:rFonts w:ascii="Times New Roman" w:hAnsi="Times New Roman"/>
          <w:szCs w:val="24"/>
        </w:rPr>
        <w:t xml:space="preserve"> used in PVC</w:t>
      </w:r>
      <w:r w:rsidRPr="00214379">
        <w:rPr>
          <w:rFonts w:ascii="Times New Roman" w:hAnsi="Times New Roman"/>
          <w:szCs w:val="24"/>
        </w:rPr>
        <w:t xml:space="preserve">, as </w:t>
      </w:r>
      <w:r>
        <w:rPr>
          <w:rFonts w:ascii="Times New Roman" w:hAnsi="Times New Roman"/>
          <w:szCs w:val="24"/>
        </w:rPr>
        <w:t>outlined</w:t>
      </w:r>
      <w:r w:rsidRPr="00E07567">
        <w:rPr>
          <w:rFonts w:ascii="Times New Roman" w:hAnsi="Times New Roman"/>
          <w:szCs w:val="24"/>
        </w:rPr>
        <w:t xml:space="preserve"> in </w:t>
      </w:r>
      <w:r w:rsidRPr="00A1160A">
        <w:rPr>
          <w:rFonts w:ascii="Times New Roman" w:hAnsi="Times New Roman"/>
          <w:b/>
          <w:szCs w:val="24"/>
        </w:rPr>
        <w:t>recital</w:t>
      </w:r>
      <w:r>
        <w:rPr>
          <w:rFonts w:ascii="Times New Roman" w:hAnsi="Times New Roman"/>
          <w:b/>
          <w:szCs w:val="24"/>
        </w:rPr>
        <w:t xml:space="preserve"> </w:t>
      </w:r>
      <w:r w:rsidRPr="00A1160A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szCs w:val="24"/>
        </w:rPr>
        <w:t>J</w:t>
      </w:r>
      <w:r>
        <w:rPr>
          <w:rFonts w:ascii="Times New Roman" w:hAnsi="Times New Roman"/>
          <w:szCs w:val="24"/>
        </w:rPr>
        <w:t>, t</w:t>
      </w:r>
      <w:r w:rsidRPr="002738B9">
        <w:rPr>
          <w:rFonts w:ascii="Times New Roman" w:hAnsi="Times New Roman"/>
          <w:szCs w:val="24"/>
        </w:rPr>
        <w:t xml:space="preserve">he General Court’s judgment in T-837/16 annulling the authorisation for those pigments </w:t>
      </w:r>
      <w:proofErr w:type="gramStart"/>
      <w:r w:rsidRPr="002738B9">
        <w:rPr>
          <w:rFonts w:ascii="Times New Roman" w:hAnsi="Times New Roman"/>
          <w:szCs w:val="24"/>
        </w:rPr>
        <w:t>has been appealed</w:t>
      </w:r>
      <w:proofErr w:type="gramEnd"/>
      <w:r w:rsidRPr="002738B9">
        <w:rPr>
          <w:rFonts w:ascii="Times New Roman" w:hAnsi="Times New Roman"/>
          <w:szCs w:val="24"/>
        </w:rPr>
        <w:t xml:space="preserve"> by the Commission (</w:t>
      </w:r>
      <w:r>
        <w:rPr>
          <w:rFonts w:ascii="Times New Roman" w:hAnsi="Times New Roman"/>
          <w:szCs w:val="24"/>
        </w:rPr>
        <w:t>C</w:t>
      </w:r>
      <w:r w:rsidRPr="002738B9">
        <w:rPr>
          <w:rFonts w:ascii="Times New Roman" w:hAnsi="Times New Roman"/>
          <w:szCs w:val="24"/>
        </w:rPr>
        <w:t>ase C-389/19 P) and is thus not final</w:t>
      </w:r>
      <w:r>
        <w:rPr>
          <w:rFonts w:ascii="Times New Roman" w:hAnsi="Times New Roman"/>
          <w:szCs w:val="24"/>
        </w:rPr>
        <w:t>. M</w:t>
      </w:r>
      <w:r w:rsidRPr="002738B9">
        <w:rPr>
          <w:rFonts w:ascii="Times New Roman" w:hAnsi="Times New Roman"/>
          <w:szCs w:val="24"/>
        </w:rPr>
        <w:t xml:space="preserve">oreover, by Order of the Vice-President of the </w:t>
      </w:r>
      <w:r w:rsidRPr="002738B9">
        <w:rPr>
          <w:rFonts w:ascii="Times New Roman" w:hAnsi="Times New Roman"/>
          <w:szCs w:val="24"/>
        </w:rPr>
        <w:lastRenderedPageBreak/>
        <w:t xml:space="preserve">Court of Justice of 21 November 2019 (in C-389/19 P-R), the judgment of the General Court in T-837/16 </w:t>
      </w:r>
      <w:proofErr w:type="gramStart"/>
      <w:r w:rsidRPr="002738B9">
        <w:rPr>
          <w:rFonts w:ascii="Times New Roman" w:hAnsi="Times New Roman"/>
          <w:szCs w:val="24"/>
        </w:rPr>
        <w:t>has been suspended</w:t>
      </w:r>
      <w:proofErr w:type="gramEnd"/>
      <w:r w:rsidRPr="002738B9">
        <w:rPr>
          <w:rFonts w:ascii="Times New Roman" w:hAnsi="Times New Roman"/>
          <w:szCs w:val="24"/>
        </w:rPr>
        <w:t xml:space="preserve"> pending the final decision of the Court of Justice</w:t>
      </w:r>
      <w:r>
        <w:rPr>
          <w:rFonts w:ascii="Times New Roman" w:hAnsi="Times New Roman"/>
          <w:szCs w:val="24"/>
        </w:rPr>
        <w:t>.</w:t>
      </w:r>
    </w:p>
    <w:p w:rsidR="001349F3" w:rsidRDefault="001349F3" w:rsidP="001349F3">
      <w:pPr>
        <w:numPr>
          <w:ilvl w:val="1"/>
          <w:numId w:val="1"/>
        </w:numPr>
        <w:spacing w:after="120"/>
        <w:ind w:left="9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Regarding </w:t>
      </w:r>
      <w:r w:rsidRPr="00AF3011">
        <w:rPr>
          <w:rFonts w:ascii="Times New Roman" w:hAnsi="Times New Roman"/>
          <w:b/>
          <w:szCs w:val="24"/>
        </w:rPr>
        <w:t xml:space="preserve">point </w:t>
      </w:r>
      <w:r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szCs w:val="24"/>
        </w:rPr>
        <w:t xml:space="preserve">, it is ECHA’s standard practice to recommend </w:t>
      </w:r>
      <w:r w:rsidRPr="002738B9">
        <w:rPr>
          <w:rFonts w:ascii="Times New Roman" w:hAnsi="Times New Roman"/>
          <w:szCs w:val="24"/>
        </w:rPr>
        <w:t xml:space="preserve">a transitional period for economic operators </w:t>
      </w:r>
      <w:r>
        <w:rPr>
          <w:rFonts w:ascii="Times New Roman" w:hAnsi="Times New Roman"/>
          <w:szCs w:val="24"/>
        </w:rPr>
        <w:t>in order to mitigate the socio-economic impacts of the proposed restriction. I</w:t>
      </w:r>
      <w:r w:rsidRPr="002738B9">
        <w:rPr>
          <w:rFonts w:ascii="Times New Roman" w:hAnsi="Times New Roman"/>
          <w:szCs w:val="24"/>
        </w:rPr>
        <w:t xml:space="preserve">n particular, due to the size of the PVC market, </w:t>
      </w:r>
      <w:r>
        <w:rPr>
          <w:rFonts w:ascii="Times New Roman" w:hAnsi="Times New Roman"/>
          <w:szCs w:val="24"/>
        </w:rPr>
        <w:t xml:space="preserve">ECHA considered that </w:t>
      </w:r>
      <w:r w:rsidRPr="002738B9">
        <w:rPr>
          <w:rFonts w:ascii="Times New Roman" w:hAnsi="Times New Roman"/>
          <w:szCs w:val="24"/>
        </w:rPr>
        <w:t>24 months are necessary to allow economic operators to adapt to the new requirements and communicate relevant information on the restriction within their supply chains.</w:t>
      </w:r>
    </w:p>
    <w:p w:rsidR="001349F3" w:rsidRPr="0030699D" w:rsidRDefault="001349F3" w:rsidP="001349F3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Concerning the next steps, t</w:t>
      </w:r>
      <w:r w:rsidRPr="0030699D">
        <w:rPr>
          <w:rFonts w:ascii="Times New Roman" w:hAnsi="Times New Roman"/>
          <w:szCs w:val="24"/>
        </w:rPr>
        <w:t xml:space="preserve">he Commission is assessing </w:t>
      </w:r>
      <w:r>
        <w:rPr>
          <w:rFonts w:ascii="Times New Roman" w:hAnsi="Times New Roman"/>
          <w:szCs w:val="24"/>
        </w:rPr>
        <w:t>its</w:t>
      </w:r>
      <w:r w:rsidRPr="0030699D">
        <w:rPr>
          <w:rFonts w:ascii="Times New Roman" w:hAnsi="Times New Roman"/>
          <w:szCs w:val="24"/>
        </w:rPr>
        <w:t xml:space="preserve"> options </w:t>
      </w:r>
      <w:r>
        <w:rPr>
          <w:rFonts w:ascii="Times New Roman" w:hAnsi="Times New Roman"/>
          <w:szCs w:val="24"/>
        </w:rPr>
        <w:t xml:space="preserve">according to the </w:t>
      </w:r>
      <w:r w:rsidRPr="00541052">
        <w:rPr>
          <w:rFonts w:ascii="Times New Roman" w:hAnsi="Times New Roman"/>
          <w:szCs w:val="24"/>
        </w:rPr>
        <w:t>regulatory procedure with scrutiny</w:t>
      </w:r>
      <w:r>
        <w:rPr>
          <w:rFonts w:ascii="Times New Roman" w:hAnsi="Times New Roman"/>
          <w:szCs w:val="24"/>
        </w:rPr>
        <w:t xml:space="preserve"> </w:t>
      </w:r>
      <w:r w:rsidRPr="0030699D">
        <w:rPr>
          <w:rFonts w:ascii="Times New Roman" w:hAnsi="Times New Roman"/>
          <w:szCs w:val="24"/>
        </w:rPr>
        <w:t>and wi</w:t>
      </w:r>
      <w:r>
        <w:rPr>
          <w:rFonts w:ascii="Times New Roman" w:hAnsi="Times New Roman"/>
          <w:szCs w:val="24"/>
        </w:rPr>
        <w:t>ll take a decision in due time.</w:t>
      </w:r>
    </w:p>
    <w:sectPr w:rsidR="001349F3" w:rsidRPr="0030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F265C"/>
    <w:multiLevelType w:val="hybridMultilevel"/>
    <w:tmpl w:val="0908B0EA"/>
    <w:lvl w:ilvl="0" w:tplc="41085656">
      <w:start w:val="1"/>
      <w:numFmt w:val="decimal"/>
      <w:lvlText w:val="%1."/>
      <w:lvlJc w:val="left"/>
      <w:pPr>
        <w:ind w:left="862" w:hanging="72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F3"/>
    <w:rsid w:val="00013C39"/>
    <w:rsid w:val="00071A36"/>
    <w:rsid w:val="000D74B8"/>
    <w:rsid w:val="001020EF"/>
    <w:rsid w:val="001174E8"/>
    <w:rsid w:val="001349F3"/>
    <w:rsid w:val="001513A8"/>
    <w:rsid w:val="0020195F"/>
    <w:rsid w:val="0021077F"/>
    <w:rsid w:val="00234D47"/>
    <w:rsid w:val="00346FB9"/>
    <w:rsid w:val="003A1684"/>
    <w:rsid w:val="004B0F78"/>
    <w:rsid w:val="0059036B"/>
    <w:rsid w:val="005A15A0"/>
    <w:rsid w:val="005F6F65"/>
    <w:rsid w:val="0062336A"/>
    <w:rsid w:val="006553ED"/>
    <w:rsid w:val="006D1DE3"/>
    <w:rsid w:val="007552A6"/>
    <w:rsid w:val="00773E4C"/>
    <w:rsid w:val="007C550F"/>
    <w:rsid w:val="0080584E"/>
    <w:rsid w:val="00836884"/>
    <w:rsid w:val="008405AB"/>
    <w:rsid w:val="00865B95"/>
    <w:rsid w:val="008A0CA6"/>
    <w:rsid w:val="008A411C"/>
    <w:rsid w:val="008D0021"/>
    <w:rsid w:val="008D013B"/>
    <w:rsid w:val="009C3030"/>
    <w:rsid w:val="009F7F09"/>
    <w:rsid w:val="00AB6A06"/>
    <w:rsid w:val="00AC1160"/>
    <w:rsid w:val="00B07DE8"/>
    <w:rsid w:val="00B51681"/>
    <w:rsid w:val="00BB1490"/>
    <w:rsid w:val="00C25DA3"/>
    <w:rsid w:val="00C31553"/>
    <w:rsid w:val="00C35640"/>
    <w:rsid w:val="00C439F4"/>
    <w:rsid w:val="00CE3707"/>
    <w:rsid w:val="00D15885"/>
    <w:rsid w:val="00DD709B"/>
    <w:rsid w:val="00DF4C9B"/>
    <w:rsid w:val="00E8297B"/>
    <w:rsid w:val="00EA51AA"/>
    <w:rsid w:val="00EE214F"/>
    <w:rsid w:val="00F00A73"/>
    <w:rsid w:val="00F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88EF"/>
  <w15:chartTrackingRefBased/>
  <w15:docId w15:val="{3D6735FA-EC0A-48BC-BEAF-6314ED85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9F3"/>
    <w:pPr>
      <w:spacing w:after="24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nclusion de partie,Dot pt,No Spacing1,List Paragraph Char Char Char,Indicator Text,Numbered Para 1,List Paragraph1,Bullet Points,MAIN CONTENT,List Paragraph12,List Paragraph11,OBC Bullet,F5 List Paragraph,L,2"/>
    <w:basedOn w:val="Normal"/>
    <w:link w:val="ListParagraphChar"/>
    <w:uiPriority w:val="34"/>
    <w:qFormat/>
    <w:rsid w:val="001349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Conclusion de partie Char,Dot pt Char,No Spacing1 Char,List Paragraph Char Char Char Char,Indicator Text Char,Numbered Para 1 Char,List Paragraph1 Char,Bullet Points Char,MAIN CONTENT Char,List Paragraph12 Char,List Paragraph11 Char"/>
    <w:link w:val="ListParagraph"/>
    <w:uiPriority w:val="34"/>
    <w:qFormat/>
    <w:locked/>
    <w:rsid w:val="001349F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5619</Characters>
  <Application>Microsoft Office Word</Application>
  <DocSecurity>0</DocSecurity>
  <Lines>95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ALMEIDA Maria Jose (SG)</dc:creator>
  <cp:keywords/>
  <dc:description/>
  <cp:lastModifiedBy>ALMEIDA Maria Jose (SG)</cp:lastModifiedBy>
  <cp:revision>3</cp:revision>
  <dcterms:created xsi:type="dcterms:W3CDTF">2020-06-02T14:49:00Z</dcterms:created>
  <dcterms:modified xsi:type="dcterms:W3CDTF">2020-06-02T15:13:00Z</dcterms:modified>
</cp:coreProperties>
</file>