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A6E" w:rsidRPr="00451874" w:rsidRDefault="00306A6E" w:rsidP="00306A6E">
      <w:pPr>
        <w:spacing w:after="600"/>
        <w:jc w:val="center"/>
        <w:rPr>
          <w:rFonts w:ascii="Times New Roman" w:hAnsi="Times New Roman"/>
          <w:b/>
          <w:bCs/>
          <w:szCs w:val="24"/>
        </w:rPr>
      </w:pPr>
      <w:r w:rsidRPr="008E4D43">
        <w:rPr>
          <w:rFonts w:ascii="Times New Roman" w:hAnsi="Times New Roman"/>
          <w:b/>
          <w:bCs/>
          <w:szCs w:val="24"/>
        </w:rPr>
        <w:t xml:space="preserve">Follow up to the </w:t>
      </w:r>
      <w:r w:rsidRPr="008E4D43">
        <w:rPr>
          <w:rFonts w:ascii="Times New Roman" w:hAnsi="Times New Roman"/>
          <w:b/>
          <w:szCs w:val="24"/>
        </w:rPr>
        <w:t>European Parliament non-legislative resolution</w:t>
      </w:r>
      <w:r w:rsidRPr="008E4D43">
        <w:rPr>
          <w:rFonts w:ascii="Times New Roman" w:hAnsi="Times New Roman"/>
          <w:noProof/>
          <w:szCs w:val="24"/>
        </w:rPr>
        <w:t xml:space="preserve"> </w:t>
      </w:r>
      <w:r w:rsidRPr="004C39AB">
        <w:rPr>
          <w:rFonts w:ascii="Times New Roman" w:hAnsi="Times New Roman"/>
          <w:b/>
          <w:bCs/>
          <w:szCs w:val="24"/>
        </w:rPr>
        <w:t>on</w:t>
      </w:r>
      <w:r>
        <w:rPr>
          <w:rFonts w:ascii="Times New Roman" w:hAnsi="Times New Roman"/>
          <w:b/>
          <w:bCs/>
          <w:szCs w:val="24"/>
        </w:rPr>
        <w:t xml:space="preserve"> </w:t>
      </w:r>
      <w:r w:rsidRPr="00451874">
        <w:rPr>
          <w:rFonts w:ascii="Times New Roman" w:hAnsi="Times New Roman"/>
          <w:b/>
          <w:bCs/>
          <w:szCs w:val="24"/>
        </w:rPr>
        <w:t>ongoing hearings under Article 7(1) of the TEU regarding Poland and Hungary</w:t>
      </w:r>
    </w:p>
    <w:p w:rsidR="00306A6E" w:rsidRDefault="00306A6E" w:rsidP="00306A6E">
      <w:pPr>
        <w:numPr>
          <w:ilvl w:val="0"/>
          <w:numId w:val="1"/>
        </w:numPr>
        <w:ind w:left="567" w:hanging="567"/>
        <w:rPr>
          <w:rFonts w:ascii="Times New Roman" w:hAnsi="Times New Roman"/>
          <w:b/>
          <w:szCs w:val="24"/>
        </w:rPr>
      </w:pPr>
      <w:r>
        <w:rPr>
          <w:rFonts w:ascii="Times New Roman" w:hAnsi="Times New Roman"/>
          <w:b/>
          <w:szCs w:val="24"/>
        </w:rPr>
        <w:t>Resolution tabled pursuant to Rule 132(2) of the European Parliament's Rules of procedure</w:t>
      </w:r>
    </w:p>
    <w:p w:rsidR="00306A6E" w:rsidRPr="001F704A" w:rsidRDefault="00306A6E" w:rsidP="00306A6E">
      <w:pPr>
        <w:numPr>
          <w:ilvl w:val="0"/>
          <w:numId w:val="1"/>
        </w:numPr>
        <w:ind w:left="567" w:hanging="567"/>
        <w:rPr>
          <w:rFonts w:ascii="Times New Roman" w:hAnsi="Times New Roman"/>
          <w:i/>
          <w:szCs w:val="24"/>
        </w:rPr>
      </w:pPr>
      <w:r w:rsidRPr="001F704A">
        <w:rPr>
          <w:rFonts w:ascii="Times New Roman" w:hAnsi="Times New Roman"/>
          <w:b/>
          <w:szCs w:val="24"/>
        </w:rPr>
        <w:t xml:space="preserve">Reference numbers: </w:t>
      </w:r>
      <w:r w:rsidRPr="001F704A">
        <w:rPr>
          <w:rFonts w:ascii="Times New Roman" w:hAnsi="Times New Roman"/>
          <w:szCs w:val="24"/>
        </w:rPr>
        <w:t>20</w:t>
      </w:r>
      <w:r>
        <w:rPr>
          <w:rFonts w:ascii="Times New Roman" w:hAnsi="Times New Roman"/>
          <w:szCs w:val="24"/>
        </w:rPr>
        <w:t>20</w:t>
      </w:r>
      <w:r w:rsidRPr="001F704A">
        <w:rPr>
          <w:rFonts w:ascii="Times New Roman" w:hAnsi="Times New Roman"/>
          <w:szCs w:val="24"/>
        </w:rPr>
        <w:t>/2</w:t>
      </w:r>
      <w:r>
        <w:rPr>
          <w:rFonts w:ascii="Times New Roman" w:hAnsi="Times New Roman"/>
          <w:szCs w:val="24"/>
        </w:rPr>
        <w:t>513</w:t>
      </w:r>
      <w:r w:rsidRPr="001F704A">
        <w:rPr>
          <w:rFonts w:ascii="Times New Roman" w:hAnsi="Times New Roman"/>
          <w:szCs w:val="24"/>
        </w:rPr>
        <w:t>(RSP) / B9-0</w:t>
      </w:r>
      <w:r>
        <w:rPr>
          <w:rFonts w:ascii="Times New Roman" w:hAnsi="Times New Roman"/>
          <w:szCs w:val="24"/>
        </w:rPr>
        <w:t>032</w:t>
      </w:r>
      <w:r w:rsidRPr="001F704A">
        <w:rPr>
          <w:rFonts w:ascii="Times New Roman" w:hAnsi="Times New Roman"/>
          <w:szCs w:val="24"/>
        </w:rPr>
        <w:t>/20</w:t>
      </w:r>
      <w:r>
        <w:rPr>
          <w:rFonts w:ascii="Times New Roman" w:hAnsi="Times New Roman"/>
          <w:szCs w:val="24"/>
        </w:rPr>
        <w:t>20</w:t>
      </w:r>
      <w:r w:rsidRPr="001F704A">
        <w:rPr>
          <w:rFonts w:ascii="Times New Roman" w:hAnsi="Times New Roman"/>
          <w:szCs w:val="24"/>
        </w:rPr>
        <w:t xml:space="preserve"> / P9_TA-PROV(20</w:t>
      </w:r>
      <w:r>
        <w:rPr>
          <w:rFonts w:ascii="Times New Roman" w:hAnsi="Times New Roman"/>
          <w:szCs w:val="24"/>
        </w:rPr>
        <w:t>20</w:t>
      </w:r>
      <w:r w:rsidRPr="001F704A">
        <w:rPr>
          <w:rFonts w:ascii="Times New Roman" w:hAnsi="Times New Roman"/>
          <w:szCs w:val="24"/>
        </w:rPr>
        <w:t>)0</w:t>
      </w:r>
      <w:r>
        <w:rPr>
          <w:rFonts w:ascii="Times New Roman" w:hAnsi="Times New Roman"/>
          <w:szCs w:val="24"/>
        </w:rPr>
        <w:t>014</w:t>
      </w:r>
    </w:p>
    <w:p w:rsidR="00306A6E" w:rsidRPr="00934324" w:rsidRDefault="00306A6E" w:rsidP="00306A6E">
      <w:pPr>
        <w:numPr>
          <w:ilvl w:val="0"/>
          <w:numId w:val="1"/>
        </w:numPr>
        <w:ind w:left="567" w:hanging="567"/>
        <w:rPr>
          <w:rFonts w:ascii="Times New Roman" w:hAnsi="Times New Roman"/>
          <w:szCs w:val="24"/>
        </w:rPr>
      </w:pPr>
      <w:r>
        <w:rPr>
          <w:rFonts w:ascii="Times New Roman" w:hAnsi="Times New Roman"/>
          <w:b/>
          <w:szCs w:val="24"/>
        </w:rPr>
        <w:t>Date of adoption of the resolution:</w:t>
      </w:r>
      <w:r w:rsidRPr="001F704A">
        <w:rPr>
          <w:rFonts w:ascii="Times New Roman" w:hAnsi="Times New Roman"/>
          <w:szCs w:val="24"/>
        </w:rPr>
        <w:t xml:space="preserve"> 1</w:t>
      </w:r>
      <w:r>
        <w:rPr>
          <w:rFonts w:ascii="Times New Roman" w:hAnsi="Times New Roman"/>
          <w:szCs w:val="24"/>
        </w:rPr>
        <w:t>6 January 2020</w:t>
      </w:r>
    </w:p>
    <w:p w:rsidR="00306A6E" w:rsidRDefault="00306A6E" w:rsidP="00306A6E">
      <w:pPr>
        <w:pStyle w:val="ListParagraph"/>
        <w:numPr>
          <w:ilvl w:val="0"/>
          <w:numId w:val="1"/>
        </w:numPr>
        <w:spacing w:after="240"/>
        <w:ind w:left="567" w:hanging="567"/>
        <w:jc w:val="both"/>
        <w:rPr>
          <w:rFonts w:ascii="Times New Roman" w:hAnsi="Times New Roman"/>
          <w:sz w:val="24"/>
          <w:szCs w:val="24"/>
          <w:lang w:val="en-GB"/>
        </w:rPr>
      </w:pPr>
      <w:r>
        <w:rPr>
          <w:rFonts w:ascii="Times New Roman" w:hAnsi="Times New Roman"/>
          <w:b/>
          <w:sz w:val="24"/>
          <w:szCs w:val="24"/>
          <w:lang w:val="en-GB"/>
        </w:rPr>
        <w:t>Competent Parliamentary Committee:</w:t>
      </w:r>
      <w:r>
        <w:rPr>
          <w:rFonts w:ascii="Times New Roman" w:hAnsi="Times New Roman"/>
          <w:sz w:val="24"/>
          <w:szCs w:val="24"/>
          <w:lang w:val="en-GB"/>
        </w:rPr>
        <w:t xml:space="preserve"> N/A</w:t>
      </w:r>
    </w:p>
    <w:p w:rsidR="00306A6E" w:rsidRDefault="00306A6E" w:rsidP="00306A6E">
      <w:pPr>
        <w:widowControl w:val="0"/>
        <w:numPr>
          <w:ilvl w:val="0"/>
          <w:numId w:val="1"/>
        </w:numPr>
        <w:ind w:left="567" w:hanging="567"/>
        <w:rPr>
          <w:rFonts w:ascii="Times New Roman" w:hAnsi="Times New Roman"/>
          <w:szCs w:val="24"/>
        </w:rPr>
      </w:pPr>
      <w:r>
        <w:rPr>
          <w:rFonts w:ascii="Times New Roman" w:hAnsi="Times New Roman"/>
          <w:b/>
          <w:szCs w:val="24"/>
        </w:rPr>
        <w:t>Brief analysis/assessment of the resolution and requests made in it:</w:t>
      </w:r>
    </w:p>
    <w:p w:rsidR="00306A6E" w:rsidRPr="00251A7E" w:rsidRDefault="00306A6E" w:rsidP="00306A6E">
      <w:pPr>
        <w:spacing w:after="120"/>
        <w:rPr>
          <w:rFonts w:ascii="Times New Roman" w:hAnsi="Times New Roman"/>
          <w:szCs w:val="24"/>
        </w:rPr>
      </w:pPr>
      <w:r w:rsidRPr="00251A7E">
        <w:rPr>
          <w:rFonts w:ascii="Times New Roman" w:hAnsi="Times New Roman"/>
          <w:szCs w:val="24"/>
        </w:rPr>
        <w:t>The</w:t>
      </w:r>
      <w:r>
        <w:rPr>
          <w:rFonts w:ascii="Times New Roman" w:hAnsi="Times New Roman"/>
          <w:szCs w:val="24"/>
        </w:rPr>
        <w:t xml:space="preserve"> European</w:t>
      </w:r>
      <w:r w:rsidRPr="00251A7E">
        <w:rPr>
          <w:rFonts w:ascii="Times New Roman" w:hAnsi="Times New Roman"/>
          <w:szCs w:val="24"/>
        </w:rPr>
        <w:t xml:space="preserve"> Parliament call</w:t>
      </w:r>
      <w:r>
        <w:rPr>
          <w:rFonts w:ascii="Times New Roman" w:hAnsi="Times New Roman"/>
          <w:szCs w:val="24"/>
        </w:rPr>
        <w:t>s</w:t>
      </w:r>
      <w:r w:rsidRPr="00251A7E">
        <w:rPr>
          <w:rFonts w:ascii="Times New Roman" w:hAnsi="Times New Roman"/>
          <w:szCs w:val="24"/>
        </w:rPr>
        <w:t xml:space="preserve"> on the Commission to make full use of the tools available to address a clear risk of a serious breach by Poland and Hungary of the values on which the Union is founded, in particular expedited infringement procedures and applications for interim measu</w:t>
      </w:r>
      <w:r>
        <w:rPr>
          <w:rFonts w:ascii="Times New Roman" w:hAnsi="Times New Roman"/>
          <w:szCs w:val="24"/>
        </w:rPr>
        <w:t>res before the Court of Justice.</w:t>
      </w:r>
    </w:p>
    <w:p w:rsidR="00306A6E" w:rsidRPr="00251A7E" w:rsidRDefault="00306A6E" w:rsidP="00306A6E">
      <w:pPr>
        <w:spacing w:after="120"/>
        <w:rPr>
          <w:rFonts w:ascii="Times New Roman" w:hAnsi="Times New Roman"/>
          <w:szCs w:val="24"/>
        </w:rPr>
      </w:pPr>
      <w:r w:rsidRPr="009A7AA5">
        <w:rPr>
          <w:rFonts w:ascii="Times New Roman" w:hAnsi="Times New Roman"/>
          <w:szCs w:val="24"/>
        </w:rPr>
        <w:t>The European Parliament further call</w:t>
      </w:r>
      <w:r>
        <w:rPr>
          <w:rFonts w:ascii="Times New Roman" w:hAnsi="Times New Roman"/>
          <w:szCs w:val="24"/>
        </w:rPr>
        <w:t>s</w:t>
      </w:r>
      <w:r w:rsidRPr="009A7AA5">
        <w:rPr>
          <w:rFonts w:ascii="Times New Roman" w:hAnsi="Times New Roman"/>
          <w:szCs w:val="24"/>
        </w:rPr>
        <w:t xml:space="preserve"> on the Commission and the Council to</w:t>
      </w:r>
      <w:r w:rsidRPr="00E463C3">
        <w:rPr>
          <w:rFonts w:ascii="Times New Roman" w:hAnsi="Times New Roman"/>
          <w:szCs w:val="24"/>
        </w:rPr>
        <w:t xml:space="preserve"> enter without delay into negotiations with </w:t>
      </w:r>
      <w:r>
        <w:rPr>
          <w:rFonts w:ascii="Times New Roman" w:hAnsi="Times New Roman"/>
          <w:szCs w:val="24"/>
        </w:rPr>
        <w:t xml:space="preserve">the </w:t>
      </w:r>
      <w:r w:rsidRPr="00E463C3">
        <w:rPr>
          <w:rFonts w:ascii="Times New Roman" w:hAnsi="Times New Roman"/>
          <w:szCs w:val="24"/>
        </w:rPr>
        <w:t xml:space="preserve">Parliament on the </w:t>
      </w:r>
      <w:proofErr w:type="spellStart"/>
      <w:r w:rsidRPr="00E463C3">
        <w:rPr>
          <w:rFonts w:ascii="Times New Roman" w:hAnsi="Times New Roman"/>
          <w:szCs w:val="24"/>
        </w:rPr>
        <w:t>interinstitutional</w:t>
      </w:r>
      <w:proofErr w:type="spellEnd"/>
      <w:r w:rsidRPr="00E463C3">
        <w:rPr>
          <w:rFonts w:ascii="Times New Roman" w:hAnsi="Times New Roman"/>
          <w:szCs w:val="24"/>
        </w:rPr>
        <w:t xml:space="preserve"> agreement in accordance with Article 295</w:t>
      </w:r>
      <w:r>
        <w:rPr>
          <w:rFonts w:ascii="Times New Roman" w:hAnsi="Times New Roman"/>
          <w:szCs w:val="24"/>
        </w:rPr>
        <w:t xml:space="preserve"> of the</w:t>
      </w:r>
      <w:r w:rsidRPr="00E463C3">
        <w:rPr>
          <w:rFonts w:ascii="Times New Roman" w:hAnsi="Times New Roman"/>
          <w:szCs w:val="24"/>
        </w:rPr>
        <w:t xml:space="preserve"> T</w:t>
      </w:r>
      <w:r>
        <w:rPr>
          <w:rFonts w:ascii="Times New Roman" w:hAnsi="Times New Roman"/>
          <w:szCs w:val="24"/>
        </w:rPr>
        <w:t xml:space="preserve">reaty on the </w:t>
      </w:r>
      <w:r w:rsidRPr="00E463C3">
        <w:rPr>
          <w:rFonts w:ascii="Times New Roman" w:hAnsi="Times New Roman"/>
          <w:szCs w:val="24"/>
        </w:rPr>
        <w:t>F</w:t>
      </w:r>
      <w:r>
        <w:rPr>
          <w:rFonts w:ascii="Times New Roman" w:hAnsi="Times New Roman"/>
          <w:szCs w:val="24"/>
        </w:rPr>
        <w:t xml:space="preserve">unctioning of the </w:t>
      </w:r>
      <w:r w:rsidRPr="00E463C3">
        <w:rPr>
          <w:rFonts w:ascii="Times New Roman" w:hAnsi="Times New Roman"/>
          <w:szCs w:val="24"/>
        </w:rPr>
        <w:t>E</w:t>
      </w:r>
      <w:r>
        <w:rPr>
          <w:rFonts w:ascii="Times New Roman" w:hAnsi="Times New Roman"/>
          <w:szCs w:val="24"/>
        </w:rPr>
        <w:t xml:space="preserve">uropean </w:t>
      </w:r>
      <w:r w:rsidRPr="00E463C3">
        <w:rPr>
          <w:rFonts w:ascii="Times New Roman" w:hAnsi="Times New Roman"/>
          <w:szCs w:val="24"/>
        </w:rPr>
        <w:t>U</w:t>
      </w:r>
      <w:r>
        <w:rPr>
          <w:rFonts w:ascii="Times New Roman" w:hAnsi="Times New Roman"/>
          <w:szCs w:val="24"/>
        </w:rPr>
        <w:t>nion</w:t>
      </w:r>
      <w:r w:rsidRPr="00E463C3">
        <w:rPr>
          <w:rFonts w:ascii="Times New Roman" w:hAnsi="Times New Roman"/>
          <w:szCs w:val="24"/>
        </w:rPr>
        <w:t xml:space="preserve"> with a view to establishing an EU mechanism on democracy, the rule of law and fundamental rights (DRF)</w:t>
      </w:r>
      <w:r>
        <w:rPr>
          <w:rFonts w:ascii="Times New Roman" w:hAnsi="Times New Roman"/>
          <w:szCs w:val="24"/>
        </w:rPr>
        <w:t xml:space="preserve">. It would </w:t>
      </w:r>
      <w:r w:rsidRPr="00E463C3">
        <w:rPr>
          <w:rFonts w:ascii="Times New Roman" w:hAnsi="Times New Roman"/>
          <w:szCs w:val="24"/>
        </w:rPr>
        <w:t>consist of an annual independent, evidence-based, non-discriminatory review assess</w:t>
      </w:r>
      <w:r>
        <w:rPr>
          <w:rFonts w:ascii="Times New Roman" w:hAnsi="Times New Roman"/>
          <w:szCs w:val="24"/>
        </w:rPr>
        <w:t>ing</w:t>
      </w:r>
      <w:r w:rsidRPr="00E463C3">
        <w:rPr>
          <w:rFonts w:ascii="Times New Roman" w:hAnsi="Times New Roman"/>
          <w:szCs w:val="24"/>
        </w:rPr>
        <w:t xml:space="preserve">, on an equal footing, the compliance of all EU Member States with the values stipulated in Article 2 </w:t>
      </w:r>
      <w:r>
        <w:rPr>
          <w:rFonts w:ascii="Times New Roman" w:hAnsi="Times New Roman"/>
          <w:szCs w:val="24"/>
        </w:rPr>
        <w:t xml:space="preserve">of the </w:t>
      </w:r>
      <w:r w:rsidRPr="00E463C3">
        <w:rPr>
          <w:rFonts w:ascii="Times New Roman" w:hAnsi="Times New Roman"/>
          <w:szCs w:val="24"/>
        </w:rPr>
        <w:t>T</w:t>
      </w:r>
      <w:r>
        <w:rPr>
          <w:rFonts w:ascii="Times New Roman" w:hAnsi="Times New Roman"/>
          <w:szCs w:val="24"/>
        </w:rPr>
        <w:t xml:space="preserve">reaty on </w:t>
      </w:r>
      <w:r w:rsidRPr="00E463C3">
        <w:rPr>
          <w:rFonts w:ascii="Times New Roman" w:hAnsi="Times New Roman"/>
          <w:szCs w:val="24"/>
        </w:rPr>
        <w:t>E</w:t>
      </w:r>
      <w:r>
        <w:rPr>
          <w:rFonts w:ascii="Times New Roman" w:hAnsi="Times New Roman"/>
          <w:szCs w:val="24"/>
        </w:rPr>
        <w:t xml:space="preserve">uropean </w:t>
      </w:r>
      <w:r w:rsidRPr="00E463C3">
        <w:rPr>
          <w:rFonts w:ascii="Times New Roman" w:hAnsi="Times New Roman"/>
          <w:szCs w:val="24"/>
        </w:rPr>
        <w:t>U</w:t>
      </w:r>
      <w:r>
        <w:rPr>
          <w:rFonts w:ascii="Times New Roman" w:hAnsi="Times New Roman"/>
          <w:szCs w:val="24"/>
        </w:rPr>
        <w:t>nion (TEU)</w:t>
      </w:r>
      <w:r w:rsidRPr="00E463C3">
        <w:rPr>
          <w:rFonts w:ascii="Times New Roman" w:hAnsi="Times New Roman"/>
          <w:szCs w:val="24"/>
        </w:rPr>
        <w:t xml:space="preserve"> and </w:t>
      </w:r>
      <w:r>
        <w:rPr>
          <w:rFonts w:ascii="Times New Roman" w:hAnsi="Times New Roman"/>
          <w:szCs w:val="24"/>
        </w:rPr>
        <w:t>including</w:t>
      </w:r>
      <w:r w:rsidRPr="00E463C3">
        <w:rPr>
          <w:rFonts w:ascii="Times New Roman" w:hAnsi="Times New Roman"/>
          <w:szCs w:val="24"/>
        </w:rPr>
        <w:t xml:space="preserve"> country-specific recommendations, to </w:t>
      </w:r>
      <w:proofErr w:type="gramStart"/>
      <w:r w:rsidRPr="00E463C3">
        <w:rPr>
          <w:rFonts w:ascii="Times New Roman" w:hAnsi="Times New Roman"/>
          <w:szCs w:val="24"/>
        </w:rPr>
        <w:t>be followed</w:t>
      </w:r>
      <w:proofErr w:type="gramEnd"/>
      <w:r w:rsidRPr="00E463C3">
        <w:rPr>
          <w:rFonts w:ascii="Times New Roman" w:hAnsi="Times New Roman"/>
          <w:szCs w:val="24"/>
        </w:rPr>
        <w:t xml:space="preserve"> by an </w:t>
      </w:r>
      <w:proofErr w:type="spellStart"/>
      <w:r w:rsidRPr="00E463C3">
        <w:rPr>
          <w:rFonts w:ascii="Times New Roman" w:hAnsi="Times New Roman"/>
          <w:szCs w:val="24"/>
        </w:rPr>
        <w:t>interparliamentary</w:t>
      </w:r>
      <w:proofErr w:type="spellEnd"/>
      <w:r w:rsidRPr="00E463C3">
        <w:rPr>
          <w:rFonts w:ascii="Times New Roman" w:hAnsi="Times New Roman"/>
          <w:szCs w:val="24"/>
        </w:rPr>
        <w:t xml:space="preserve"> debate and a permanent DRF policy cycle among the EU institutions</w:t>
      </w:r>
      <w:r>
        <w:rPr>
          <w:rFonts w:ascii="Times New Roman" w:hAnsi="Times New Roman"/>
          <w:szCs w:val="24"/>
        </w:rPr>
        <w:t xml:space="preserve">. This mechanism would </w:t>
      </w:r>
      <w:r w:rsidRPr="00E463C3">
        <w:rPr>
          <w:rFonts w:ascii="Times New Roman" w:hAnsi="Times New Roman"/>
          <w:szCs w:val="24"/>
        </w:rPr>
        <w:t>complement and reinforc</w:t>
      </w:r>
      <w:r>
        <w:rPr>
          <w:rFonts w:ascii="Times New Roman" w:hAnsi="Times New Roman"/>
          <w:szCs w:val="24"/>
        </w:rPr>
        <w:t>e</w:t>
      </w:r>
      <w:r w:rsidRPr="00E463C3">
        <w:rPr>
          <w:rFonts w:ascii="Times New Roman" w:hAnsi="Times New Roman"/>
          <w:szCs w:val="24"/>
        </w:rPr>
        <w:t>, rather than substitut</w:t>
      </w:r>
      <w:r>
        <w:rPr>
          <w:rFonts w:ascii="Times New Roman" w:hAnsi="Times New Roman"/>
          <w:szCs w:val="24"/>
        </w:rPr>
        <w:t>e</w:t>
      </w:r>
      <w:r w:rsidRPr="00E463C3">
        <w:rPr>
          <w:rFonts w:ascii="Times New Roman" w:hAnsi="Times New Roman"/>
          <w:szCs w:val="24"/>
        </w:rPr>
        <w:t>, the ongoing and future proceedings under Article 7 TEU.</w:t>
      </w:r>
    </w:p>
    <w:p w:rsidR="00306A6E" w:rsidRPr="00017B67" w:rsidRDefault="00306A6E" w:rsidP="00306A6E">
      <w:pPr>
        <w:widowControl w:val="0"/>
        <w:numPr>
          <w:ilvl w:val="0"/>
          <w:numId w:val="1"/>
        </w:numPr>
        <w:ind w:left="567" w:hanging="567"/>
        <w:rPr>
          <w:rFonts w:ascii="Times New Roman" w:hAnsi="Times New Roman"/>
          <w:b/>
          <w:i/>
          <w:szCs w:val="24"/>
        </w:rPr>
      </w:pPr>
      <w:r w:rsidRPr="00747D86">
        <w:rPr>
          <w:rFonts w:ascii="Times New Roman" w:hAnsi="Times New Roman"/>
          <w:b/>
          <w:szCs w:val="24"/>
        </w:rPr>
        <w:t xml:space="preserve">Response to the requests in the </w:t>
      </w:r>
      <w:r>
        <w:rPr>
          <w:rFonts w:ascii="Times New Roman" w:hAnsi="Times New Roman"/>
          <w:b/>
          <w:szCs w:val="24"/>
        </w:rPr>
        <w:t>r</w:t>
      </w:r>
      <w:r w:rsidRPr="00747D86">
        <w:rPr>
          <w:rFonts w:ascii="Times New Roman" w:hAnsi="Times New Roman"/>
          <w:b/>
          <w:szCs w:val="24"/>
        </w:rPr>
        <w:t>esolution and overview of the action taken, or intended to be taken, by the Commission</w:t>
      </w:r>
      <w:r>
        <w:rPr>
          <w:rFonts w:ascii="Times New Roman" w:hAnsi="Times New Roman"/>
          <w:b/>
          <w:szCs w:val="24"/>
        </w:rPr>
        <w:t>:</w:t>
      </w:r>
      <w:r w:rsidRPr="00BF260B">
        <w:rPr>
          <w:rFonts w:ascii="Times New Roman" w:hAnsi="Times New Roman"/>
          <w:szCs w:val="24"/>
        </w:rPr>
        <w:t xml:space="preserve"> </w:t>
      </w:r>
    </w:p>
    <w:p w:rsidR="00306A6E" w:rsidRDefault="00306A6E" w:rsidP="00306A6E">
      <w:pPr>
        <w:spacing w:after="120"/>
        <w:rPr>
          <w:rFonts w:ascii="Times New Roman" w:hAnsi="Times New Roman"/>
        </w:rPr>
      </w:pPr>
      <w:r>
        <w:rPr>
          <w:rStyle w:val="bold"/>
          <w:rFonts w:ascii="Times New Roman" w:hAnsi="Times New Roman"/>
          <w:bCs/>
        </w:rPr>
        <w:t>T</w:t>
      </w:r>
      <w:r w:rsidRPr="0028120F">
        <w:rPr>
          <w:rStyle w:val="bold"/>
          <w:rFonts w:ascii="Times New Roman" w:hAnsi="Times New Roman"/>
          <w:bCs/>
        </w:rPr>
        <w:t xml:space="preserve">he Commission recalls that it </w:t>
      </w:r>
      <w:r w:rsidRPr="0028120F">
        <w:rPr>
          <w:rFonts w:ascii="Times New Roman" w:hAnsi="Times New Roman"/>
        </w:rPr>
        <w:t>is essential that all EU institutions contribute within their respective roles to uphol</w:t>
      </w:r>
      <w:r>
        <w:rPr>
          <w:rFonts w:ascii="Times New Roman" w:hAnsi="Times New Roman"/>
        </w:rPr>
        <w:t>ding the rule of law in the EU.</w:t>
      </w:r>
    </w:p>
    <w:p w:rsidR="00306A6E" w:rsidRPr="00785F4A" w:rsidRDefault="00306A6E" w:rsidP="00306A6E">
      <w:pPr>
        <w:spacing w:after="120"/>
        <w:rPr>
          <w:rFonts w:ascii="Times New Roman" w:hAnsi="Times New Roman"/>
        </w:rPr>
      </w:pPr>
      <w:r w:rsidRPr="0028120F">
        <w:rPr>
          <w:rStyle w:val="bold"/>
          <w:rFonts w:ascii="Times New Roman" w:hAnsi="Times New Roman"/>
          <w:bCs/>
        </w:rPr>
        <w:t xml:space="preserve">As regards the situation in </w:t>
      </w:r>
      <w:r w:rsidRPr="0028120F">
        <w:rPr>
          <w:rStyle w:val="bold"/>
          <w:rFonts w:ascii="Times New Roman" w:hAnsi="Times New Roman"/>
          <w:b/>
          <w:bCs/>
        </w:rPr>
        <w:t>Poland</w:t>
      </w:r>
      <w:r w:rsidRPr="0028120F">
        <w:rPr>
          <w:rStyle w:val="bold"/>
          <w:rFonts w:ascii="Times New Roman" w:hAnsi="Times New Roman"/>
          <w:bCs/>
        </w:rPr>
        <w:t xml:space="preserve">, </w:t>
      </w:r>
      <w:r>
        <w:rPr>
          <w:rFonts w:ascii="Times New Roman" w:hAnsi="Times New Roman"/>
        </w:rPr>
        <w:t>t</w:t>
      </w:r>
      <w:r w:rsidRPr="00785F4A">
        <w:rPr>
          <w:rFonts w:ascii="Times New Roman" w:hAnsi="Times New Roman"/>
        </w:rPr>
        <w:t xml:space="preserve">he Commission considers that there is </w:t>
      </w:r>
      <w:r>
        <w:rPr>
          <w:rFonts w:ascii="Times New Roman" w:hAnsi="Times New Roman"/>
        </w:rPr>
        <w:t xml:space="preserve">in that Member State, </w:t>
      </w:r>
      <w:r w:rsidRPr="00785F4A">
        <w:rPr>
          <w:rFonts w:ascii="Times New Roman" w:hAnsi="Times New Roman"/>
        </w:rPr>
        <w:t xml:space="preserve">a </w:t>
      </w:r>
      <w:r w:rsidRPr="009E6D48">
        <w:rPr>
          <w:rFonts w:ascii="Times New Roman" w:hAnsi="Times New Roman"/>
        </w:rPr>
        <w:t>clear</w:t>
      </w:r>
      <w:r w:rsidRPr="00785F4A">
        <w:rPr>
          <w:rFonts w:ascii="Times New Roman" w:hAnsi="Times New Roman"/>
        </w:rPr>
        <w:t xml:space="preserve"> risk of a serious breach of the rule of law. For this reason, the Commission adopted, on 20 December 2017, a reasoned proposal in accordance with Article 7(1) TEU. The key consideration for the Commission to activate the Article 7(1) TEU procedure was that the cumulative effect of the different components of the reform limits the independence of the judiciary and infringes upon the separation of powers in Poland. The common pattern of these reforms is that the executive and legislative powers can interfere with the entire structure of the justice system.</w:t>
      </w:r>
    </w:p>
    <w:p w:rsidR="00306A6E" w:rsidRDefault="00306A6E" w:rsidP="00306A6E">
      <w:pPr>
        <w:spacing w:after="120"/>
        <w:rPr>
          <w:rFonts w:ascii="Times New Roman" w:hAnsi="Times New Roman"/>
        </w:rPr>
      </w:pPr>
      <w:r w:rsidRPr="00785F4A">
        <w:rPr>
          <w:rFonts w:ascii="Times New Roman" w:hAnsi="Times New Roman"/>
        </w:rPr>
        <w:t xml:space="preserve">The Commission is aware </w:t>
      </w:r>
      <w:r>
        <w:rPr>
          <w:rFonts w:ascii="Times New Roman" w:hAnsi="Times New Roman"/>
        </w:rPr>
        <w:t xml:space="preserve">of </w:t>
      </w:r>
      <w:r w:rsidRPr="00785F4A">
        <w:rPr>
          <w:rFonts w:ascii="Times New Roman" w:hAnsi="Times New Roman"/>
        </w:rPr>
        <w:t xml:space="preserve">ongoing disciplinary proceedings against judges and prosecutors. </w:t>
      </w:r>
      <w:r>
        <w:rPr>
          <w:rFonts w:ascii="Times New Roman" w:hAnsi="Times New Roman"/>
        </w:rPr>
        <w:t>O</w:t>
      </w:r>
      <w:r w:rsidRPr="00785F4A">
        <w:rPr>
          <w:rFonts w:ascii="Times New Roman" w:hAnsi="Times New Roman"/>
        </w:rPr>
        <w:t xml:space="preserve">n 10 October 2019, the Commission decided to refer Poland to the Court of Justice regarding a number of issues relating to the disciplinary regime for judges in Poland. </w:t>
      </w:r>
      <w:r>
        <w:rPr>
          <w:rFonts w:ascii="Times New Roman" w:hAnsi="Times New Roman"/>
        </w:rPr>
        <w:t>In the context of that infringement case on</w:t>
      </w:r>
      <w:r w:rsidRPr="00785F4A">
        <w:rPr>
          <w:rFonts w:ascii="Times New Roman" w:hAnsi="Times New Roman"/>
        </w:rPr>
        <w:t xml:space="preserve"> 14 January 2020, the Commission decided to request the Court of Justice to impose interim measures ordering Poland to suspend the functioning of the Disciplinary Chamber of the Supreme Court. </w:t>
      </w:r>
      <w:r>
        <w:rPr>
          <w:rFonts w:ascii="Times New Roman" w:hAnsi="Times New Roman"/>
        </w:rPr>
        <w:t>The Court of Justice decided to impose the in</w:t>
      </w:r>
      <w:r w:rsidR="00497C9F">
        <w:rPr>
          <w:rFonts w:ascii="Times New Roman" w:hAnsi="Times New Roman"/>
        </w:rPr>
        <w:t>terim measures on 8 April 2020.</w:t>
      </w:r>
      <w:bookmarkStart w:id="0" w:name="_GoBack"/>
      <w:bookmarkEnd w:id="0"/>
    </w:p>
    <w:p w:rsidR="00306A6E" w:rsidRDefault="00306A6E" w:rsidP="00306A6E">
      <w:pPr>
        <w:spacing w:after="120"/>
        <w:rPr>
          <w:rFonts w:ascii="Times New Roman" w:hAnsi="Times New Roman"/>
        </w:rPr>
      </w:pPr>
      <w:r>
        <w:rPr>
          <w:rFonts w:ascii="Times New Roman" w:hAnsi="Times New Roman"/>
        </w:rPr>
        <w:lastRenderedPageBreak/>
        <w:t>T</w:t>
      </w:r>
      <w:r w:rsidRPr="00785F4A">
        <w:rPr>
          <w:rFonts w:ascii="Times New Roman" w:hAnsi="Times New Roman"/>
        </w:rPr>
        <w:t xml:space="preserve">his request </w:t>
      </w:r>
      <w:proofErr w:type="gramStart"/>
      <w:r>
        <w:rPr>
          <w:rFonts w:ascii="Times New Roman" w:hAnsi="Times New Roman"/>
        </w:rPr>
        <w:t>was</w:t>
      </w:r>
      <w:r w:rsidRPr="00785F4A">
        <w:rPr>
          <w:rFonts w:ascii="Times New Roman" w:hAnsi="Times New Roman"/>
        </w:rPr>
        <w:t xml:space="preserve"> not linked</w:t>
      </w:r>
      <w:proofErr w:type="gramEnd"/>
      <w:r w:rsidRPr="00785F4A">
        <w:rPr>
          <w:rFonts w:ascii="Times New Roman" w:hAnsi="Times New Roman"/>
        </w:rPr>
        <w:t xml:space="preserve"> to the new law on the judiciary that entered </w:t>
      </w:r>
      <w:r>
        <w:rPr>
          <w:rFonts w:ascii="Times New Roman" w:hAnsi="Times New Roman"/>
        </w:rPr>
        <w:t xml:space="preserve">into force on 14 February 2020. </w:t>
      </w:r>
      <w:r w:rsidRPr="00D05922">
        <w:rPr>
          <w:rFonts w:ascii="Times New Roman" w:hAnsi="Times New Roman"/>
        </w:rPr>
        <w:t>On 29 April 2020, the European Commission launched an infringement procedure by sending a Letter of Formal Notice to Poland regarding the new law on the judiciary of 20 December 2019, which entered into force on 14 February 2020. The new law on the judiciary undermines the judicial independence of Polish judges and is incompatible with the primacy of EU law. Moreover, the new law prevents Polish courts from directly applying certain provisions of EU law protecting judicial independence, and from putting references for preliminary rulings on such questions to the Court of Justice. The Polish Government has two months from this date to reply to the Letter of Formal Notice.</w:t>
      </w:r>
    </w:p>
    <w:p w:rsidR="00306A6E" w:rsidRDefault="00306A6E" w:rsidP="00306A6E">
      <w:pPr>
        <w:spacing w:after="120"/>
        <w:rPr>
          <w:rFonts w:ascii="Times New Roman" w:hAnsi="Times New Roman"/>
        </w:rPr>
      </w:pPr>
      <w:r w:rsidRPr="00017B67">
        <w:rPr>
          <w:rFonts w:ascii="Times New Roman" w:hAnsi="Times New Roman"/>
        </w:rPr>
        <w:t xml:space="preserve">As regards the situation in </w:t>
      </w:r>
      <w:r w:rsidRPr="009C2949">
        <w:rPr>
          <w:rFonts w:ascii="Times New Roman" w:hAnsi="Times New Roman"/>
          <w:b/>
        </w:rPr>
        <w:t>Hungary</w:t>
      </w:r>
      <w:r w:rsidRPr="00017B67">
        <w:rPr>
          <w:rFonts w:ascii="Times New Roman" w:hAnsi="Times New Roman"/>
        </w:rPr>
        <w:t xml:space="preserve">, the Commission has </w:t>
      </w:r>
      <w:r>
        <w:rPr>
          <w:rFonts w:ascii="Times New Roman" w:hAnsi="Times New Roman"/>
        </w:rPr>
        <w:t>had occasion to</w:t>
      </w:r>
      <w:r w:rsidRPr="00017B67">
        <w:rPr>
          <w:rFonts w:ascii="Times New Roman" w:hAnsi="Times New Roman"/>
        </w:rPr>
        <w:t xml:space="preserve"> explain that it shares </w:t>
      </w:r>
      <w:r w:rsidRPr="003D0CAF">
        <w:rPr>
          <w:rFonts w:ascii="Times New Roman" w:hAnsi="Times New Roman"/>
          <w:lang w:val="en-US"/>
        </w:rPr>
        <w:t>a</w:t>
      </w:r>
      <w:r w:rsidRPr="00CF24BF">
        <w:rPr>
          <w:rFonts w:ascii="Times New Roman" w:hAnsi="Times New Roman"/>
          <w:lang w:val="en-US"/>
        </w:rPr>
        <w:t xml:space="preserve"> number of </w:t>
      </w:r>
      <w:r w:rsidRPr="00017B67">
        <w:rPr>
          <w:rFonts w:ascii="Times New Roman" w:hAnsi="Times New Roman"/>
        </w:rPr>
        <w:t xml:space="preserve">concerns expressed by the European Parliament in its proposal </w:t>
      </w:r>
      <w:r>
        <w:rPr>
          <w:rFonts w:ascii="Times New Roman" w:hAnsi="Times New Roman"/>
        </w:rPr>
        <w:t xml:space="preserve">of 12 September 2018 </w:t>
      </w:r>
      <w:r w:rsidRPr="00017B67">
        <w:rPr>
          <w:rFonts w:ascii="Times New Roman" w:hAnsi="Times New Roman"/>
        </w:rPr>
        <w:t>triggering the Article 7</w:t>
      </w:r>
      <w:r>
        <w:rPr>
          <w:rFonts w:ascii="Times New Roman" w:hAnsi="Times New Roman"/>
        </w:rPr>
        <w:t>(1)</w:t>
      </w:r>
      <w:r w:rsidRPr="00017B67">
        <w:rPr>
          <w:rFonts w:ascii="Times New Roman" w:hAnsi="Times New Roman"/>
        </w:rPr>
        <w:t xml:space="preserve"> </w:t>
      </w:r>
      <w:r>
        <w:rPr>
          <w:rFonts w:ascii="Times New Roman" w:hAnsi="Times New Roman"/>
        </w:rPr>
        <w:t xml:space="preserve">TEU </w:t>
      </w:r>
      <w:r w:rsidRPr="00017B67">
        <w:rPr>
          <w:rFonts w:ascii="Times New Roman" w:hAnsi="Times New Roman"/>
        </w:rPr>
        <w:t>procedure. The Commission has also made clear that</w:t>
      </w:r>
      <w:r>
        <w:rPr>
          <w:rFonts w:ascii="Times New Roman" w:hAnsi="Times New Roman"/>
        </w:rPr>
        <w:t xml:space="preserve"> the Council</w:t>
      </w:r>
      <w:r w:rsidRPr="00017B67">
        <w:rPr>
          <w:rFonts w:ascii="Times New Roman" w:hAnsi="Times New Roman"/>
        </w:rPr>
        <w:t xml:space="preserve"> must ensure a fair handling of the reasoned proposal put forward by the European Parliament. Most recently, the Commission stressed this again during the hearing of Hungary in the General Affairs Council on 10 December</w:t>
      </w:r>
      <w:r>
        <w:rPr>
          <w:rFonts w:ascii="Times New Roman" w:hAnsi="Times New Roman"/>
        </w:rPr>
        <w:t xml:space="preserve"> 2019.</w:t>
      </w:r>
    </w:p>
    <w:p w:rsidR="00306A6E" w:rsidRDefault="00306A6E" w:rsidP="00306A6E">
      <w:pPr>
        <w:spacing w:after="120"/>
        <w:rPr>
          <w:rFonts w:ascii="Times New Roman" w:hAnsi="Times New Roman"/>
        </w:rPr>
      </w:pPr>
      <w:r w:rsidRPr="00017B67">
        <w:rPr>
          <w:rFonts w:ascii="Times New Roman" w:hAnsi="Times New Roman"/>
        </w:rPr>
        <w:t>The Commission is following closely all these developments and has already shown that it is determined to use all the instruments at its disposal to address the concerns raised by certain measures adopted by the Hungarian authorities. In particular, the Commission has launched a number of infringement proceedings against Hungary. These relate to the rights of civil society organisations, academic freedom and the rights of migrants an</w:t>
      </w:r>
      <w:r>
        <w:rPr>
          <w:rFonts w:ascii="Times New Roman" w:hAnsi="Times New Roman"/>
        </w:rPr>
        <w:t>d asylum seekers.</w:t>
      </w:r>
    </w:p>
    <w:p w:rsidR="00306A6E" w:rsidRDefault="00306A6E" w:rsidP="00306A6E">
      <w:pPr>
        <w:spacing w:after="120"/>
        <w:rPr>
          <w:rFonts w:ascii="Times New Roman" w:hAnsi="Times New Roman"/>
        </w:rPr>
      </w:pPr>
      <w:r w:rsidRPr="00017B67">
        <w:rPr>
          <w:rFonts w:ascii="Times New Roman" w:hAnsi="Times New Roman"/>
        </w:rPr>
        <w:t>The Commission is also using other instruments such as the European Semester. On 9 July 2019, the Council, following a Commission proposal, recommended that Hungary strengthen judicial inde</w:t>
      </w:r>
      <w:r>
        <w:rPr>
          <w:rFonts w:ascii="Times New Roman" w:hAnsi="Times New Roman"/>
        </w:rPr>
        <w:t>pendence and reinforce its anti-</w:t>
      </w:r>
      <w:r w:rsidRPr="00017B67">
        <w:rPr>
          <w:rFonts w:ascii="Times New Roman" w:hAnsi="Times New Roman"/>
        </w:rPr>
        <w:t>corruption framework, including by improving prosecutorial efforts and access to public information.</w:t>
      </w:r>
    </w:p>
    <w:p w:rsidR="00306A6E" w:rsidRPr="00DC3C8E" w:rsidRDefault="00306A6E" w:rsidP="00306A6E">
      <w:pPr>
        <w:spacing w:after="120"/>
        <w:rPr>
          <w:rFonts w:ascii="Times New Roman" w:hAnsi="Times New Roman"/>
        </w:rPr>
      </w:pPr>
      <w:r w:rsidRPr="00DC3C8E">
        <w:rPr>
          <w:rFonts w:ascii="Times New Roman" w:hAnsi="Times New Roman"/>
        </w:rPr>
        <w:t xml:space="preserve">As regards the </w:t>
      </w:r>
      <w:r w:rsidRPr="00DC3C8E">
        <w:rPr>
          <w:rFonts w:ascii="Times New Roman" w:hAnsi="Times New Roman"/>
          <w:b/>
        </w:rPr>
        <w:t>new rule of law mechanism</w:t>
      </w:r>
      <w:r w:rsidRPr="00DC3C8E">
        <w:rPr>
          <w:rFonts w:ascii="Times New Roman" w:hAnsi="Times New Roman"/>
        </w:rPr>
        <w:t>, as announced in the</w:t>
      </w:r>
      <w:r>
        <w:rPr>
          <w:rFonts w:ascii="Times New Roman" w:hAnsi="Times New Roman"/>
        </w:rPr>
        <w:t xml:space="preserve"> political guidelines of</w:t>
      </w:r>
      <w:r w:rsidRPr="00DC3C8E">
        <w:rPr>
          <w:rFonts w:ascii="Times New Roman" w:hAnsi="Times New Roman"/>
        </w:rPr>
        <w:t xml:space="preserve"> President von der </w:t>
      </w:r>
      <w:proofErr w:type="spellStart"/>
      <w:r w:rsidRPr="00DC3C8E">
        <w:rPr>
          <w:rFonts w:ascii="Times New Roman" w:hAnsi="Times New Roman"/>
        </w:rPr>
        <w:t>Leyen</w:t>
      </w:r>
      <w:proofErr w:type="spellEnd"/>
      <w:r>
        <w:rPr>
          <w:rFonts w:ascii="Times New Roman" w:hAnsi="Times New Roman"/>
        </w:rPr>
        <w:t>,</w:t>
      </w:r>
      <w:r w:rsidRPr="00DC3C8E">
        <w:rPr>
          <w:rFonts w:ascii="Times New Roman" w:hAnsi="Times New Roman"/>
        </w:rPr>
        <w:t xml:space="preserve"> the Commission </w:t>
      </w:r>
      <w:r>
        <w:rPr>
          <w:rFonts w:ascii="Times New Roman" w:hAnsi="Times New Roman"/>
        </w:rPr>
        <w:t>is putting in place a</w:t>
      </w:r>
      <w:r w:rsidRPr="00DC3C8E">
        <w:rPr>
          <w:rFonts w:ascii="Times New Roman" w:hAnsi="Times New Roman"/>
        </w:rPr>
        <w:t xml:space="preserve"> comprehensive European Rule of Law Mechanism with an EU-wide scope and objective annual reporting. The establishment of this new </w:t>
      </w:r>
      <w:r>
        <w:rPr>
          <w:rFonts w:ascii="Times New Roman" w:hAnsi="Times New Roman"/>
        </w:rPr>
        <w:t>m</w:t>
      </w:r>
      <w:r w:rsidRPr="00DC3C8E">
        <w:rPr>
          <w:rFonts w:ascii="Times New Roman" w:hAnsi="Times New Roman"/>
        </w:rPr>
        <w:t xml:space="preserve">echanism </w:t>
      </w:r>
      <w:proofErr w:type="gramStart"/>
      <w:r w:rsidRPr="00DC3C8E">
        <w:rPr>
          <w:rFonts w:ascii="Times New Roman" w:hAnsi="Times New Roman"/>
        </w:rPr>
        <w:t>is based</w:t>
      </w:r>
      <w:proofErr w:type="gramEnd"/>
      <w:r w:rsidRPr="00DC3C8E">
        <w:rPr>
          <w:rFonts w:ascii="Times New Roman" w:hAnsi="Times New Roman"/>
        </w:rPr>
        <w:t xml:space="preserve"> on the recognition that EU institutions need to develop stronger awareness and understanding of developments in the individual Member States as they occur, to be able to identify risks to the rule of law, develop possible solutions, and target support early on. This also aims at avoiding any misunderstanding and at having early and transparent exchanges before</w:t>
      </w:r>
      <w:r>
        <w:rPr>
          <w:rFonts w:ascii="Times New Roman" w:hAnsi="Times New Roman"/>
        </w:rPr>
        <w:t xml:space="preserve"> an actual problem could arise.</w:t>
      </w:r>
    </w:p>
    <w:p w:rsidR="00306A6E" w:rsidRDefault="00306A6E" w:rsidP="00306A6E">
      <w:pPr>
        <w:spacing w:after="120"/>
        <w:rPr>
          <w:rFonts w:ascii="Times New Roman" w:hAnsi="Times New Roman"/>
        </w:rPr>
      </w:pPr>
      <w:r w:rsidRPr="00DC3C8E">
        <w:rPr>
          <w:rFonts w:ascii="Times New Roman" w:hAnsi="Times New Roman"/>
        </w:rPr>
        <w:t xml:space="preserve">To support this process, the Commission will prepare an annual Rule of Law Report. </w:t>
      </w:r>
      <w:r>
        <w:rPr>
          <w:rFonts w:ascii="Times New Roman" w:hAnsi="Times New Roman"/>
        </w:rPr>
        <w:t xml:space="preserve">As explained in the Commission Communication on </w:t>
      </w:r>
      <w:proofErr w:type="gramStart"/>
      <w:r>
        <w:rPr>
          <w:rFonts w:ascii="Times New Roman" w:hAnsi="Times New Roman"/>
        </w:rPr>
        <w:t>S</w:t>
      </w:r>
      <w:r w:rsidRPr="00D75A7C">
        <w:rPr>
          <w:rFonts w:ascii="Times New Roman" w:hAnsi="Times New Roman"/>
        </w:rPr>
        <w:t>trengthening</w:t>
      </w:r>
      <w:proofErr w:type="gramEnd"/>
      <w:r w:rsidRPr="00D75A7C">
        <w:rPr>
          <w:rFonts w:ascii="Times New Roman" w:hAnsi="Times New Roman"/>
        </w:rPr>
        <w:t xml:space="preserve"> the rule of law within</w:t>
      </w:r>
      <w:r>
        <w:rPr>
          <w:rFonts w:ascii="Times New Roman" w:hAnsi="Times New Roman"/>
        </w:rPr>
        <w:t xml:space="preserve"> the Union – </w:t>
      </w:r>
      <w:r w:rsidRPr="00D75A7C">
        <w:rPr>
          <w:rFonts w:ascii="Times New Roman" w:hAnsi="Times New Roman"/>
        </w:rPr>
        <w:t>A blueprint for action</w:t>
      </w:r>
      <w:r>
        <w:rPr>
          <w:rStyle w:val="FootnoteReference"/>
          <w:rFonts w:ascii="Times New Roman" w:hAnsi="Times New Roman"/>
        </w:rPr>
        <w:footnoteReference w:id="1"/>
      </w:r>
      <w:r>
        <w:rPr>
          <w:rFonts w:ascii="Times New Roman" w:hAnsi="Times New Roman"/>
        </w:rPr>
        <w:t>, t</w:t>
      </w:r>
      <w:r w:rsidRPr="00DC3C8E">
        <w:rPr>
          <w:rFonts w:ascii="Times New Roman" w:hAnsi="Times New Roman"/>
        </w:rPr>
        <w:t xml:space="preserve">he annual </w:t>
      </w:r>
      <w:r>
        <w:rPr>
          <w:rFonts w:ascii="Times New Roman" w:hAnsi="Times New Roman"/>
        </w:rPr>
        <w:t>Rule of Law R</w:t>
      </w:r>
      <w:r w:rsidRPr="00DC3C8E">
        <w:rPr>
          <w:rFonts w:ascii="Times New Roman" w:hAnsi="Times New Roman"/>
        </w:rPr>
        <w:t>eport will provide a synthesis of significant developments – both positive and negative – in all</w:t>
      </w:r>
      <w:r>
        <w:rPr>
          <w:rFonts w:ascii="Times New Roman" w:hAnsi="Times New Roman"/>
        </w:rPr>
        <w:t xml:space="preserve"> the</w:t>
      </w:r>
      <w:r w:rsidRPr="00DC3C8E">
        <w:rPr>
          <w:rFonts w:ascii="Times New Roman" w:hAnsi="Times New Roman"/>
        </w:rPr>
        <w:t xml:space="preserve"> Member States and at EU level, including the case</w:t>
      </w:r>
      <w:r>
        <w:rPr>
          <w:rFonts w:ascii="Times New Roman" w:hAnsi="Times New Roman"/>
        </w:rPr>
        <w:t>-</w:t>
      </w:r>
      <w:r w:rsidRPr="00DC3C8E">
        <w:rPr>
          <w:rFonts w:ascii="Times New Roman" w:hAnsi="Times New Roman"/>
        </w:rPr>
        <w:t xml:space="preserve">law of the European Court of Justice. It </w:t>
      </w:r>
      <w:proofErr w:type="gramStart"/>
      <w:r w:rsidRPr="00DC3C8E">
        <w:rPr>
          <w:rFonts w:ascii="Times New Roman" w:hAnsi="Times New Roman"/>
        </w:rPr>
        <w:t>will be based</w:t>
      </w:r>
      <w:proofErr w:type="gramEnd"/>
      <w:r w:rsidRPr="00DC3C8E">
        <w:rPr>
          <w:rFonts w:ascii="Times New Roman" w:hAnsi="Times New Roman"/>
        </w:rPr>
        <w:t xml:space="preserve"> on a variety of sources in order to reflect the reality on the ground.</w:t>
      </w:r>
    </w:p>
    <w:p w:rsidR="00306A6E" w:rsidRDefault="00306A6E" w:rsidP="00306A6E">
      <w:pPr>
        <w:spacing w:after="120"/>
        <w:rPr>
          <w:rFonts w:ascii="Times New Roman" w:hAnsi="Times New Roman"/>
        </w:rPr>
      </w:pPr>
      <w:r w:rsidRPr="00F73B39">
        <w:rPr>
          <w:rFonts w:ascii="Times New Roman" w:hAnsi="Times New Roman"/>
        </w:rPr>
        <w:t xml:space="preserve">The Rule of Law </w:t>
      </w:r>
      <w:r>
        <w:rPr>
          <w:rFonts w:ascii="Times New Roman" w:hAnsi="Times New Roman"/>
        </w:rPr>
        <w:t>M</w:t>
      </w:r>
      <w:r w:rsidRPr="00F73B39">
        <w:rPr>
          <w:rFonts w:ascii="Times New Roman" w:hAnsi="Times New Roman"/>
        </w:rPr>
        <w:t>echanism takes into due account the Parliament’s proposal for an EU mechanism on democracy, rul</w:t>
      </w:r>
      <w:r>
        <w:rPr>
          <w:rFonts w:ascii="Times New Roman" w:hAnsi="Times New Roman"/>
        </w:rPr>
        <w:t>e of law and fundamental rights. The Commission considers that i</w:t>
      </w:r>
      <w:r w:rsidRPr="00F73B39">
        <w:rPr>
          <w:rFonts w:ascii="Times New Roman" w:hAnsi="Times New Roman"/>
        </w:rPr>
        <w:t xml:space="preserve">t is important to strengthen the dialogue with the European Parliament and the Council </w:t>
      </w:r>
      <w:r>
        <w:rPr>
          <w:rFonts w:ascii="Times New Roman" w:hAnsi="Times New Roman"/>
        </w:rPr>
        <w:t xml:space="preserve">and involve them in the preparation of and follow-up to the Report. One </w:t>
      </w:r>
      <w:r w:rsidRPr="00F73B39">
        <w:rPr>
          <w:rFonts w:ascii="Times New Roman" w:hAnsi="Times New Roman"/>
        </w:rPr>
        <w:t>of the key objectives of the mechanism is exactly to shape a better-coordinated inter-institutional approach based on a single Rule of Law Report.</w:t>
      </w:r>
      <w:r>
        <w:rPr>
          <w:rFonts w:ascii="Times New Roman" w:hAnsi="Times New Roman"/>
        </w:rPr>
        <w:t xml:space="preserve"> </w:t>
      </w:r>
      <w:r w:rsidRPr="00F73B39">
        <w:rPr>
          <w:rFonts w:ascii="Times New Roman" w:hAnsi="Times New Roman"/>
        </w:rPr>
        <w:t>In particular, the Commission calls on the Parliament, and on the Council, to follow up on its annual Rule of L</w:t>
      </w:r>
      <w:r>
        <w:rPr>
          <w:rFonts w:ascii="Times New Roman" w:hAnsi="Times New Roman"/>
        </w:rPr>
        <w:t>aw Report in their discussions.</w:t>
      </w:r>
    </w:p>
    <w:p w:rsidR="00306A6E" w:rsidRDefault="00306A6E" w:rsidP="00306A6E">
      <w:pPr>
        <w:spacing w:after="120"/>
        <w:rPr>
          <w:rFonts w:ascii="Times New Roman" w:hAnsi="Times New Roman"/>
        </w:rPr>
      </w:pPr>
      <w:r w:rsidRPr="00350DA6">
        <w:rPr>
          <w:rFonts w:ascii="Times New Roman" w:hAnsi="Times New Roman"/>
        </w:rPr>
        <w:lastRenderedPageBreak/>
        <w:t>As regards the monitoring of fundamental rights, as announced in its Work Programme for 2020, the Commission will present a new Strategy for the Implementation of the Charter of Fundamental Rights</w:t>
      </w:r>
      <w:r>
        <w:rPr>
          <w:rFonts w:ascii="Times New Roman" w:hAnsi="Times New Roman"/>
        </w:rPr>
        <w:t xml:space="preserve">. </w:t>
      </w:r>
      <w:r w:rsidRPr="00350DA6">
        <w:rPr>
          <w:rFonts w:ascii="Times New Roman" w:hAnsi="Times New Roman"/>
        </w:rPr>
        <w:t xml:space="preserve">As regards democracy, as </w:t>
      </w:r>
      <w:r>
        <w:rPr>
          <w:rFonts w:ascii="Times New Roman" w:hAnsi="Times New Roman"/>
        </w:rPr>
        <w:t xml:space="preserve">also </w:t>
      </w:r>
      <w:r w:rsidRPr="00350DA6">
        <w:rPr>
          <w:rFonts w:ascii="Times New Roman" w:hAnsi="Times New Roman"/>
        </w:rPr>
        <w:t>announced in its Work Programme for 2020, the Commission will present a European Democracy Action Plan to help improve the resilience of our democracies and address the threats of external inte</w:t>
      </w:r>
      <w:r>
        <w:rPr>
          <w:rFonts w:ascii="Times New Roman" w:hAnsi="Times New Roman"/>
        </w:rPr>
        <w:t>rference in European elections.</w:t>
      </w:r>
    </w:p>
    <w:p w:rsidR="005A15A0" w:rsidRDefault="00306A6E" w:rsidP="00306A6E">
      <w:r>
        <w:rPr>
          <w:rFonts w:ascii="Times New Roman" w:hAnsi="Times New Roman"/>
        </w:rPr>
        <w:t xml:space="preserve">As regards the proposal for a regulation on the protection of the Union budget in case of generalised deficiencies as regards the rule of law in the Member States, the Commission thanks the Parliament for the continued support and </w:t>
      </w:r>
      <w:r w:rsidRPr="009B2B0B">
        <w:rPr>
          <w:rFonts w:ascii="Times New Roman" w:hAnsi="Times New Roman"/>
        </w:rPr>
        <w:t>count</w:t>
      </w:r>
      <w:r>
        <w:rPr>
          <w:rFonts w:ascii="Times New Roman" w:hAnsi="Times New Roman"/>
        </w:rPr>
        <w:t>s</w:t>
      </w:r>
      <w:r w:rsidRPr="009B2B0B">
        <w:rPr>
          <w:rFonts w:ascii="Times New Roman" w:hAnsi="Times New Roman"/>
        </w:rPr>
        <w:t xml:space="preserve"> on </w:t>
      </w:r>
      <w:r>
        <w:rPr>
          <w:rFonts w:ascii="Times New Roman" w:hAnsi="Times New Roman"/>
        </w:rPr>
        <w:t>its cooperation to find</w:t>
      </w:r>
      <w:r w:rsidRPr="009B2B0B">
        <w:rPr>
          <w:rFonts w:ascii="Times New Roman" w:hAnsi="Times New Roman"/>
        </w:rPr>
        <w:t xml:space="preserve"> an agreement </w:t>
      </w:r>
      <w:r>
        <w:rPr>
          <w:rFonts w:ascii="Times New Roman" w:hAnsi="Times New Roman"/>
        </w:rPr>
        <w:t xml:space="preserve">when </w:t>
      </w:r>
      <w:proofErr w:type="spellStart"/>
      <w:r w:rsidRPr="0016215F">
        <w:rPr>
          <w:rFonts w:ascii="Times New Roman" w:hAnsi="Times New Roman"/>
        </w:rPr>
        <w:t>interinstitutional</w:t>
      </w:r>
      <w:proofErr w:type="spellEnd"/>
      <w:r w:rsidRPr="0016215F">
        <w:rPr>
          <w:rFonts w:ascii="Times New Roman" w:hAnsi="Times New Roman"/>
        </w:rPr>
        <w:t xml:space="preserve"> </w:t>
      </w:r>
      <w:r>
        <w:rPr>
          <w:rFonts w:ascii="Times New Roman" w:hAnsi="Times New Roman"/>
        </w:rPr>
        <w:t>negotiations start.</w:t>
      </w:r>
    </w:p>
    <w:sectPr w:rsidR="005A15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A6E" w:rsidRDefault="00306A6E" w:rsidP="00306A6E">
      <w:pPr>
        <w:spacing w:after="0"/>
      </w:pPr>
      <w:r>
        <w:separator/>
      </w:r>
    </w:p>
  </w:endnote>
  <w:endnote w:type="continuationSeparator" w:id="0">
    <w:p w:rsidR="00306A6E" w:rsidRDefault="00306A6E" w:rsidP="00306A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A6E" w:rsidRDefault="00306A6E" w:rsidP="00306A6E">
      <w:pPr>
        <w:spacing w:after="0"/>
      </w:pPr>
      <w:r>
        <w:separator/>
      </w:r>
    </w:p>
  </w:footnote>
  <w:footnote w:type="continuationSeparator" w:id="0">
    <w:p w:rsidR="00306A6E" w:rsidRDefault="00306A6E" w:rsidP="00306A6E">
      <w:pPr>
        <w:spacing w:after="0"/>
      </w:pPr>
      <w:r>
        <w:continuationSeparator/>
      </w:r>
    </w:p>
  </w:footnote>
  <w:footnote w:id="1">
    <w:p w:rsidR="00306A6E" w:rsidRPr="008B4065" w:rsidRDefault="00306A6E" w:rsidP="00306A6E">
      <w:pPr>
        <w:pStyle w:val="FootnoteText"/>
        <w:spacing w:after="120"/>
        <w:rPr>
          <w:rFonts w:ascii="Times New Roman" w:hAnsi="Times New Roman"/>
        </w:rPr>
      </w:pPr>
      <w:r>
        <w:rPr>
          <w:rStyle w:val="FootnoteReference"/>
        </w:rPr>
        <w:footnoteRef/>
      </w:r>
      <w:r>
        <w:t xml:space="preserve"> </w:t>
      </w:r>
      <w:r w:rsidRPr="008B4065">
        <w:rPr>
          <w:rFonts w:ascii="Times New Roman" w:hAnsi="Times New Roman"/>
        </w:rPr>
        <w:tab/>
        <w:t>COM(2019) 343 final, 17 July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B19E3"/>
    <w:multiLevelType w:val="hybridMultilevel"/>
    <w:tmpl w:val="3990D7CA"/>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6E"/>
    <w:rsid w:val="00013C39"/>
    <w:rsid w:val="00071A36"/>
    <w:rsid w:val="000C67BD"/>
    <w:rsid w:val="000D74B8"/>
    <w:rsid w:val="001020EF"/>
    <w:rsid w:val="001174E8"/>
    <w:rsid w:val="001367C4"/>
    <w:rsid w:val="001513A8"/>
    <w:rsid w:val="001F304E"/>
    <w:rsid w:val="0020195F"/>
    <w:rsid w:val="0021077F"/>
    <w:rsid w:val="00234D47"/>
    <w:rsid w:val="00306A6E"/>
    <w:rsid w:val="00346FB9"/>
    <w:rsid w:val="003A1684"/>
    <w:rsid w:val="00497C9F"/>
    <w:rsid w:val="004B0F78"/>
    <w:rsid w:val="0059036B"/>
    <w:rsid w:val="005A15A0"/>
    <w:rsid w:val="005F6F65"/>
    <w:rsid w:val="0062336A"/>
    <w:rsid w:val="006553ED"/>
    <w:rsid w:val="006D1DE3"/>
    <w:rsid w:val="007552A6"/>
    <w:rsid w:val="00773E4C"/>
    <w:rsid w:val="007C550F"/>
    <w:rsid w:val="0080584E"/>
    <w:rsid w:val="00836884"/>
    <w:rsid w:val="008405AB"/>
    <w:rsid w:val="00865B95"/>
    <w:rsid w:val="008A0CA6"/>
    <w:rsid w:val="008A411C"/>
    <w:rsid w:val="008D0021"/>
    <w:rsid w:val="008D013B"/>
    <w:rsid w:val="009C3030"/>
    <w:rsid w:val="009F7F09"/>
    <w:rsid w:val="00AC1160"/>
    <w:rsid w:val="00B51681"/>
    <w:rsid w:val="00BB1490"/>
    <w:rsid w:val="00C25DA3"/>
    <w:rsid w:val="00C31553"/>
    <w:rsid w:val="00C35640"/>
    <w:rsid w:val="00C439F4"/>
    <w:rsid w:val="00CE3707"/>
    <w:rsid w:val="00D15885"/>
    <w:rsid w:val="00DD709B"/>
    <w:rsid w:val="00DF4C9B"/>
    <w:rsid w:val="00E8297B"/>
    <w:rsid w:val="00EA51AA"/>
    <w:rsid w:val="00EE214F"/>
    <w:rsid w:val="00F00A73"/>
    <w:rsid w:val="00F14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5702"/>
  <w15:chartTrackingRefBased/>
  <w15:docId w15:val="{AF34D445-4EF6-43E3-AE09-8AB91DC1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A6E"/>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Bullets,EC"/>
    <w:basedOn w:val="Normal"/>
    <w:link w:val="ListParagraphChar"/>
    <w:uiPriority w:val="34"/>
    <w:qFormat/>
    <w:rsid w:val="00306A6E"/>
    <w:pPr>
      <w:spacing w:after="200" w:line="276" w:lineRule="auto"/>
      <w:ind w:left="720"/>
      <w:contextualSpacing/>
      <w:jc w:val="left"/>
    </w:pPr>
    <w:rPr>
      <w:rFonts w:ascii="Calibri" w:eastAsia="Calibri" w:hAnsi="Calibri"/>
      <w:sz w:val="22"/>
      <w:szCs w:val="22"/>
      <w:lang w:val="en-US"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Podrozdział,fn"/>
    <w:basedOn w:val="Normal"/>
    <w:link w:val="FootnoteTextChar2"/>
    <w:uiPriority w:val="99"/>
    <w:qFormat/>
    <w:rsid w:val="00306A6E"/>
    <w:pPr>
      <w:ind w:left="357" w:hanging="357"/>
    </w:pPr>
    <w:rPr>
      <w:sz w:val="20"/>
    </w:rPr>
  </w:style>
  <w:style w:type="character" w:customStyle="1" w:styleId="FootnoteTextChar">
    <w:name w:val="Footnote Text Char"/>
    <w:basedOn w:val="DefaultParagraphFont"/>
    <w:uiPriority w:val="99"/>
    <w:semiHidden/>
    <w:rsid w:val="00306A6E"/>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306A6E"/>
    <w:rPr>
      <w:vertAlign w:val="superscript"/>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306A6E"/>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306A6E"/>
    <w:pPr>
      <w:spacing w:after="160" w:line="240" w:lineRule="exact"/>
      <w:jc w:val="left"/>
    </w:pPr>
    <w:rPr>
      <w:rFonts w:asciiTheme="minorHAnsi" w:eastAsiaTheme="minorHAnsi" w:hAnsiTheme="minorHAnsi" w:cstheme="minorBidi"/>
      <w:sz w:val="22"/>
      <w:szCs w:val="22"/>
      <w:vertAlign w:val="superscript"/>
      <w:lang w:eastAsia="en-US"/>
    </w:rPr>
  </w:style>
  <w:style w:type="character" w:customStyle="1" w:styleId="bold">
    <w:name w:val="bold"/>
    <w:basedOn w:val="DefaultParagraphFont"/>
    <w:rsid w:val="00306A6E"/>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306A6E"/>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1228</Words>
  <Characters>6607</Characters>
  <Application>Microsoft Office Word</Application>
  <DocSecurity>0</DocSecurity>
  <Lines>95</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ALMEIDA Maria Jose (SG)</dc:creator>
  <cp:keywords/>
  <dc:description/>
  <cp:lastModifiedBy>ALMEIDA Maria Jose (SG)</cp:lastModifiedBy>
  <cp:revision>3</cp:revision>
  <dcterms:created xsi:type="dcterms:W3CDTF">2020-06-02T13:15:00Z</dcterms:created>
  <dcterms:modified xsi:type="dcterms:W3CDTF">2020-06-02T13:27:00Z</dcterms:modified>
</cp:coreProperties>
</file>