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E0" w:rsidRPr="00F16A0A" w:rsidRDefault="00F122E0" w:rsidP="00F122E0">
      <w:pPr>
        <w:spacing w:after="600"/>
        <w:jc w:val="center"/>
        <w:rPr>
          <w:rFonts w:ascii="Times New Roman" w:hAnsi="Times New Roman"/>
          <w:b/>
          <w:szCs w:val="24"/>
        </w:rPr>
      </w:pPr>
      <w:r w:rsidRPr="00710229">
        <w:rPr>
          <w:rFonts w:ascii="Times New Roman" w:hAnsi="Times New Roman"/>
          <w:b/>
          <w:bCs/>
          <w:szCs w:val="24"/>
        </w:rPr>
        <w:t xml:space="preserve">Follow up to the </w:t>
      </w:r>
      <w:r w:rsidRPr="00710229">
        <w:rPr>
          <w:rFonts w:ascii="Times New Roman" w:hAnsi="Times New Roman"/>
          <w:b/>
          <w:szCs w:val="24"/>
        </w:rPr>
        <w:t xml:space="preserve">European Parliament non-legislative resolution </w:t>
      </w:r>
      <w:r w:rsidRPr="00055988">
        <w:rPr>
          <w:rFonts w:ascii="Times New Roman" w:hAnsi="Times New Roman"/>
          <w:b/>
          <w:bCs/>
          <w:szCs w:val="24"/>
        </w:rPr>
        <w:t xml:space="preserve">on </w:t>
      </w:r>
      <w:r w:rsidRPr="00315AC1">
        <w:rPr>
          <w:rFonts w:ascii="Times New Roman" w:hAnsi="Times New Roman"/>
          <w:b/>
          <w:szCs w:val="24"/>
          <w:bdr w:val="none" w:sz="0" w:space="0" w:color="auto" w:frame="1"/>
          <w:lang w:val="en"/>
        </w:rPr>
        <w:t xml:space="preserve">Objection pursuant to Rule 112: partially granting an </w:t>
      </w:r>
      <w:proofErr w:type="spellStart"/>
      <w:r w:rsidRPr="00315AC1">
        <w:rPr>
          <w:rFonts w:ascii="Times New Roman" w:hAnsi="Times New Roman"/>
          <w:b/>
          <w:szCs w:val="24"/>
          <w:bdr w:val="none" w:sz="0" w:space="0" w:color="auto" w:frame="1"/>
          <w:lang w:val="en"/>
        </w:rPr>
        <w:t>authorisation</w:t>
      </w:r>
      <w:proofErr w:type="spellEnd"/>
      <w:r w:rsidRPr="00315AC1">
        <w:rPr>
          <w:rFonts w:ascii="Times New Roman" w:hAnsi="Times New Roman"/>
          <w:b/>
          <w:szCs w:val="24"/>
          <w:bdr w:val="none" w:sz="0" w:space="0" w:color="auto" w:frame="1"/>
          <w:lang w:val="en"/>
        </w:rPr>
        <w:t xml:space="preserve"> for a use of chromium trioxide (</w:t>
      </w:r>
      <w:proofErr w:type="spellStart"/>
      <w:r w:rsidRPr="00315AC1">
        <w:rPr>
          <w:rFonts w:ascii="Times New Roman" w:hAnsi="Times New Roman"/>
          <w:b/>
          <w:szCs w:val="24"/>
          <w:bdr w:val="none" w:sz="0" w:space="0" w:color="auto" w:frame="1"/>
          <w:lang w:val="en"/>
        </w:rPr>
        <w:t>Cromomed</w:t>
      </w:r>
      <w:proofErr w:type="spellEnd"/>
      <w:r w:rsidRPr="00315AC1">
        <w:rPr>
          <w:rFonts w:ascii="Times New Roman" w:hAnsi="Times New Roman"/>
          <w:b/>
          <w:szCs w:val="24"/>
          <w:bdr w:val="none" w:sz="0" w:space="0" w:color="auto" w:frame="1"/>
          <w:lang w:val="en"/>
        </w:rPr>
        <w:t xml:space="preserve"> S.A. and others)</w:t>
      </w:r>
    </w:p>
    <w:p w:rsidR="00F122E0" w:rsidRPr="00710229" w:rsidRDefault="00F122E0" w:rsidP="00F122E0">
      <w:pPr>
        <w:numPr>
          <w:ilvl w:val="0"/>
          <w:numId w:val="2"/>
        </w:numPr>
        <w:ind w:left="567" w:hanging="567"/>
        <w:rPr>
          <w:rFonts w:ascii="Times New Roman" w:hAnsi="Times New Roman"/>
          <w:b/>
          <w:szCs w:val="24"/>
        </w:rPr>
      </w:pPr>
      <w:r w:rsidRPr="00710229">
        <w:rPr>
          <w:rFonts w:ascii="Times New Roman" w:hAnsi="Times New Roman"/>
          <w:b/>
          <w:szCs w:val="24"/>
        </w:rPr>
        <w:t xml:space="preserve">Resolution tabled pursuant to </w:t>
      </w:r>
      <w:r w:rsidRPr="00C02D29">
        <w:rPr>
          <w:rFonts w:ascii="Times New Roman" w:hAnsi="Times New Roman"/>
          <w:b/>
          <w:szCs w:val="24"/>
        </w:rPr>
        <w:t>Rule 112(2)</w:t>
      </w:r>
      <w:r w:rsidRPr="00710229">
        <w:rPr>
          <w:rFonts w:ascii="Times New Roman" w:hAnsi="Times New Roman"/>
          <w:b/>
          <w:szCs w:val="24"/>
        </w:rPr>
        <w:t xml:space="preserve"> </w:t>
      </w:r>
      <w:r>
        <w:rPr>
          <w:rFonts w:ascii="Times New Roman" w:hAnsi="Times New Roman"/>
          <w:b/>
          <w:szCs w:val="24"/>
        </w:rPr>
        <w:t xml:space="preserve">and (3) </w:t>
      </w:r>
      <w:r w:rsidRPr="00710229">
        <w:rPr>
          <w:rFonts w:ascii="Times New Roman" w:hAnsi="Times New Roman"/>
          <w:b/>
          <w:szCs w:val="24"/>
        </w:rPr>
        <w:t>of the European Parliament's Rules of procedure</w:t>
      </w:r>
    </w:p>
    <w:p w:rsidR="00F122E0" w:rsidRPr="00710229" w:rsidRDefault="00F122E0" w:rsidP="00F122E0">
      <w:pPr>
        <w:numPr>
          <w:ilvl w:val="0"/>
          <w:numId w:val="2"/>
        </w:numPr>
        <w:ind w:left="567" w:hanging="567"/>
        <w:rPr>
          <w:rFonts w:ascii="Times New Roman" w:hAnsi="Times New Roman"/>
          <w:i/>
          <w:szCs w:val="24"/>
        </w:rPr>
      </w:pPr>
      <w:r w:rsidRPr="00710229">
        <w:rPr>
          <w:rFonts w:ascii="Times New Roman" w:hAnsi="Times New Roman"/>
          <w:b/>
          <w:szCs w:val="24"/>
        </w:rPr>
        <w:t xml:space="preserve">Reference numbers: </w:t>
      </w:r>
      <w:r w:rsidRPr="00710229">
        <w:rPr>
          <w:rFonts w:ascii="Times New Roman" w:hAnsi="Times New Roman"/>
          <w:szCs w:val="24"/>
        </w:rPr>
        <w:t>2019/2</w:t>
      </w:r>
      <w:r>
        <w:rPr>
          <w:rFonts w:ascii="Times New Roman" w:hAnsi="Times New Roman"/>
          <w:szCs w:val="24"/>
        </w:rPr>
        <w:t xml:space="preserve">844 </w:t>
      </w:r>
      <w:r w:rsidRPr="00710229">
        <w:rPr>
          <w:rFonts w:ascii="Times New Roman" w:hAnsi="Times New Roman"/>
          <w:szCs w:val="24"/>
        </w:rPr>
        <w:t>(RSP) / B</w:t>
      </w:r>
      <w:r>
        <w:rPr>
          <w:rFonts w:ascii="Times New Roman" w:hAnsi="Times New Roman"/>
          <w:szCs w:val="24"/>
        </w:rPr>
        <w:t>9</w:t>
      </w:r>
      <w:r w:rsidRPr="00710229">
        <w:rPr>
          <w:rFonts w:ascii="Times New Roman" w:hAnsi="Times New Roman"/>
          <w:szCs w:val="24"/>
        </w:rPr>
        <w:t>-</w:t>
      </w:r>
      <w:r>
        <w:rPr>
          <w:rFonts w:ascii="Times New Roman" w:hAnsi="Times New Roman"/>
          <w:szCs w:val="24"/>
        </w:rPr>
        <w:t>0151</w:t>
      </w:r>
      <w:r w:rsidRPr="00710229">
        <w:rPr>
          <w:rFonts w:ascii="Times New Roman" w:hAnsi="Times New Roman"/>
          <w:szCs w:val="24"/>
        </w:rPr>
        <w:t>/2019 / P</w:t>
      </w:r>
      <w:r>
        <w:rPr>
          <w:rFonts w:ascii="Times New Roman" w:hAnsi="Times New Roman"/>
          <w:szCs w:val="24"/>
        </w:rPr>
        <w:t>9</w:t>
      </w:r>
      <w:r w:rsidRPr="00710229">
        <w:rPr>
          <w:rFonts w:ascii="Times New Roman" w:hAnsi="Times New Roman"/>
          <w:szCs w:val="24"/>
        </w:rPr>
        <w:t>_TA-PROV(2019)</w:t>
      </w:r>
      <w:r>
        <w:rPr>
          <w:rFonts w:ascii="Times New Roman" w:hAnsi="Times New Roman"/>
          <w:szCs w:val="24"/>
        </w:rPr>
        <w:t>0046</w:t>
      </w:r>
    </w:p>
    <w:p w:rsidR="00F122E0" w:rsidRPr="00710229" w:rsidRDefault="00F122E0" w:rsidP="00F122E0">
      <w:pPr>
        <w:numPr>
          <w:ilvl w:val="0"/>
          <w:numId w:val="2"/>
        </w:numPr>
        <w:ind w:left="567" w:hanging="567"/>
        <w:rPr>
          <w:rFonts w:ascii="Times New Roman" w:hAnsi="Times New Roman"/>
          <w:szCs w:val="24"/>
        </w:rPr>
      </w:pPr>
      <w:r w:rsidRPr="00710229">
        <w:rPr>
          <w:rFonts w:ascii="Times New Roman" w:hAnsi="Times New Roman"/>
          <w:b/>
          <w:szCs w:val="24"/>
        </w:rPr>
        <w:t xml:space="preserve">Date of adoption of the resolution: </w:t>
      </w:r>
      <w:r w:rsidRPr="001B05AD">
        <w:rPr>
          <w:rFonts w:ascii="Times New Roman" w:hAnsi="Times New Roman"/>
          <w:szCs w:val="24"/>
        </w:rPr>
        <w:t xml:space="preserve">24 </w:t>
      </w:r>
      <w:r>
        <w:rPr>
          <w:rFonts w:ascii="Times New Roman" w:hAnsi="Times New Roman"/>
          <w:szCs w:val="24"/>
        </w:rPr>
        <w:t>October</w:t>
      </w:r>
      <w:r w:rsidRPr="00710229">
        <w:rPr>
          <w:rFonts w:ascii="Times New Roman" w:hAnsi="Times New Roman"/>
          <w:szCs w:val="24"/>
        </w:rPr>
        <w:t xml:space="preserve"> 2019</w:t>
      </w:r>
    </w:p>
    <w:p w:rsidR="00F122E0" w:rsidRPr="00710229" w:rsidRDefault="00F122E0" w:rsidP="00F122E0">
      <w:pPr>
        <w:pStyle w:val="ListParagraph"/>
        <w:numPr>
          <w:ilvl w:val="0"/>
          <w:numId w:val="2"/>
        </w:numPr>
        <w:spacing w:after="240"/>
        <w:ind w:left="567" w:hanging="567"/>
        <w:jc w:val="both"/>
        <w:rPr>
          <w:rFonts w:ascii="Times New Roman" w:hAnsi="Times New Roman"/>
          <w:sz w:val="24"/>
          <w:szCs w:val="24"/>
          <w:lang w:val="en-GB"/>
        </w:rPr>
      </w:pPr>
      <w:r w:rsidRPr="00710229">
        <w:rPr>
          <w:rFonts w:ascii="Times New Roman" w:hAnsi="Times New Roman"/>
          <w:b/>
          <w:sz w:val="24"/>
          <w:szCs w:val="24"/>
          <w:lang w:val="en-GB"/>
        </w:rPr>
        <w:t>Competent Parliamentary Committee:</w:t>
      </w:r>
      <w:r w:rsidRPr="00710229">
        <w:rPr>
          <w:rFonts w:ascii="Times New Roman" w:hAnsi="Times New Roman"/>
          <w:sz w:val="24"/>
          <w:szCs w:val="24"/>
          <w:lang w:val="en-GB"/>
        </w:rPr>
        <w:t xml:space="preserve"> </w:t>
      </w:r>
      <w:r>
        <w:rPr>
          <w:rFonts w:ascii="Times New Roman" w:hAnsi="Times New Roman"/>
          <w:sz w:val="24"/>
          <w:szCs w:val="24"/>
          <w:lang w:val="en-GB"/>
        </w:rPr>
        <w:t>Environment, Public Health and Food safety (ENVI)</w:t>
      </w:r>
    </w:p>
    <w:p w:rsidR="00F122E0" w:rsidRPr="00493B92" w:rsidRDefault="00F122E0" w:rsidP="00F122E0">
      <w:pPr>
        <w:widowControl w:val="0"/>
        <w:numPr>
          <w:ilvl w:val="0"/>
          <w:numId w:val="2"/>
        </w:numPr>
        <w:ind w:left="567" w:hanging="567"/>
        <w:rPr>
          <w:rFonts w:ascii="Times New Roman" w:hAnsi="Times New Roman"/>
          <w:szCs w:val="24"/>
        </w:rPr>
      </w:pPr>
      <w:r w:rsidRPr="00710229">
        <w:rPr>
          <w:rFonts w:ascii="Times New Roman" w:hAnsi="Times New Roman"/>
          <w:b/>
          <w:szCs w:val="24"/>
        </w:rPr>
        <w:t>Brief analysis/assessment of the resolution and requests made in it:</w:t>
      </w:r>
    </w:p>
    <w:p w:rsidR="00F122E0" w:rsidRPr="002D5DF0" w:rsidRDefault="00F122E0" w:rsidP="00F122E0">
      <w:pPr>
        <w:rPr>
          <w:rFonts w:ascii="Times New Roman" w:hAnsi="Times New Roman"/>
          <w:szCs w:val="24"/>
        </w:rPr>
      </w:pPr>
      <w:r w:rsidRPr="00830BC9">
        <w:rPr>
          <w:rFonts w:ascii="Times New Roman" w:hAnsi="Times New Roman"/>
          <w:szCs w:val="24"/>
        </w:rPr>
        <w:t xml:space="preserve">The European Parliament </w:t>
      </w:r>
      <w:r>
        <w:rPr>
          <w:rFonts w:ascii="Times New Roman" w:hAnsi="Times New Roman"/>
          <w:szCs w:val="24"/>
        </w:rPr>
        <w:t>r</w:t>
      </w:r>
      <w:r w:rsidRPr="00830BC9">
        <w:rPr>
          <w:rFonts w:ascii="Times New Roman" w:hAnsi="Times New Roman"/>
          <w:szCs w:val="24"/>
        </w:rPr>
        <w:t xml:space="preserve">esolution objects to a draft Commission implementing decision </w:t>
      </w:r>
      <w:r>
        <w:rPr>
          <w:rFonts w:ascii="Times New Roman" w:hAnsi="Times New Roman"/>
          <w:szCs w:val="24"/>
        </w:rPr>
        <w:t xml:space="preserve">partially </w:t>
      </w:r>
      <w:r w:rsidRPr="00830BC9">
        <w:rPr>
          <w:rFonts w:ascii="Times New Roman" w:hAnsi="Times New Roman"/>
          <w:szCs w:val="24"/>
        </w:rPr>
        <w:t xml:space="preserve">granting an authorisation for </w:t>
      </w:r>
      <w:r>
        <w:rPr>
          <w:rFonts w:ascii="Times New Roman" w:hAnsi="Times New Roman"/>
          <w:szCs w:val="24"/>
        </w:rPr>
        <w:t>the use</w:t>
      </w:r>
      <w:r w:rsidRPr="00830BC9">
        <w:rPr>
          <w:rFonts w:ascii="Times New Roman" w:hAnsi="Times New Roman"/>
          <w:szCs w:val="24"/>
        </w:rPr>
        <w:t xml:space="preserve"> of chromium trioxide</w:t>
      </w:r>
      <w:r>
        <w:rPr>
          <w:rFonts w:ascii="Times New Roman" w:hAnsi="Times New Roman"/>
          <w:szCs w:val="24"/>
        </w:rPr>
        <w:t xml:space="preserve"> in</w:t>
      </w:r>
      <w:r w:rsidRPr="00BA7AB4">
        <w:rPr>
          <w:rFonts w:ascii="Times New Roman" w:hAnsi="Times New Roman"/>
          <w:szCs w:val="24"/>
        </w:rPr>
        <w:t xml:space="preserve"> functional chrome plating to </w:t>
      </w:r>
      <w:r>
        <w:rPr>
          <w:rFonts w:ascii="Times New Roman" w:hAnsi="Times New Roman"/>
          <w:szCs w:val="24"/>
        </w:rPr>
        <w:t xml:space="preserve">the company </w:t>
      </w:r>
      <w:proofErr w:type="spellStart"/>
      <w:r w:rsidRPr="00BA7AB4">
        <w:rPr>
          <w:rFonts w:ascii="Times New Roman" w:hAnsi="Times New Roman"/>
          <w:szCs w:val="24"/>
        </w:rPr>
        <w:t>Cromomed</w:t>
      </w:r>
      <w:proofErr w:type="spellEnd"/>
      <w:r w:rsidRPr="00BA7AB4">
        <w:rPr>
          <w:rFonts w:ascii="Times New Roman" w:hAnsi="Times New Roman"/>
          <w:szCs w:val="24"/>
        </w:rPr>
        <w:t xml:space="preserve"> and four other applicants under Regulation (EC) No</w:t>
      </w:r>
      <w:r>
        <w:rPr>
          <w:rFonts w:ascii="Times New Roman" w:hAnsi="Times New Roman"/>
          <w:szCs w:val="24"/>
        </w:rPr>
        <w:t> </w:t>
      </w:r>
      <w:r w:rsidRPr="00BA7AB4">
        <w:rPr>
          <w:rFonts w:ascii="Times New Roman" w:hAnsi="Times New Roman"/>
          <w:szCs w:val="24"/>
        </w:rPr>
        <w:t>1907/2006 of the European</w:t>
      </w:r>
      <w:r>
        <w:rPr>
          <w:rFonts w:ascii="Times New Roman" w:hAnsi="Times New Roman"/>
          <w:szCs w:val="24"/>
        </w:rPr>
        <w:t xml:space="preserve"> Parliament and of the Council </w:t>
      </w:r>
      <w:r w:rsidRPr="00830BC9">
        <w:rPr>
          <w:rFonts w:ascii="Times New Roman" w:hAnsi="Times New Roman"/>
          <w:szCs w:val="24"/>
        </w:rPr>
        <w:t xml:space="preserve">(‘draft </w:t>
      </w:r>
      <w:r>
        <w:rPr>
          <w:rFonts w:ascii="Times New Roman" w:hAnsi="Times New Roman"/>
          <w:szCs w:val="24"/>
        </w:rPr>
        <w:t>d</w:t>
      </w:r>
      <w:r w:rsidRPr="00830BC9">
        <w:rPr>
          <w:rFonts w:ascii="Times New Roman" w:hAnsi="Times New Roman"/>
          <w:szCs w:val="24"/>
        </w:rPr>
        <w:t xml:space="preserve">ecision’). The </w:t>
      </w:r>
      <w:r>
        <w:rPr>
          <w:rFonts w:ascii="Times New Roman" w:hAnsi="Times New Roman"/>
          <w:szCs w:val="24"/>
        </w:rPr>
        <w:t>r</w:t>
      </w:r>
      <w:r w:rsidRPr="00830BC9">
        <w:rPr>
          <w:rFonts w:ascii="Times New Roman" w:hAnsi="Times New Roman"/>
          <w:szCs w:val="24"/>
        </w:rPr>
        <w:t xml:space="preserve">esolution calls on the Commission to withdraw the draft </w:t>
      </w:r>
      <w:r>
        <w:rPr>
          <w:rFonts w:ascii="Times New Roman" w:hAnsi="Times New Roman"/>
          <w:szCs w:val="24"/>
        </w:rPr>
        <w:t>d</w:t>
      </w:r>
      <w:r w:rsidRPr="00830BC9">
        <w:rPr>
          <w:rFonts w:ascii="Times New Roman" w:hAnsi="Times New Roman"/>
          <w:szCs w:val="24"/>
        </w:rPr>
        <w:t xml:space="preserve">ecision and to submit a new draft decision </w:t>
      </w:r>
      <w:r>
        <w:rPr>
          <w:rFonts w:ascii="Times New Roman" w:hAnsi="Times New Roman"/>
          <w:szCs w:val="24"/>
        </w:rPr>
        <w:t>granting the authorisation only for the uses specifically defined for which no suitable alternatives are available</w:t>
      </w:r>
      <w:r w:rsidRPr="00830BC9">
        <w:rPr>
          <w:rFonts w:ascii="Times New Roman" w:hAnsi="Times New Roman"/>
          <w:szCs w:val="24"/>
        </w:rPr>
        <w:t xml:space="preserve">. </w:t>
      </w:r>
    </w:p>
    <w:p w:rsidR="00F122E0" w:rsidRPr="0022243A" w:rsidRDefault="00F122E0" w:rsidP="00F122E0">
      <w:pPr>
        <w:widowControl w:val="0"/>
        <w:numPr>
          <w:ilvl w:val="0"/>
          <w:numId w:val="2"/>
        </w:numPr>
        <w:ind w:left="567" w:hanging="567"/>
        <w:rPr>
          <w:rFonts w:ascii="Times New Roman" w:hAnsi="Times New Roman"/>
          <w:b/>
          <w:szCs w:val="24"/>
        </w:rPr>
      </w:pPr>
      <w:r w:rsidRPr="002D5DF0">
        <w:rPr>
          <w:rFonts w:ascii="Times New Roman" w:hAnsi="Times New Roman"/>
          <w:b/>
          <w:szCs w:val="24"/>
        </w:rPr>
        <w:t>Response to requests and overview of action taken, or intended to be taken, by the Commission:</w:t>
      </w:r>
    </w:p>
    <w:p w:rsidR="00F122E0" w:rsidRDefault="00F122E0" w:rsidP="00F122E0">
      <w:pPr>
        <w:autoSpaceDE w:val="0"/>
        <w:autoSpaceDN w:val="0"/>
        <w:adjustRightInd w:val="0"/>
        <w:spacing w:after="120"/>
        <w:rPr>
          <w:rFonts w:ascii="Times New Roman" w:eastAsia="Calibri" w:hAnsi="Times New Roman"/>
          <w:szCs w:val="24"/>
          <w:lang w:eastAsia="en-US"/>
        </w:rPr>
      </w:pPr>
      <w:r w:rsidRPr="001C4FF2">
        <w:rPr>
          <w:rFonts w:ascii="Times New Roman" w:eastAsia="Calibri" w:hAnsi="Times New Roman"/>
          <w:szCs w:val="24"/>
          <w:lang w:eastAsia="en-US"/>
        </w:rPr>
        <w:t xml:space="preserve">The draft decision in question is to </w:t>
      </w:r>
      <w:proofErr w:type="gramStart"/>
      <w:r w:rsidRPr="001C4FF2">
        <w:rPr>
          <w:rFonts w:ascii="Times New Roman" w:eastAsia="Calibri" w:hAnsi="Times New Roman"/>
          <w:szCs w:val="24"/>
          <w:lang w:eastAsia="en-US"/>
        </w:rPr>
        <w:t>be adopted</w:t>
      </w:r>
      <w:proofErr w:type="gramEnd"/>
      <w:r w:rsidRPr="001C4FF2">
        <w:rPr>
          <w:rFonts w:ascii="Times New Roman" w:eastAsia="Calibri" w:hAnsi="Times New Roman"/>
          <w:szCs w:val="24"/>
          <w:lang w:eastAsia="en-US"/>
        </w:rPr>
        <w:t xml:space="preserve"> in accordance with the examination procedure under Article 5 of Regulation (EU) No 182/2011. The Commission recalls that, in accordance with Article 11 of that </w:t>
      </w:r>
      <w:r>
        <w:rPr>
          <w:rFonts w:ascii="Times New Roman" w:eastAsia="Calibri" w:hAnsi="Times New Roman"/>
          <w:szCs w:val="24"/>
          <w:lang w:eastAsia="en-US"/>
        </w:rPr>
        <w:t>r</w:t>
      </w:r>
      <w:r w:rsidRPr="001C4FF2">
        <w:rPr>
          <w:rFonts w:ascii="Times New Roman" w:eastAsia="Calibri" w:hAnsi="Times New Roman"/>
          <w:szCs w:val="24"/>
          <w:lang w:eastAsia="en-US"/>
        </w:rPr>
        <w:t>egulation, the scope of the right of scrutiny of the European Parliament and of the Council is limited to the question whether the draft implementing act exceeds the implementing powers provided for in the basic act (in this case the Regulation (EC) No 1907/2006 (REACH)).</w:t>
      </w:r>
    </w:p>
    <w:p w:rsidR="00F122E0" w:rsidRPr="001C4FF2" w:rsidRDefault="00F122E0" w:rsidP="00F122E0">
      <w:pPr>
        <w:autoSpaceDE w:val="0"/>
        <w:autoSpaceDN w:val="0"/>
        <w:adjustRightInd w:val="0"/>
        <w:spacing w:after="120"/>
        <w:rPr>
          <w:rFonts w:ascii="Times New Roman" w:eastAsia="Calibri" w:hAnsi="Times New Roman"/>
          <w:szCs w:val="24"/>
          <w:lang w:eastAsia="en-US"/>
        </w:rPr>
      </w:pPr>
      <w:r w:rsidRPr="001C4FF2">
        <w:rPr>
          <w:rFonts w:ascii="Times New Roman" w:eastAsia="Calibri" w:hAnsi="Times New Roman"/>
          <w:szCs w:val="24"/>
          <w:lang w:eastAsia="en-US"/>
        </w:rPr>
        <w:t xml:space="preserve">When preparing the draft implementing decision, the Commission acted within the implementing powers conferred on it by Article 64(8) of REACH, </w:t>
      </w:r>
      <w:r>
        <w:rPr>
          <w:rFonts w:ascii="Times New Roman" w:eastAsia="Calibri" w:hAnsi="Times New Roman"/>
          <w:szCs w:val="24"/>
          <w:lang w:eastAsia="en-US"/>
        </w:rPr>
        <w:t xml:space="preserve">and </w:t>
      </w:r>
      <w:r w:rsidRPr="001C4FF2">
        <w:rPr>
          <w:rFonts w:ascii="Times New Roman" w:eastAsia="Calibri" w:hAnsi="Times New Roman"/>
          <w:szCs w:val="24"/>
          <w:lang w:eastAsia="en-US"/>
        </w:rPr>
        <w:t xml:space="preserve">it respected all the requirements set out in that </w:t>
      </w:r>
      <w:r>
        <w:rPr>
          <w:rFonts w:ascii="Times New Roman" w:eastAsia="Calibri" w:hAnsi="Times New Roman"/>
          <w:szCs w:val="24"/>
          <w:lang w:eastAsia="en-US"/>
        </w:rPr>
        <w:t>r</w:t>
      </w:r>
      <w:r w:rsidRPr="001C4FF2">
        <w:rPr>
          <w:rFonts w:ascii="Times New Roman" w:eastAsia="Calibri" w:hAnsi="Times New Roman"/>
          <w:szCs w:val="24"/>
          <w:lang w:eastAsia="en-US"/>
        </w:rPr>
        <w:t>egulation, notably Article 60, paragraphs (4), (5)</w:t>
      </w:r>
      <w:r>
        <w:rPr>
          <w:rFonts w:ascii="Times New Roman" w:eastAsia="Calibri" w:hAnsi="Times New Roman"/>
          <w:szCs w:val="24"/>
          <w:lang w:eastAsia="en-US"/>
        </w:rPr>
        <w:t>, (7)</w:t>
      </w:r>
      <w:r w:rsidRPr="001C4FF2">
        <w:rPr>
          <w:rFonts w:ascii="Times New Roman" w:eastAsia="Calibri" w:hAnsi="Times New Roman"/>
          <w:szCs w:val="24"/>
          <w:lang w:eastAsia="en-US"/>
        </w:rPr>
        <w:t xml:space="preserve"> and (8). The fact that the Parliament does not agree with the assessment made by the European Chemicals Agency</w:t>
      </w:r>
      <w:r>
        <w:rPr>
          <w:rFonts w:ascii="Times New Roman" w:eastAsia="Calibri" w:hAnsi="Times New Roman"/>
          <w:szCs w:val="24"/>
          <w:lang w:eastAsia="en-US"/>
        </w:rPr>
        <w:t>’s (‘the Agency’)</w:t>
      </w:r>
      <w:r w:rsidRPr="001C4FF2">
        <w:rPr>
          <w:rFonts w:ascii="Times New Roman" w:eastAsia="Calibri" w:hAnsi="Times New Roman"/>
          <w:szCs w:val="24"/>
          <w:lang w:eastAsia="en-US"/>
        </w:rPr>
        <w:t xml:space="preserve"> Committee</w:t>
      </w:r>
      <w:r>
        <w:rPr>
          <w:rFonts w:ascii="Times New Roman" w:eastAsia="Calibri" w:hAnsi="Times New Roman"/>
          <w:szCs w:val="24"/>
          <w:lang w:eastAsia="en-US"/>
        </w:rPr>
        <w:t xml:space="preserve">s for Risk Assessment (RAC) and </w:t>
      </w:r>
      <w:r w:rsidRPr="001C4FF2">
        <w:rPr>
          <w:rFonts w:ascii="Times New Roman" w:eastAsia="Calibri" w:hAnsi="Times New Roman"/>
          <w:szCs w:val="24"/>
          <w:lang w:eastAsia="en-US"/>
        </w:rPr>
        <w:t xml:space="preserve">for Socio-economic Analysis (SEAC) and subsequently with the Commission’s </w:t>
      </w:r>
      <w:r>
        <w:rPr>
          <w:rFonts w:ascii="Times New Roman" w:eastAsia="Calibri" w:hAnsi="Times New Roman"/>
          <w:szCs w:val="24"/>
          <w:lang w:eastAsia="en-US"/>
        </w:rPr>
        <w:t xml:space="preserve">own assessment and </w:t>
      </w:r>
      <w:r w:rsidRPr="001C4FF2">
        <w:rPr>
          <w:rFonts w:ascii="Times New Roman" w:eastAsia="Calibri" w:hAnsi="Times New Roman"/>
          <w:szCs w:val="24"/>
          <w:lang w:eastAsia="en-US"/>
        </w:rPr>
        <w:t>conclusion</w:t>
      </w:r>
      <w:r>
        <w:rPr>
          <w:rFonts w:ascii="Times New Roman" w:eastAsia="Calibri" w:hAnsi="Times New Roman"/>
          <w:szCs w:val="24"/>
          <w:lang w:eastAsia="en-US"/>
        </w:rPr>
        <w:t>s</w:t>
      </w:r>
      <w:r w:rsidRPr="001C4FF2">
        <w:rPr>
          <w:rFonts w:ascii="Times New Roman" w:eastAsia="Calibri" w:hAnsi="Times New Roman"/>
          <w:szCs w:val="24"/>
          <w:lang w:eastAsia="en-US"/>
        </w:rPr>
        <w:t xml:space="preserve"> goes beyond the scope of the right of scrutiny of the European Parliament with regard to draft implementing acts.</w:t>
      </w:r>
    </w:p>
    <w:p w:rsidR="00F122E0" w:rsidRDefault="00F122E0" w:rsidP="00F122E0">
      <w:pPr>
        <w:autoSpaceDE w:val="0"/>
        <w:autoSpaceDN w:val="0"/>
        <w:adjustRightInd w:val="0"/>
        <w:spacing w:after="120"/>
        <w:rPr>
          <w:rFonts w:ascii="Times New Roman" w:eastAsia="Calibri" w:hAnsi="Times New Roman"/>
          <w:szCs w:val="24"/>
          <w:lang w:eastAsia="en-US"/>
        </w:rPr>
      </w:pPr>
      <w:r w:rsidRPr="001C4FF2">
        <w:rPr>
          <w:rFonts w:ascii="Times New Roman" w:eastAsia="Calibri" w:hAnsi="Times New Roman"/>
          <w:szCs w:val="24"/>
          <w:lang w:eastAsia="en-US"/>
        </w:rPr>
        <w:t xml:space="preserve">Nevertheless, the Commission takes note of the position of the Parliament and therefore would like to explain its position on the concerns expressed in the </w:t>
      </w:r>
      <w:r>
        <w:rPr>
          <w:rFonts w:ascii="Times New Roman" w:eastAsia="Calibri" w:hAnsi="Times New Roman"/>
          <w:szCs w:val="24"/>
          <w:lang w:eastAsia="en-US"/>
        </w:rPr>
        <w:t>r</w:t>
      </w:r>
      <w:r w:rsidRPr="001C4FF2">
        <w:rPr>
          <w:rFonts w:ascii="Times New Roman" w:eastAsia="Calibri" w:hAnsi="Times New Roman"/>
          <w:szCs w:val="24"/>
          <w:lang w:eastAsia="en-US"/>
        </w:rPr>
        <w:t>esolution</w:t>
      </w:r>
      <w:r>
        <w:rPr>
          <w:rFonts w:ascii="Times New Roman" w:eastAsia="Calibri" w:hAnsi="Times New Roman"/>
          <w:szCs w:val="24"/>
          <w:lang w:eastAsia="en-US"/>
        </w:rPr>
        <w:t>.</w:t>
      </w:r>
    </w:p>
    <w:p w:rsidR="00F122E0" w:rsidRPr="0007663F" w:rsidRDefault="00F122E0" w:rsidP="00F122E0">
      <w:pPr>
        <w:pStyle w:val="ListParagraph"/>
        <w:numPr>
          <w:ilvl w:val="0"/>
          <w:numId w:val="3"/>
        </w:numPr>
        <w:spacing w:after="120" w:line="240" w:lineRule="auto"/>
        <w:ind w:left="714" w:hanging="357"/>
        <w:contextualSpacing w:val="0"/>
        <w:jc w:val="both"/>
        <w:rPr>
          <w:rFonts w:ascii="Times New Roman" w:hAnsi="Times New Roman"/>
          <w:sz w:val="24"/>
          <w:szCs w:val="24"/>
          <w:lang w:val="en-GB"/>
        </w:rPr>
      </w:pPr>
      <w:r w:rsidRPr="00EE51A3">
        <w:rPr>
          <w:rFonts w:ascii="Times New Roman" w:hAnsi="Times New Roman"/>
          <w:sz w:val="24"/>
          <w:szCs w:val="24"/>
        </w:rPr>
        <w:t xml:space="preserve">The </w:t>
      </w:r>
      <w:r w:rsidRPr="0007663F">
        <w:rPr>
          <w:rFonts w:ascii="Times New Roman" w:hAnsi="Times New Roman"/>
          <w:sz w:val="24"/>
          <w:szCs w:val="24"/>
          <w:lang w:val="en-GB"/>
        </w:rPr>
        <w:t>Commission rejects the claim that the draft Commission implementing decision proposing the authorisation is in breach of Article 60(4) of REACH due to uncertainties regarding the assessment of alternatives for the use applied for, also in the light of the interpretation provide</w:t>
      </w:r>
      <w:r>
        <w:rPr>
          <w:rFonts w:ascii="Times New Roman" w:hAnsi="Times New Roman"/>
          <w:sz w:val="24"/>
          <w:szCs w:val="24"/>
          <w:lang w:val="en-GB"/>
        </w:rPr>
        <w:t>d by the General Court Judgment in</w:t>
      </w:r>
      <w:r w:rsidRPr="0007663F">
        <w:rPr>
          <w:rFonts w:ascii="Times New Roman" w:hAnsi="Times New Roman"/>
          <w:sz w:val="24"/>
          <w:szCs w:val="24"/>
          <w:lang w:val="en-GB"/>
        </w:rPr>
        <w:t xml:space="preserve"> case T-837/16 (“the judgment”).</w:t>
      </w:r>
    </w:p>
    <w:p w:rsidR="00F122E0" w:rsidRPr="0007663F" w:rsidRDefault="00F122E0" w:rsidP="00F122E0">
      <w:pPr>
        <w:pStyle w:val="ListParagraph"/>
        <w:spacing w:after="120" w:line="240" w:lineRule="auto"/>
        <w:contextualSpacing w:val="0"/>
        <w:jc w:val="both"/>
        <w:rPr>
          <w:rFonts w:ascii="Times New Roman" w:hAnsi="Times New Roman"/>
          <w:sz w:val="24"/>
          <w:szCs w:val="24"/>
          <w:lang w:val="en-GB"/>
        </w:rPr>
      </w:pPr>
      <w:r w:rsidRPr="0007663F">
        <w:rPr>
          <w:rFonts w:ascii="Times New Roman" w:hAnsi="Times New Roman"/>
          <w:sz w:val="24"/>
          <w:szCs w:val="24"/>
          <w:lang w:val="en-GB"/>
        </w:rPr>
        <w:lastRenderedPageBreak/>
        <w:t xml:space="preserve">In particular, the resolution criticises the uncertainties identified in SEAC’s assessment of the alternatives. The Commission recalls that uncertainties are inherent to any scientific assessment and they are relevant for the decision-making only when their nature or magnitude may affect the overall scientific conclusion. In this case, SEAC could still conclude on the non-suitability of alternatives for the applicants in spite of the uncertainties identified. The Commission concurs with SEAC’s reasoning and conclusion that there are no suitable alternative substances or technologies available that would satisfy key technical requirements of all the business sectors </w:t>
      </w:r>
      <w:r>
        <w:rPr>
          <w:rFonts w:ascii="Times New Roman" w:hAnsi="Times New Roman"/>
          <w:sz w:val="24"/>
          <w:szCs w:val="24"/>
          <w:lang w:val="en-GB"/>
        </w:rPr>
        <w:t xml:space="preserve">relevant for </w:t>
      </w:r>
      <w:r w:rsidRPr="0007663F">
        <w:rPr>
          <w:rFonts w:ascii="Times New Roman" w:hAnsi="Times New Roman"/>
          <w:sz w:val="24"/>
          <w:szCs w:val="24"/>
          <w:lang w:val="en-GB"/>
        </w:rPr>
        <w:t>the applicants</w:t>
      </w:r>
      <w:r>
        <w:rPr>
          <w:rFonts w:ascii="Times New Roman" w:hAnsi="Times New Roman"/>
          <w:sz w:val="24"/>
          <w:szCs w:val="24"/>
          <w:lang w:val="en-GB"/>
        </w:rPr>
        <w:t>.</w:t>
      </w:r>
    </w:p>
    <w:p w:rsidR="00F122E0" w:rsidRPr="0007663F" w:rsidRDefault="00F122E0" w:rsidP="00F122E0">
      <w:pPr>
        <w:pStyle w:val="ListParagraph"/>
        <w:spacing w:after="120" w:line="240" w:lineRule="auto"/>
        <w:jc w:val="both"/>
        <w:rPr>
          <w:rFonts w:ascii="Times New Roman" w:hAnsi="Times New Roman"/>
          <w:sz w:val="24"/>
          <w:szCs w:val="24"/>
          <w:lang w:val="en-GB"/>
        </w:rPr>
      </w:pPr>
      <w:r w:rsidRPr="0007663F">
        <w:rPr>
          <w:rFonts w:ascii="Times New Roman" w:hAnsi="Times New Roman"/>
          <w:sz w:val="24"/>
          <w:szCs w:val="24"/>
          <w:lang w:val="en-GB"/>
        </w:rPr>
        <w:t>There were no submissions during the public consultation bringing evidence on suitable alternatives. Nevertheless, based on available information from other chromium trioxide applications and given the broad scope of the use covered by this application, SEAC could not exclude the technical feasibility of alternatives for some specific utilisations falling under the scope of the use. Notwithstanding this uncertainty, SEAC recognised that since all of the applicants are S</w:t>
      </w:r>
      <w:r>
        <w:rPr>
          <w:rFonts w:ascii="Times New Roman" w:hAnsi="Times New Roman"/>
          <w:sz w:val="24"/>
          <w:szCs w:val="24"/>
          <w:lang w:val="en-GB"/>
        </w:rPr>
        <w:t>mall and Medium-Sized Enterprises (S</w:t>
      </w:r>
      <w:r w:rsidRPr="0007663F">
        <w:rPr>
          <w:rFonts w:ascii="Times New Roman" w:hAnsi="Times New Roman"/>
          <w:sz w:val="24"/>
          <w:szCs w:val="24"/>
          <w:lang w:val="en-GB"/>
        </w:rPr>
        <w:t>MEs</w:t>
      </w:r>
      <w:r>
        <w:rPr>
          <w:rFonts w:ascii="Times New Roman" w:hAnsi="Times New Roman"/>
          <w:sz w:val="24"/>
          <w:szCs w:val="24"/>
          <w:lang w:val="en-GB"/>
        </w:rPr>
        <w:t>)</w:t>
      </w:r>
      <w:r w:rsidRPr="0007663F">
        <w:rPr>
          <w:rFonts w:ascii="Times New Roman" w:hAnsi="Times New Roman"/>
          <w:sz w:val="24"/>
          <w:szCs w:val="24"/>
          <w:lang w:val="en-GB"/>
        </w:rPr>
        <w:t>, it is likely that it is economically unfeasible for them to switch to alternatives that have only a limited range of applicability and that this would require a significant investment.</w:t>
      </w:r>
    </w:p>
    <w:p w:rsidR="00F122E0" w:rsidRPr="0007663F" w:rsidRDefault="00F122E0" w:rsidP="00F122E0">
      <w:pPr>
        <w:spacing w:after="120"/>
        <w:ind w:left="720"/>
        <w:rPr>
          <w:rFonts w:ascii="Times New Roman" w:hAnsi="Times New Roman"/>
          <w:szCs w:val="24"/>
        </w:rPr>
      </w:pPr>
      <w:r w:rsidRPr="0007663F">
        <w:rPr>
          <w:rFonts w:ascii="Times New Roman" w:hAnsi="Times New Roman"/>
          <w:szCs w:val="24"/>
        </w:rPr>
        <w:t>I</w:t>
      </w:r>
      <w:r w:rsidRPr="0007663F">
        <w:rPr>
          <w:rFonts w:ascii="Times New Roman" w:eastAsia="Calibri" w:hAnsi="Times New Roman"/>
          <w:szCs w:val="24"/>
          <w:lang w:eastAsia="en-US"/>
        </w:rPr>
        <w:t>n order to address this uncertainty,</w:t>
      </w:r>
      <w:r w:rsidRPr="0007663F">
        <w:rPr>
          <w:rFonts w:ascii="Times New Roman" w:hAnsi="Times New Roman"/>
          <w:szCs w:val="24"/>
        </w:rPr>
        <w:t xml:space="preserve"> the Commission proposed to limit the scope of the authorisation to the use where any of the following key functionalities or properties are necessary for the intended use: wear resistance, hardness, layer thickness, corrosion resistance, coefficient of friction, and effect on surface morphology. This limitation of the scope ensures that the authorisation </w:t>
      </w:r>
      <w:proofErr w:type="gramStart"/>
      <w:r w:rsidRPr="0007663F">
        <w:rPr>
          <w:rFonts w:ascii="Times New Roman" w:hAnsi="Times New Roman"/>
          <w:szCs w:val="24"/>
        </w:rPr>
        <w:t>is only granted</w:t>
      </w:r>
      <w:proofErr w:type="gramEnd"/>
      <w:r w:rsidRPr="0007663F">
        <w:rPr>
          <w:rFonts w:ascii="Times New Roman" w:hAnsi="Times New Roman"/>
          <w:szCs w:val="24"/>
        </w:rPr>
        <w:t xml:space="preserve"> for utilisations for which the applicant has provided sufficient evidence that no alternatives are available, and excludes potential interpretations that also other utilisations could be covered. In other words, it is a partial authorisation limiting the scope of the use to utilisations for which the sufficient evidence </w:t>
      </w:r>
      <w:proofErr w:type="gramStart"/>
      <w:r w:rsidRPr="0007663F">
        <w:rPr>
          <w:rFonts w:ascii="Times New Roman" w:hAnsi="Times New Roman"/>
          <w:szCs w:val="24"/>
        </w:rPr>
        <w:t>has been provided</w:t>
      </w:r>
      <w:proofErr w:type="gramEnd"/>
      <w:r w:rsidRPr="0007663F">
        <w:rPr>
          <w:rFonts w:ascii="Times New Roman" w:hAnsi="Times New Roman"/>
          <w:szCs w:val="24"/>
        </w:rPr>
        <w:t>. Moreover, even if there were remaining doubts, SEAC´s opinion is sufficiently clear to conclude by sufficient weight of evidence, based on the best scientific data available that any technically feasible alternative within the scope of the use would not be economically feasible for the applicant.</w:t>
      </w:r>
    </w:p>
    <w:p w:rsidR="00F122E0" w:rsidRPr="0007663F" w:rsidRDefault="00F122E0" w:rsidP="00F122E0">
      <w:pPr>
        <w:pStyle w:val="ListParagraph"/>
        <w:numPr>
          <w:ilvl w:val="0"/>
          <w:numId w:val="3"/>
        </w:numPr>
        <w:spacing w:after="120" w:line="240" w:lineRule="auto"/>
        <w:ind w:left="714" w:hanging="357"/>
        <w:contextualSpacing w:val="0"/>
        <w:jc w:val="both"/>
        <w:rPr>
          <w:rFonts w:ascii="Times New Roman" w:hAnsi="Times New Roman"/>
          <w:sz w:val="24"/>
          <w:szCs w:val="24"/>
          <w:lang w:val="en-GB"/>
        </w:rPr>
      </w:pPr>
      <w:r w:rsidRPr="0007663F">
        <w:rPr>
          <w:rFonts w:ascii="Times New Roman" w:hAnsi="Times New Roman"/>
          <w:sz w:val="24"/>
          <w:szCs w:val="24"/>
          <w:lang w:val="en-GB"/>
        </w:rPr>
        <w:t xml:space="preserve">The </w:t>
      </w:r>
      <w:r>
        <w:rPr>
          <w:rFonts w:ascii="Times New Roman" w:hAnsi="Times New Roman"/>
          <w:sz w:val="24"/>
          <w:szCs w:val="24"/>
          <w:lang w:val="en-GB"/>
        </w:rPr>
        <w:t>r</w:t>
      </w:r>
      <w:r w:rsidRPr="0007663F">
        <w:rPr>
          <w:rFonts w:ascii="Times New Roman" w:hAnsi="Times New Roman"/>
          <w:sz w:val="24"/>
          <w:szCs w:val="24"/>
          <w:lang w:val="en-GB"/>
        </w:rPr>
        <w:t xml:space="preserve">esolution claims that in the light of the interpretation provided by the judgment, the Commission should have concluded that there are suitable alternatives in general for the use applied </w:t>
      </w:r>
      <w:proofErr w:type="gramStart"/>
      <w:r w:rsidRPr="0007663F">
        <w:rPr>
          <w:rFonts w:ascii="Times New Roman" w:hAnsi="Times New Roman"/>
          <w:sz w:val="24"/>
          <w:szCs w:val="24"/>
          <w:lang w:val="en-GB"/>
        </w:rPr>
        <w:t>for</w:t>
      </w:r>
      <w:proofErr w:type="gramEnd"/>
      <w:r w:rsidRPr="0007663F">
        <w:rPr>
          <w:rFonts w:ascii="Times New Roman" w:hAnsi="Times New Roman"/>
          <w:sz w:val="24"/>
          <w:szCs w:val="24"/>
          <w:lang w:val="en-GB"/>
        </w:rPr>
        <w:t xml:space="preserve">. In that case, an authorisation </w:t>
      </w:r>
      <w:proofErr w:type="gramStart"/>
      <w:r w:rsidRPr="0007663F">
        <w:rPr>
          <w:rFonts w:ascii="Times New Roman" w:hAnsi="Times New Roman"/>
          <w:sz w:val="24"/>
          <w:szCs w:val="24"/>
          <w:lang w:val="en-GB"/>
        </w:rPr>
        <w:t>could only be granted</w:t>
      </w:r>
      <w:proofErr w:type="gramEnd"/>
      <w:r w:rsidRPr="0007663F">
        <w:rPr>
          <w:rFonts w:ascii="Times New Roman" w:hAnsi="Times New Roman"/>
          <w:sz w:val="24"/>
          <w:szCs w:val="24"/>
          <w:lang w:val="en-GB"/>
        </w:rPr>
        <w:t xml:space="preserve"> if the alternatives are not technically or economically feasible for the applicant and if he submits</w:t>
      </w:r>
      <w:r w:rsidRPr="0007663F">
        <w:rPr>
          <w:rFonts w:ascii="Times New Roman" w:hAnsi="Times New Roman"/>
          <w:i/>
          <w:sz w:val="24"/>
          <w:szCs w:val="24"/>
          <w:lang w:val="en-GB"/>
        </w:rPr>
        <w:t xml:space="preserve"> </w:t>
      </w:r>
      <w:r w:rsidRPr="0007663F">
        <w:rPr>
          <w:rFonts w:ascii="Times New Roman" w:hAnsi="Times New Roman"/>
          <w:sz w:val="24"/>
          <w:szCs w:val="24"/>
          <w:lang w:val="en-GB"/>
        </w:rPr>
        <w:t>a substitution plan.</w:t>
      </w:r>
    </w:p>
    <w:p w:rsidR="00F122E0" w:rsidRPr="0007663F" w:rsidRDefault="00F122E0" w:rsidP="00F122E0">
      <w:pPr>
        <w:pStyle w:val="ListParagraph"/>
        <w:spacing w:after="120" w:line="240" w:lineRule="auto"/>
        <w:contextualSpacing w:val="0"/>
        <w:jc w:val="both"/>
        <w:rPr>
          <w:rFonts w:ascii="Times New Roman" w:hAnsi="Times New Roman"/>
          <w:sz w:val="24"/>
          <w:szCs w:val="24"/>
          <w:lang w:val="en-GB"/>
        </w:rPr>
      </w:pPr>
      <w:r w:rsidRPr="0007663F">
        <w:rPr>
          <w:rFonts w:ascii="Times New Roman" w:hAnsi="Times New Roman"/>
          <w:sz w:val="24"/>
          <w:szCs w:val="24"/>
          <w:lang w:val="en-GB"/>
        </w:rPr>
        <w:t xml:space="preserve">In this regard, in addition to taking into account the SEAC opinion, the Commission reviewed the application and the supporting evidence, as well as other information available (e.g. </w:t>
      </w:r>
      <w:r>
        <w:rPr>
          <w:rFonts w:ascii="Times New Roman" w:hAnsi="Times New Roman"/>
          <w:sz w:val="24"/>
          <w:szCs w:val="24"/>
          <w:lang w:val="en-GB"/>
        </w:rPr>
        <w:t xml:space="preserve">information from </w:t>
      </w:r>
      <w:r w:rsidRPr="0007663F">
        <w:rPr>
          <w:rFonts w:ascii="Times New Roman" w:hAnsi="Times New Roman"/>
          <w:sz w:val="24"/>
          <w:szCs w:val="24"/>
          <w:lang w:val="en-GB"/>
        </w:rPr>
        <w:t>other similar uses/</w:t>
      </w:r>
      <w:r>
        <w:rPr>
          <w:rFonts w:ascii="Times New Roman" w:hAnsi="Times New Roman"/>
          <w:sz w:val="24"/>
          <w:szCs w:val="24"/>
          <w:lang w:val="en-GB"/>
        </w:rPr>
        <w:t xml:space="preserve"> </w:t>
      </w:r>
      <w:r w:rsidRPr="0007663F">
        <w:rPr>
          <w:rFonts w:ascii="Times New Roman" w:hAnsi="Times New Roman"/>
          <w:sz w:val="24"/>
          <w:szCs w:val="24"/>
          <w:lang w:val="en-GB"/>
        </w:rPr>
        <w:t xml:space="preserve">cases) in the light of the criteria provided by the judgment to identify suitable alternatives in general. According to these criteria, a ‘suitable’ alternative must be safer, available not only </w:t>
      </w:r>
      <w:r w:rsidRPr="0007663F">
        <w:rPr>
          <w:rFonts w:ascii="Times New Roman" w:hAnsi="Times New Roman"/>
          <w:i/>
          <w:sz w:val="24"/>
          <w:szCs w:val="24"/>
          <w:lang w:val="en-GB"/>
        </w:rPr>
        <w:t xml:space="preserve">in </w:t>
      </w:r>
      <w:proofErr w:type="spellStart"/>
      <w:r w:rsidRPr="0007663F">
        <w:rPr>
          <w:rFonts w:ascii="Times New Roman" w:hAnsi="Times New Roman"/>
          <w:i/>
          <w:sz w:val="24"/>
          <w:szCs w:val="24"/>
          <w:lang w:val="en-GB"/>
        </w:rPr>
        <w:t>abstracto</w:t>
      </w:r>
      <w:proofErr w:type="spellEnd"/>
      <w:r w:rsidRPr="0007663F">
        <w:rPr>
          <w:rFonts w:ascii="Times New Roman" w:hAnsi="Times New Roman"/>
          <w:sz w:val="24"/>
          <w:szCs w:val="24"/>
          <w:lang w:val="en-GB"/>
        </w:rPr>
        <w:t xml:space="preserve"> or in laboratory or exceptional conditions, and it must be technically and economically feasible in the EU. Moreover, the alternative must be available from the point of view of production capacities of the substance or feasibility of the technology, and fulfil legal and factual requirements for putting it into circulation. </w:t>
      </w:r>
    </w:p>
    <w:p w:rsidR="00F122E0" w:rsidRPr="0007663F" w:rsidRDefault="00F122E0" w:rsidP="00F122E0">
      <w:pPr>
        <w:pStyle w:val="ListParagraph"/>
        <w:spacing w:after="120" w:line="240" w:lineRule="auto"/>
        <w:jc w:val="both"/>
        <w:rPr>
          <w:rFonts w:ascii="Times New Roman" w:hAnsi="Times New Roman"/>
          <w:sz w:val="24"/>
          <w:szCs w:val="24"/>
          <w:lang w:val="en-GB"/>
        </w:rPr>
      </w:pPr>
      <w:proofErr w:type="gramStart"/>
      <w:r w:rsidRPr="0007663F">
        <w:rPr>
          <w:rFonts w:ascii="Times New Roman" w:hAnsi="Times New Roman"/>
          <w:sz w:val="24"/>
          <w:szCs w:val="24"/>
          <w:lang w:val="en-GB"/>
        </w:rPr>
        <w:t xml:space="preserve">Based on the SEAC opinion and the review of the above information against the criteria identified by the General Court, the Commission concluded that for the limited scope of the use proposed to be authorised (i.e. as limited in the Commission decision </w:t>
      </w:r>
      <w:r w:rsidRPr="0007663F">
        <w:rPr>
          <w:rFonts w:ascii="Times New Roman" w:hAnsi="Times New Roman"/>
          <w:sz w:val="24"/>
          <w:szCs w:val="24"/>
          <w:lang w:val="en-GB"/>
        </w:rPr>
        <w:lastRenderedPageBreak/>
        <w:t>through the key functionalities and properties) there are no suitable alternatives in general and that there is no evidence that would cast doubts on this conclusion.</w:t>
      </w:r>
      <w:proofErr w:type="gramEnd"/>
      <w:r w:rsidRPr="0007663F">
        <w:rPr>
          <w:rFonts w:ascii="Times New Roman" w:hAnsi="Times New Roman"/>
          <w:sz w:val="24"/>
          <w:szCs w:val="24"/>
          <w:lang w:val="en-GB"/>
        </w:rPr>
        <w:t xml:space="preserve"> Therefore, there is no obligation for the applicants to submit a substitution plan. This conclusion is in line with the conclusion on other applications for authorisation for the use of chromium trioxide for functional chrome plating adopted after the General Court Judgment</w:t>
      </w:r>
      <w:r>
        <w:rPr>
          <w:rFonts w:ascii="Times New Roman" w:hAnsi="Times New Roman"/>
          <w:sz w:val="24"/>
          <w:szCs w:val="24"/>
          <w:lang w:val="en-GB"/>
        </w:rPr>
        <w:t>.</w:t>
      </w:r>
    </w:p>
    <w:p w:rsidR="00F122E0" w:rsidRPr="0007663F" w:rsidRDefault="00F122E0" w:rsidP="00F122E0">
      <w:pPr>
        <w:pStyle w:val="ListParagraph"/>
        <w:spacing w:after="120" w:line="240" w:lineRule="auto"/>
        <w:jc w:val="both"/>
        <w:rPr>
          <w:rFonts w:ascii="Times New Roman" w:hAnsi="Times New Roman"/>
          <w:sz w:val="24"/>
          <w:szCs w:val="24"/>
          <w:lang w:val="en-GB"/>
        </w:rPr>
      </w:pPr>
    </w:p>
    <w:p w:rsidR="00F122E0" w:rsidRPr="0007663F" w:rsidRDefault="00F122E0" w:rsidP="00F122E0">
      <w:pPr>
        <w:pStyle w:val="ListParagraph"/>
        <w:numPr>
          <w:ilvl w:val="0"/>
          <w:numId w:val="3"/>
        </w:numPr>
        <w:spacing w:after="120" w:line="240" w:lineRule="auto"/>
        <w:jc w:val="both"/>
        <w:rPr>
          <w:rFonts w:ascii="Times New Roman" w:hAnsi="Times New Roman"/>
          <w:sz w:val="24"/>
          <w:szCs w:val="24"/>
          <w:lang w:val="en-GB"/>
        </w:rPr>
      </w:pPr>
      <w:r w:rsidRPr="0007663F">
        <w:rPr>
          <w:rFonts w:ascii="Times New Roman" w:hAnsi="Times New Roman"/>
          <w:sz w:val="24"/>
          <w:szCs w:val="24"/>
          <w:lang w:val="en-GB"/>
        </w:rPr>
        <w:t>The Commission also rejects the claim that the draft Commission implementing decision proposing the partial authorisation is in breach of Article 60(7) of REACH due to the lack of conformity of the application with the requirements set out in Article 62 of that Regulation.</w:t>
      </w:r>
    </w:p>
    <w:p w:rsidR="00F122E0" w:rsidRPr="0007663F" w:rsidRDefault="00F122E0" w:rsidP="00F122E0">
      <w:pPr>
        <w:spacing w:after="120"/>
        <w:ind w:left="720"/>
        <w:rPr>
          <w:rFonts w:ascii="Times New Roman" w:hAnsi="Times New Roman"/>
          <w:szCs w:val="24"/>
        </w:rPr>
      </w:pPr>
      <w:r w:rsidRPr="0007663F">
        <w:rPr>
          <w:rFonts w:ascii="Times New Roman" w:hAnsi="Times New Roman"/>
          <w:szCs w:val="24"/>
        </w:rPr>
        <w:t>The Commission recalls that Article 60(7) of REACH does not concern the material conditions for the granting of an authorisation, but is limited to enabling the Commission to verify whether an application for authorisation is in conformity with the requirements of Article 62 from a formal point of view</w:t>
      </w:r>
      <w:r w:rsidRPr="0007663F">
        <w:rPr>
          <w:rStyle w:val="FootnoteReference"/>
          <w:rFonts w:ascii="Times New Roman" w:hAnsi="Times New Roman"/>
          <w:szCs w:val="24"/>
        </w:rPr>
        <w:footnoteReference w:id="1"/>
      </w:r>
      <w:r w:rsidRPr="0007663F">
        <w:rPr>
          <w:rFonts w:ascii="Times New Roman" w:hAnsi="Times New Roman"/>
          <w:szCs w:val="24"/>
        </w:rPr>
        <w:t>.</w:t>
      </w:r>
    </w:p>
    <w:p w:rsidR="00F122E0" w:rsidRPr="0007663F" w:rsidRDefault="00F122E0" w:rsidP="00F122E0">
      <w:pPr>
        <w:pStyle w:val="ListBullet"/>
        <w:numPr>
          <w:ilvl w:val="0"/>
          <w:numId w:val="0"/>
        </w:numPr>
        <w:spacing w:after="120"/>
        <w:ind w:left="720"/>
        <w:rPr>
          <w:rFonts w:ascii="Times New Roman" w:eastAsia="Calibri" w:hAnsi="Times New Roman"/>
          <w:szCs w:val="24"/>
          <w:lang w:eastAsia="en-US"/>
        </w:rPr>
      </w:pPr>
      <w:r w:rsidRPr="0007663F">
        <w:rPr>
          <w:rFonts w:ascii="Times New Roman" w:hAnsi="Times New Roman"/>
          <w:szCs w:val="24"/>
        </w:rPr>
        <w:t>The Commission considers that the information provided by the applicants is in conformity with the requirements of Article 62 and, as explained under point (i), that information is exhaustive and sufficient for assessing whether the applicant has discharged its burden of proof on the absence of suitable alternatives</w:t>
      </w:r>
      <w:r>
        <w:rPr>
          <w:rFonts w:ascii="Times New Roman" w:hAnsi="Times New Roman"/>
          <w:szCs w:val="24"/>
        </w:rPr>
        <w:t>.</w:t>
      </w:r>
    </w:p>
    <w:p w:rsidR="005A15A0" w:rsidRDefault="00F122E0" w:rsidP="00F122E0">
      <w:r w:rsidRPr="0007663F">
        <w:rPr>
          <w:rFonts w:ascii="Times New Roman" w:eastAsia="Calibri" w:hAnsi="Times New Roman"/>
          <w:szCs w:val="24"/>
          <w:lang w:eastAsia="en-US"/>
        </w:rPr>
        <w:t xml:space="preserve">Based on the above, the Commission cannot follow the objections raised in the European </w:t>
      </w:r>
      <w:r w:rsidRPr="0007663F">
        <w:rPr>
          <w:rFonts w:ascii="Times New Roman" w:hAnsi="Times New Roman"/>
          <w:szCs w:val="24"/>
        </w:rPr>
        <w:t>Parliament’s</w:t>
      </w:r>
      <w:r w:rsidRPr="0007663F">
        <w:rPr>
          <w:rFonts w:ascii="Times New Roman" w:eastAsia="Calibri" w:hAnsi="Times New Roman"/>
          <w:szCs w:val="24"/>
          <w:lang w:eastAsia="en-US"/>
        </w:rPr>
        <w:t xml:space="preserve"> </w:t>
      </w:r>
      <w:r>
        <w:rPr>
          <w:rFonts w:ascii="Times New Roman" w:eastAsia="Calibri" w:hAnsi="Times New Roman"/>
          <w:szCs w:val="24"/>
          <w:lang w:eastAsia="en-US"/>
        </w:rPr>
        <w:t>r</w:t>
      </w:r>
      <w:r w:rsidRPr="0007663F">
        <w:rPr>
          <w:rFonts w:ascii="Times New Roman" w:eastAsia="Calibri" w:hAnsi="Times New Roman"/>
          <w:szCs w:val="24"/>
          <w:lang w:eastAsia="en-US"/>
        </w:rPr>
        <w:t>esolution and affirms that the draft implementing decision is within the implementing powers conferred on the Commission under REACH and in full compliance with the REACH Regulation.</w:t>
      </w:r>
      <w:bookmarkStart w:id="0" w:name="_GoBack"/>
      <w:bookmarkEnd w:id="0"/>
    </w:p>
    <w:sectPr w:rsidR="005A15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E0" w:rsidRDefault="00F122E0" w:rsidP="00F122E0">
      <w:pPr>
        <w:spacing w:after="0"/>
      </w:pPr>
      <w:r>
        <w:separator/>
      </w:r>
    </w:p>
  </w:endnote>
  <w:endnote w:type="continuationSeparator" w:id="0">
    <w:p w:rsidR="00F122E0" w:rsidRDefault="00F122E0" w:rsidP="00F12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E0" w:rsidRDefault="00F122E0" w:rsidP="00F122E0">
      <w:pPr>
        <w:spacing w:after="0"/>
      </w:pPr>
      <w:r>
        <w:separator/>
      </w:r>
    </w:p>
  </w:footnote>
  <w:footnote w:type="continuationSeparator" w:id="0">
    <w:p w:rsidR="00F122E0" w:rsidRDefault="00F122E0" w:rsidP="00F122E0">
      <w:pPr>
        <w:spacing w:after="0"/>
      </w:pPr>
      <w:r>
        <w:continuationSeparator/>
      </w:r>
    </w:p>
  </w:footnote>
  <w:footnote w:id="1">
    <w:p w:rsidR="00F122E0" w:rsidRPr="00393D8A" w:rsidRDefault="00F122E0" w:rsidP="00F122E0">
      <w:pPr>
        <w:pStyle w:val="FootnoteText"/>
        <w:rPr>
          <w:rFonts w:ascii="Times New Roman" w:hAnsi="Times New Roman"/>
        </w:rPr>
      </w:pPr>
      <w:r w:rsidRPr="00393D8A">
        <w:rPr>
          <w:rStyle w:val="FootnoteReference"/>
          <w:rFonts w:ascii="Times New Roman" w:hAnsi="Times New Roman"/>
        </w:rPr>
        <w:footnoteRef/>
      </w:r>
      <w:r w:rsidRPr="00393D8A">
        <w:rPr>
          <w:rFonts w:ascii="Times New Roman" w:hAnsi="Times New Roman"/>
        </w:rPr>
        <w:t xml:space="preserve"> </w:t>
      </w:r>
      <w:r>
        <w:rPr>
          <w:rFonts w:ascii="Times New Roman" w:hAnsi="Times New Roman"/>
        </w:rPr>
        <w:tab/>
      </w:r>
      <w:r w:rsidRPr="00393D8A">
        <w:rPr>
          <w:rFonts w:ascii="Times New Roman" w:hAnsi="Times New Roman"/>
        </w:rPr>
        <w:t>Judgment of the General Court of 4 April 2019 in case T-108/17, Client Earth v European Comm</w:t>
      </w:r>
      <w:r>
        <w:rPr>
          <w:rFonts w:ascii="Times New Roman" w:hAnsi="Times New Roman"/>
        </w:rPr>
        <w:t>ission, paragraphs 104 and 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2C0626D7"/>
    <w:multiLevelType w:val="hybridMultilevel"/>
    <w:tmpl w:val="A98E428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07331B"/>
    <w:multiLevelType w:val="hybridMultilevel"/>
    <w:tmpl w:val="66AEAE1A"/>
    <w:lvl w:ilvl="0" w:tplc="D7626F2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E0"/>
    <w:rsid w:val="00013C39"/>
    <w:rsid w:val="0021077F"/>
    <w:rsid w:val="00234D47"/>
    <w:rsid w:val="00346FB9"/>
    <w:rsid w:val="003A1684"/>
    <w:rsid w:val="004B0F78"/>
    <w:rsid w:val="005A15A0"/>
    <w:rsid w:val="005F6F65"/>
    <w:rsid w:val="0062336A"/>
    <w:rsid w:val="006553ED"/>
    <w:rsid w:val="006D1DE3"/>
    <w:rsid w:val="007552A6"/>
    <w:rsid w:val="00773E4C"/>
    <w:rsid w:val="00836884"/>
    <w:rsid w:val="008405AB"/>
    <w:rsid w:val="00865B95"/>
    <w:rsid w:val="008A0CA6"/>
    <w:rsid w:val="008A411C"/>
    <w:rsid w:val="008D0021"/>
    <w:rsid w:val="009F7F09"/>
    <w:rsid w:val="00AC1160"/>
    <w:rsid w:val="00BB1490"/>
    <w:rsid w:val="00C25DA3"/>
    <w:rsid w:val="00C35640"/>
    <w:rsid w:val="00C439F4"/>
    <w:rsid w:val="00CE3707"/>
    <w:rsid w:val="00D15885"/>
    <w:rsid w:val="00DD709B"/>
    <w:rsid w:val="00DF4C9B"/>
    <w:rsid w:val="00E8297B"/>
    <w:rsid w:val="00EA51AA"/>
    <w:rsid w:val="00EE214F"/>
    <w:rsid w:val="00F00A73"/>
    <w:rsid w:val="00F122E0"/>
    <w:rsid w:val="00F1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B81BF-7730-4E7C-9C6E-30B82F9D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2E0"/>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F122E0"/>
    <w:pPr>
      <w:ind w:left="357" w:hanging="357"/>
    </w:pPr>
    <w:rPr>
      <w:sz w:val="20"/>
    </w:rPr>
  </w:style>
  <w:style w:type="character" w:customStyle="1" w:styleId="FootnoteTextChar">
    <w:name w:val="Footnote Text Char"/>
    <w:basedOn w:val="DefaultParagraphFont"/>
    <w:uiPriority w:val="99"/>
    <w:semiHidden/>
    <w:rsid w:val="00F122E0"/>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F122E0"/>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F122E0"/>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F122E0"/>
    <w:pPr>
      <w:spacing w:after="160" w:line="240" w:lineRule="exact"/>
      <w:jc w:val="left"/>
    </w:pPr>
    <w:rPr>
      <w:rFonts w:asciiTheme="minorHAnsi" w:eastAsiaTheme="minorHAnsi" w:hAnsiTheme="minorHAnsi" w:cstheme="minorBidi"/>
      <w:sz w:val="22"/>
      <w:szCs w:val="22"/>
      <w:vertAlign w:val="superscript"/>
      <w:lang w:eastAsia="en-US"/>
    </w:rPr>
  </w:style>
  <w:style w:type="paragraph" w:styleId="ListBullet">
    <w:name w:val="List Bullet"/>
    <w:basedOn w:val="Normal"/>
    <w:link w:val="ListBulletChar"/>
    <w:uiPriority w:val="99"/>
    <w:rsid w:val="00F122E0"/>
    <w:pPr>
      <w:numPr>
        <w:numId w:val="1"/>
      </w:numPr>
    </w:pPr>
  </w:style>
  <w:style w:type="character" w:customStyle="1" w:styleId="ListBulletChar">
    <w:name w:val="List Bullet Char"/>
    <w:link w:val="ListBullet"/>
    <w:uiPriority w:val="99"/>
    <w:rsid w:val="00F122E0"/>
    <w:rPr>
      <w:rFonts w:ascii="Courier New" w:eastAsia="Times New Roman" w:hAnsi="Courier New" w:cs="Times New Roman"/>
      <w:sz w:val="24"/>
      <w:szCs w:val="20"/>
      <w:lang w:eastAsia="en-GB"/>
    </w:rPr>
  </w:style>
  <w:style w:type="paragraph" w:styleId="ListParagraph">
    <w:name w:val="List Paragraph"/>
    <w:aliases w:val="1st level - Bullet List Paragraph,List Paragraph1,Lettre d'introduction,Paragrafo elenco,Medium Grid 1 - Accent 21,Fiche List Paragraph,Dot pt,F5 List Paragraph,No Spacing1,List Paragraph Char Char Char,Indicator Text,Numbered Para 1,L,EC"/>
    <w:basedOn w:val="Normal"/>
    <w:link w:val="ListParagraphChar"/>
    <w:uiPriority w:val="34"/>
    <w:qFormat/>
    <w:rsid w:val="00F122E0"/>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1st level - Bullet List Paragraph Char,List Paragraph1 Char,Lettre d'introduction Char,Paragrafo elenco Char,Medium Grid 1 - Accent 21 Char,Fiche List Paragraph Char,Dot pt Char,F5 List Paragraph Char,No Spacing1 Char,L Char,EC Char"/>
    <w:link w:val="ListParagraph"/>
    <w:uiPriority w:val="34"/>
    <w:qFormat/>
    <w:locked/>
    <w:rsid w:val="00F122E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7073</Characters>
  <Application>Microsoft Office Word</Application>
  <DocSecurity>0</DocSecurity>
  <Lines>112</Lines>
  <Paragraphs>34</Paragraphs>
  <ScaleCrop>false</ScaleCrop>
  <Company>European Commission</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1</cp:revision>
  <dcterms:created xsi:type="dcterms:W3CDTF">2020-02-25T08:12:00Z</dcterms:created>
  <dcterms:modified xsi:type="dcterms:W3CDTF">2020-02-25T08:12:00Z</dcterms:modified>
</cp:coreProperties>
</file>