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1B" w:rsidRPr="00FA25DB" w:rsidRDefault="0032461B" w:rsidP="0032461B">
      <w:pPr>
        <w:spacing w:after="600"/>
        <w:jc w:val="center"/>
        <w:rPr>
          <w:rFonts w:ascii="Times New Roman" w:hAnsi="Times New Roman"/>
          <w:b/>
          <w:bCs/>
          <w:szCs w:val="24"/>
          <w:lang w:val="fr-BE"/>
        </w:rPr>
      </w:pPr>
      <w:r w:rsidRPr="00FA25DB">
        <w:rPr>
          <w:rFonts w:ascii="Times New Roman" w:hAnsi="Times New Roman"/>
          <w:b/>
          <w:bCs/>
          <w:szCs w:val="24"/>
          <w:lang w:val="fr-BE"/>
        </w:rPr>
        <w:t xml:space="preserve">Suite donnée à la </w:t>
      </w:r>
      <w:r w:rsidRPr="00FA25DB">
        <w:rPr>
          <w:rFonts w:ascii="Times New Roman" w:hAnsi="Times New Roman"/>
          <w:b/>
          <w:szCs w:val="24"/>
          <w:lang w:val="fr-BE"/>
        </w:rPr>
        <w:t>résolution non législative du Parlement européen</w:t>
      </w:r>
      <w:r w:rsidRPr="00FA25DB">
        <w:rPr>
          <w:rFonts w:ascii="Times New Roman" w:hAnsi="Times New Roman"/>
          <w:szCs w:val="24"/>
          <w:lang w:val="fr-BE"/>
        </w:rPr>
        <w:t xml:space="preserve"> </w:t>
      </w:r>
      <w:r w:rsidRPr="00FA25DB">
        <w:rPr>
          <w:rFonts w:ascii="Times New Roman" w:hAnsi="Times New Roman"/>
          <w:b/>
          <w:bCs/>
          <w:szCs w:val="24"/>
          <w:lang w:val="fr-BE"/>
        </w:rPr>
        <w:t xml:space="preserve">sur </w:t>
      </w:r>
      <w:r w:rsidRPr="00FA25DB">
        <w:rPr>
          <w:rFonts w:ascii="Times New Roman" w:hAnsi="Times New Roman"/>
          <w:b/>
          <w:shd w:val="clear" w:color="auto" w:fill="FFFFFF"/>
          <w:lang w:val="fr-BE"/>
        </w:rPr>
        <w:t xml:space="preserve">le projet de </w:t>
      </w:r>
      <w:r>
        <w:rPr>
          <w:rFonts w:ascii="Times New Roman" w:hAnsi="Times New Roman"/>
          <w:b/>
          <w:shd w:val="clear" w:color="auto" w:fill="FFFFFF"/>
          <w:lang w:val="fr-BE"/>
        </w:rPr>
        <w:br/>
      </w:r>
      <w:r w:rsidRPr="00FA25DB">
        <w:rPr>
          <w:rFonts w:ascii="Times New Roman" w:hAnsi="Times New Roman"/>
          <w:b/>
          <w:shd w:val="clear" w:color="auto" w:fill="FFFFFF"/>
          <w:lang w:val="fr-BE"/>
        </w:rPr>
        <w:t>règlement d’exécution de la Commission modifiant le règlement d’exécution (UE) nº </w:t>
      </w:r>
      <w:r w:rsidRPr="00BF7661">
        <w:rPr>
          <w:rFonts w:ascii="Times New Roman" w:hAnsi="Times New Roman"/>
          <w:b/>
          <w:shd w:val="clear" w:color="auto" w:fill="FFFFFF"/>
          <w:lang w:val="fr-BE"/>
        </w:rPr>
        <w:t>540</w:t>
      </w:r>
      <w:r w:rsidRPr="00FA25DB">
        <w:rPr>
          <w:rFonts w:ascii="Times New Roman" w:hAnsi="Times New Roman"/>
          <w:b/>
          <w:shd w:val="clear" w:color="auto" w:fill="FFFFFF"/>
          <w:lang w:val="fr-BE"/>
        </w:rPr>
        <w:t>/</w:t>
      </w:r>
      <w:r w:rsidRPr="00BF7661">
        <w:rPr>
          <w:rFonts w:ascii="Times New Roman" w:hAnsi="Times New Roman"/>
          <w:b/>
          <w:shd w:val="clear" w:color="auto" w:fill="FFFFFF"/>
          <w:lang w:val="fr-BE"/>
        </w:rPr>
        <w:t>2011</w:t>
      </w:r>
      <w:r w:rsidRPr="00FA25DB">
        <w:rPr>
          <w:rFonts w:ascii="Times New Roman" w:hAnsi="Times New Roman"/>
          <w:b/>
          <w:shd w:val="clear" w:color="auto" w:fill="FFFFFF"/>
          <w:lang w:val="fr-BE"/>
        </w:rPr>
        <w:t xml:space="preserve"> en ce qui concerne la prolongation de la validité de l’approbation des substances actives </w:t>
      </w:r>
      <w:proofErr w:type="spellStart"/>
      <w:r w:rsidRPr="00FA25DB">
        <w:rPr>
          <w:rFonts w:ascii="Times New Roman" w:hAnsi="Times New Roman"/>
          <w:b/>
          <w:shd w:val="clear" w:color="auto" w:fill="FFFFFF"/>
          <w:lang w:val="fr-BE"/>
        </w:rPr>
        <w:t>beflubutamide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bénalaxyl</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benthiavalicarb</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bifénazate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boscalid</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bromoxynil</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captane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cyazofamid</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diméthomorphe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éthéphon</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étoxazole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famoxadone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fenamiphos</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flumioxazine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fluoxastrobine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folpet</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formétanate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métribuzine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milbémectine</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Paecilomyces</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lilacinus</w:t>
      </w:r>
      <w:proofErr w:type="spellEnd"/>
      <w:r w:rsidRPr="00FA25DB">
        <w:rPr>
          <w:rFonts w:ascii="Times New Roman" w:hAnsi="Times New Roman"/>
          <w:b/>
          <w:shd w:val="clear" w:color="auto" w:fill="FFFFFF"/>
          <w:lang w:val="fr-BE"/>
        </w:rPr>
        <w:t xml:space="preserve"> – souche </w:t>
      </w:r>
      <w:r w:rsidRPr="00BF7661">
        <w:rPr>
          <w:rFonts w:ascii="Times New Roman" w:hAnsi="Times New Roman"/>
          <w:b/>
          <w:shd w:val="clear" w:color="auto" w:fill="FFFFFF"/>
          <w:lang w:val="fr-BE"/>
        </w:rPr>
        <w:t>251</w:t>
      </w:r>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phenmedipham</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phosmet</w:t>
      </w:r>
      <w:proofErr w:type="spellEnd"/>
      <w:r w:rsidRPr="00FA25DB">
        <w:rPr>
          <w:rFonts w:ascii="Times New Roman" w:hAnsi="Times New Roman"/>
          <w:b/>
          <w:shd w:val="clear" w:color="auto" w:fill="FFFFFF"/>
          <w:lang w:val="fr-BE"/>
        </w:rPr>
        <w:t xml:space="preserve">, </w:t>
      </w:r>
      <w:proofErr w:type="spellStart"/>
      <w:r w:rsidRPr="00FA25DB">
        <w:rPr>
          <w:rFonts w:ascii="Times New Roman" w:hAnsi="Times New Roman"/>
          <w:b/>
          <w:shd w:val="clear" w:color="auto" w:fill="FFFFFF"/>
          <w:lang w:val="fr-BE"/>
        </w:rPr>
        <w:t>pirimiphos</w:t>
      </w:r>
      <w:proofErr w:type="spellEnd"/>
      <w:r w:rsidRPr="00FA25DB">
        <w:rPr>
          <w:rFonts w:ascii="Times New Roman" w:hAnsi="Times New Roman"/>
          <w:b/>
          <w:shd w:val="clear" w:color="auto" w:fill="FFFFFF"/>
          <w:lang w:val="fr-BE"/>
        </w:rPr>
        <w:t xml:space="preserve">-méthyl, </w:t>
      </w:r>
      <w:proofErr w:type="spellStart"/>
      <w:r w:rsidRPr="00FA25DB">
        <w:rPr>
          <w:rFonts w:ascii="Times New Roman" w:hAnsi="Times New Roman"/>
          <w:b/>
          <w:shd w:val="clear" w:color="auto" w:fill="FFFFFF"/>
          <w:lang w:val="fr-BE"/>
        </w:rPr>
        <w:t>propamocarbe</w:t>
      </w:r>
      <w:proofErr w:type="spellEnd"/>
      <w:r w:rsidRPr="00FA25DB">
        <w:rPr>
          <w:rFonts w:ascii="Times New Roman" w:hAnsi="Times New Roman"/>
          <w:b/>
          <w:shd w:val="clear" w:color="auto" w:fill="FFFFFF"/>
          <w:lang w:val="fr-BE"/>
        </w:rPr>
        <w:t xml:space="preserve">, </w:t>
      </w:r>
      <w:r>
        <w:rPr>
          <w:rFonts w:ascii="Times New Roman" w:hAnsi="Times New Roman"/>
          <w:b/>
          <w:shd w:val="clear" w:color="auto" w:fill="FFFFFF"/>
          <w:lang w:val="fr-BE"/>
        </w:rPr>
        <w:br/>
      </w:r>
      <w:proofErr w:type="spellStart"/>
      <w:r w:rsidRPr="00FA25DB">
        <w:rPr>
          <w:rFonts w:ascii="Times New Roman" w:hAnsi="Times New Roman"/>
          <w:b/>
          <w:shd w:val="clear" w:color="auto" w:fill="FFFFFF"/>
          <w:lang w:val="fr-BE"/>
        </w:rPr>
        <w:t>prothioconazole</w:t>
      </w:r>
      <w:proofErr w:type="spellEnd"/>
      <w:r w:rsidRPr="00FA25DB">
        <w:rPr>
          <w:rFonts w:ascii="Times New Roman" w:hAnsi="Times New Roman"/>
          <w:b/>
          <w:shd w:val="clear" w:color="auto" w:fill="FFFFFF"/>
          <w:lang w:val="fr-BE"/>
        </w:rPr>
        <w:t xml:space="preserve"> et S-</w:t>
      </w:r>
      <w:proofErr w:type="spellStart"/>
      <w:r w:rsidRPr="00FA25DB">
        <w:rPr>
          <w:rFonts w:ascii="Times New Roman" w:hAnsi="Times New Roman"/>
          <w:b/>
          <w:shd w:val="clear" w:color="auto" w:fill="FFFFFF"/>
          <w:lang w:val="fr-BE"/>
        </w:rPr>
        <w:t>métolachlore</w:t>
      </w:r>
      <w:proofErr w:type="spellEnd"/>
    </w:p>
    <w:p w:rsidR="0032461B" w:rsidRPr="00FA25DB" w:rsidRDefault="0032461B" w:rsidP="0032461B">
      <w:pPr>
        <w:numPr>
          <w:ilvl w:val="0"/>
          <w:numId w:val="1"/>
        </w:numPr>
        <w:spacing w:after="240" w:line="240" w:lineRule="auto"/>
        <w:jc w:val="both"/>
        <w:rPr>
          <w:rFonts w:ascii="Times New Roman" w:hAnsi="Times New Roman"/>
          <w:b/>
          <w:szCs w:val="24"/>
          <w:lang w:val="fr-BE"/>
        </w:rPr>
      </w:pPr>
      <w:r w:rsidRPr="00FA25DB">
        <w:rPr>
          <w:rFonts w:ascii="Times New Roman" w:hAnsi="Times New Roman"/>
          <w:b/>
          <w:szCs w:val="24"/>
          <w:lang w:val="fr-BE"/>
        </w:rPr>
        <w:t>Résolution présentée conformément à l’article </w:t>
      </w:r>
      <w:r w:rsidRPr="00BF7661">
        <w:rPr>
          <w:rFonts w:ascii="Times New Roman" w:hAnsi="Times New Roman"/>
          <w:b/>
          <w:szCs w:val="24"/>
          <w:lang w:val="fr-BE"/>
        </w:rPr>
        <w:t>112</w:t>
      </w:r>
      <w:r w:rsidRPr="00FA25DB">
        <w:rPr>
          <w:rFonts w:ascii="Times New Roman" w:hAnsi="Times New Roman"/>
          <w:b/>
          <w:szCs w:val="24"/>
          <w:lang w:val="fr-BE"/>
        </w:rPr>
        <w:t>, paragraphes </w:t>
      </w:r>
      <w:r w:rsidRPr="00BF7661">
        <w:rPr>
          <w:rFonts w:ascii="Times New Roman" w:hAnsi="Times New Roman"/>
          <w:b/>
          <w:szCs w:val="24"/>
          <w:lang w:val="fr-BE"/>
        </w:rPr>
        <w:t>2</w:t>
      </w:r>
      <w:r w:rsidRPr="00FA25DB">
        <w:rPr>
          <w:rFonts w:ascii="Times New Roman" w:hAnsi="Times New Roman"/>
          <w:b/>
          <w:szCs w:val="24"/>
          <w:lang w:val="fr-BE"/>
        </w:rPr>
        <w:t xml:space="preserve"> et </w:t>
      </w:r>
      <w:r w:rsidRPr="00BF7661">
        <w:rPr>
          <w:rFonts w:ascii="Times New Roman" w:hAnsi="Times New Roman"/>
          <w:b/>
          <w:szCs w:val="24"/>
          <w:lang w:val="fr-BE"/>
        </w:rPr>
        <w:t>3</w:t>
      </w:r>
      <w:r w:rsidRPr="00FA25DB">
        <w:rPr>
          <w:rFonts w:ascii="Times New Roman" w:hAnsi="Times New Roman"/>
          <w:b/>
          <w:szCs w:val="24"/>
          <w:lang w:val="fr-BE"/>
        </w:rPr>
        <w:t>, du règlement intérieur du Parlement européen</w:t>
      </w:r>
    </w:p>
    <w:p w:rsidR="0032461B" w:rsidRPr="00FA25DB" w:rsidRDefault="0032461B" w:rsidP="0032461B">
      <w:pPr>
        <w:numPr>
          <w:ilvl w:val="0"/>
          <w:numId w:val="1"/>
        </w:numPr>
        <w:spacing w:after="240" w:line="240" w:lineRule="auto"/>
        <w:jc w:val="both"/>
        <w:rPr>
          <w:rFonts w:ascii="Times New Roman" w:hAnsi="Times New Roman"/>
          <w:i/>
          <w:szCs w:val="24"/>
          <w:lang w:val="fr-BE"/>
        </w:rPr>
      </w:pPr>
      <w:r w:rsidRPr="00FA25DB">
        <w:rPr>
          <w:rFonts w:ascii="Times New Roman" w:hAnsi="Times New Roman"/>
          <w:b/>
          <w:szCs w:val="24"/>
          <w:lang w:val="fr-BE"/>
        </w:rPr>
        <w:t xml:space="preserve">Numéros de référence: </w:t>
      </w:r>
      <w:r w:rsidRPr="00BF7661">
        <w:rPr>
          <w:rFonts w:ascii="Times New Roman" w:hAnsi="Times New Roman"/>
          <w:szCs w:val="24"/>
          <w:lang w:val="fr-BE"/>
        </w:rPr>
        <w:t>2020</w:t>
      </w:r>
      <w:r w:rsidRPr="00FA25DB">
        <w:rPr>
          <w:rFonts w:ascii="Times New Roman" w:hAnsi="Times New Roman"/>
          <w:szCs w:val="24"/>
          <w:lang w:val="fr-BE"/>
        </w:rPr>
        <w:t>/</w:t>
      </w:r>
      <w:r w:rsidRPr="00BF7661">
        <w:rPr>
          <w:rFonts w:ascii="Times New Roman" w:hAnsi="Times New Roman"/>
          <w:szCs w:val="24"/>
          <w:lang w:val="fr-BE"/>
        </w:rPr>
        <w:t>2671</w:t>
      </w:r>
      <w:r w:rsidRPr="00FA25DB">
        <w:rPr>
          <w:rFonts w:ascii="Times New Roman" w:hAnsi="Times New Roman"/>
          <w:szCs w:val="24"/>
          <w:lang w:val="fr-BE"/>
        </w:rPr>
        <w:t> (</w:t>
      </w:r>
      <w:proofErr w:type="spellStart"/>
      <w:r w:rsidRPr="00FA25DB">
        <w:rPr>
          <w:rFonts w:ascii="Times New Roman" w:hAnsi="Times New Roman"/>
          <w:szCs w:val="24"/>
          <w:lang w:val="fr-BE"/>
        </w:rPr>
        <w:t>RSP</w:t>
      </w:r>
      <w:proofErr w:type="spellEnd"/>
      <w:r w:rsidRPr="00FA25DB">
        <w:rPr>
          <w:rFonts w:ascii="Times New Roman" w:hAnsi="Times New Roman"/>
          <w:szCs w:val="24"/>
          <w:lang w:val="fr-BE"/>
        </w:rPr>
        <w:t>) / </w:t>
      </w:r>
      <w:bookmarkStart w:id="0" w:name="_GoBack"/>
      <w:r w:rsidRPr="00FA25DB">
        <w:rPr>
          <w:rFonts w:ascii="Times New Roman" w:hAnsi="Times New Roman"/>
          <w:szCs w:val="24"/>
          <w:lang w:val="fr-BE"/>
        </w:rPr>
        <w:t>B</w:t>
      </w:r>
      <w:r w:rsidRPr="00BF7661">
        <w:rPr>
          <w:rFonts w:ascii="Times New Roman" w:hAnsi="Times New Roman"/>
          <w:szCs w:val="24"/>
          <w:lang w:val="fr-BE"/>
        </w:rPr>
        <w:t>9</w:t>
      </w:r>
      <w:r w:rsidRPr="00FA25DB">
        <w:rPr>
          <w:rFonts w:ascii="Times New Roman" w:hAnsi="Times New Roman"/>
          <w:szCs w:val="24"/>
          <w:lang w:val="fr-BE"/>
        </w:rPr>
        <w:t>-</w:t>
      </w:r>
      <w:r w:rsidRPr="00BF7661">
        <w:rPr>
          <w:rFonts w:ascii="Times New Roman" w:hAnsi="Times New Roman"/>
          <w:szCs w:val="24"/>
          <w:lang w:val="fr-BE"/>
        </w:rPr>
        <w:t>0203</w:t>
      </w:r>
      <w:r w:rsidRPr="00FA25DB">
        <w:rPr>
          <w:rFonts w:ascii="Times New Roman" w:hAnsi="Times New Roman"/>
          <w:szCs w:val="24"/>
          <w:lang w:val="fr-BE"/>
        </w:rPr>
        <w:t>/</w:t>
      </w:r>
      <w:r w:rsidRPr="00BF7661">
        <w:rPr>
          <w:rFonts w:ascii="Times New Roman" w:hAnsi="Times New Roman"/>
          <w:szCs w:val="24"/>
          <w:lang w:val="fr-BE"/>
        </w:rPr>
        <w:t>2020</w:t>
      </w:r>
      <w:bookmarkEnd w:id="0"/>
      <w:r w:rsidRPr="00FA25DB">
        <w:rPr>
          <w:rFonts w:ascii="Times New Roman" w:hAnsi="Times New Roman"/>
          <w:szCs w:val="24"/>
          <w:lang w:val="fr-BE"/>
        </w:rPr>
        <w:t> / P</w:t>
      </w:r>
      <w:r w:rsidRPr="00BF7661">
        <w:rPr>
          <w:rFonts w:ascii="Times New Roman" w:hAnsi="Times New Roman"/>
          <w:szCs w:val="24"/>
          <w:lang w:val="fr-BE"/>
        </w:rPr>
        <w:t>9</w:t>
      </w:r>
      <w:r w:rsidRPr="00FA25DB">
        <w:rPr>
          <w:rFonts w:ascii="Times New Roman" w:hAnsi="Times New Roman"/>
          <w:szCs w:val="24"/>
          <w:lang w:val="fr-BE"/>
        </w:rPr>
        <w:t>_TA-</w:t>
      </w:r>
      <w:proofErr w:type="gramStart"/>
      <w:r w:rsidRPr="00FA25DB">
        <w:rPr>
          <w:rFonts w:ascii="Times New Roman" w:hAnsi="Times New Roman"/>
          <w:szCs w:val="24"/>
          <w:lang w:val="fr-BE"/>
        </w:rPr>
        <w:t>PROV(</w:t>
      </w:r>
      <w:proofErr w:type="gramEnd"/>
      <w:r w:rsidRPr="00BF7661">
        <w:rPr>
          <w:rFonts w:ascii="Times New Roman" w:hAnsi="Times New Roman"/>
          <w:szCs w:val="24"/>
          <w:lang w:val="fr-BE"/>
        </w:rPr>
        <w:t>2020</w:t>
      </w:r>
      <w:r w:rsidRPr="00FA25DB">
        <w:rPr>
          <w:rFonts w:ascii="Times New Roman" w:hAnsi="Times New Roman"/>
          <w:szCs w:val="24"/>
          <w:lang w:val="fr-BE"/>
        </w:rPr>
        <w:t>)</w:t>
      </w:r>
      <w:r w:rsidRPr="00BF7661">
        <w:rPr>
          <w:rFonts w:ascii="Times New Roman" w:hAnsi="Times New Roman"/>
          <w:szCs w:val="24"/>
          <w:lang w:val="fr-BE"/>
        </w:rPr>
        <w:t>0197</w:t>
      </w:r>
    </w:p>
    <w:p w:rsidR="0032461B" w:rsidRPr="00FA25DB" w:rsidRDefault="0032461B" w:rsidP="0032461B">
      <w:pPr>
        <w:numPr>
          <w:ilvl w:val="0"/>
          <w:numId w:val="1"/>
        </w:numPr>
        <w:spacing w:after="240" w:line="240" w:lineRule="auto"/>
        <w:jc w:val="both"/>
        <w:rPr>
          <w:rFonts w:ascii="Times New Roman" w:hAnsi="Times New Roman"/>
          <w:szCs w:val="24"/>
          <w:lang w:val="fr-BE"/>
        </w:rPr>
      </w:pPr>
      <w:r w:rsidRPr="00FA25DB">
        <w:rPr>
          <w:rFonts w:ascii="Times New Roman" w:hAnsi="Times New Roman"/>
          <w:b/>
          <w:szCs w:val="24"/>
          <w:lang w:val="fr-BE"/>
        </w:rPr>
        <w:t>Date d’adoption de la résolution:</w:t>
      </w:r>
      <w:r w:rsidRPr="00FA25DB">
        <w:rPr>
          <w:rFonts w:ascii="Times New Roman" w:hAnsi="Times New Roman"/>
          <w:szCs w:val="24"/>
          <w:lang w:val="fr-BE"/>
        </w:rPr>
        <w:t xml:space="preserve"> </w:t>
      </w:r>
      <w:r w:rsidRPr="00BF7661">
        <w:rPr>
          <w:rFonts w:ascii="Times New Roman" w:hAnsi="Times New Roman"/>
          <w:szCs w:val="24"/>
          <w:lang w:val="fr-BE"/>
        </w:rPr>
        <w:t>10</w:t>
      </w:r>
      <w:r w:rsidRPr="00FA25DB">
        <w:rPr>
          <w:rFonts w:ascii="Times New Roman" w:hAnsi="Times New Roman"/>
          <w:szCs w:val="24"/>
          <w:lang w:val="fr-BE"/>
        </w:rPr>
        <w:t> juillet </w:t>
      </w:r>
      <w:r w:rsidRPr="00BF7661">
        <w:rPr>
          <w:rFonts w:ascii="Times New Roman" w:hAnsi="Times New Roman"/>
          <w:szCs w:val="24"/>
          <w:lang w:val="fr-BE"/>
        </w:rPr>
        <w:t>2020</w:t>
      </w:r>
    </w:p>
    <w:p w:rsidR="0032461B" w:rsidRPr="00FA25DB" w:rsidRDefault="0032461B" w:rsidP="0032461B">
      <w:pPr>
        <w:pStyle w:val="ListParagraph"/>
        <w:numPr>
          <w:ilvl w:val="0"/>
          <w:numId w:val="1"/>
        </w:numPr>
        <w:spacing w:after="240"/>
        <w:jc w:val="both"/>
        <w:rPr>
          <w:rFonts w:ascii="Times New Roman" w:hAnsi="Times New Roman"/>
          <w:sz w:val="24"/>
          <w:szCs w:val="24"/>
          <w:lang w:val="fr-BE"/>
        </w:rPr>
      </w:pPr>
      <w:r w:rsidRPr="00FA25DB">
        <w:rPr>
          <w:rFonts w:ascii="Times New Roman" w:hAnsi="Times New Roman"/>
          <w:b/>
          <w:sz w:val="24"/>
          <w:szCs w:val="24"/>
          <w:lang w:val="fr-BE"/>
        </w:rPr>
        <w:t>Commission parlementaire compétente:</w:t>
      </w:r>
      <w:r w:rsidRPr="00FA25DB">
        <w:rPr>
          <w:rFonts w:ascii="Times New Roman" w:hAnsi="Times New Roman"/>
          <w:sz w:val="24"/>
          <w:szCs w:val="24"/>
          <w:lang w:val="fr-BE"/>
        </w:rPr>
        <w:t xml:space="preserve"> commission de l’environnement, de la santé publique et de la sécurité alimentaire (ENVI)</w:t>
      </w:r>
    </w:p>
    <w:p w:rsidR="0032461B" w:rsidRPr="00FA25DB" w:rsidRDefault="0032461B" w:rsidP="0032461B">
      <w:pPr>
        <w:widowControl w:val="0"/>
        <w:numPr>
          <w:ilvl w:val="0"/>
          <w:numId w:val="1"/>
        </w:numPr>
        <w:spacing w:after="240" w:line="240" w:lineRule="auto"/>
        <w:jc w:val="both"/>
        <w:rPr>
          <w:rFonts w:ascii="Times New Roman" w:hAnsi="Times New Roman"/>
          <w:szCs w:val="24"/>
          <w:lang w:val="fr-BE"/>
        </w:rPr>
      </w:pPr>
      <w:r w:rsidRPr="00FA25DB">
        <w:rPr>
          <w:rFonts w:ascii="Times New Roman" w:hAnsi="Times New Roman"/>
          <w:b/>
          <w:szCs w:val="24"/>
          <w:lang w:val="fr-BE"/>
        </w:rPr>
        <w:t>Analyse/évaluation succincte de la résolution et des demandes qu’elle contient:</w:t>
      </w:r>
    </w:p>
    <w:p w:rsidR="0032461B" w:rsidRPr="00FA25DB" w:rsidRDefault="0032461B" w:rsidP="0032461B">
      <w:pPr>
        <w:spacing w:before="240"/>
        <w:jc w:val="both"/>
        <w:rPr>
          <w:rFonts w:ascii="Times New Roman" w:hAnsi="Times New Roman"/>
          <w:szCs w:val="24"/>
          <w:highlight w:val="red"/>
          <w:lang w:val="fr-BE"/>
        </w:rPr>
      </w:pPr>
      <w:r w:rsidRPr="00FA25DB">
        <w:rPr>
          <w:rFonts w:ascii="Times New Roman" w:hAnsi="Times New Roman"/>
          <w:szCs w:val="24"/>
          <w:lang w:val="fr-BE"/>
        </w:rPr>
        <w:t xml:space="preserve">La résolution concerne la prolongation de la validité de l’approbation de la substance active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Elle fait référence à la première approbation, à la procédure en cours pour le renouvellement de l’approbation et aux prolongations antérieures de l’approbation (</w:t>
      </w:r>
      <w:r w:rsidRPr="00FA25DB">
        <w:rPr>
          <w:rFonts w:ascii="Times New Roman" w:hAnsi="Times New Roman"/>
          <w:b/>
          <w:szCs w:val="24"/>
          <w:lang w:val="fr-BE"/>
        </w:rPr>
        <w:t>considérants A, B, C</w:t>
      </w:r>
      <w:r w:rsidRPr="00FA25DB">
        <w:rPr>
          <w:rFonts w:ascii="Times New Roman" w:hAnsi="Times New Roman"/>
          <w:szCs w:val="24"/>
          <w:lang w:val="fr-BE"/>
        </w:rPr>
        <w:t xml:space="preserve"> et </w:t>
      </w:r>
      <w:r w:rsidRPr="00FA25DB">
        <w:rPr>
          <w:rFonts w:ascii="Times New Roman" w:hAnsi="Times New Roman"/>
          <w:b/>
          <w:szCs w:val="24"/>
          <w:lang w:val="fr-BE"/>
        </w:rPr>
        <w:t>D</w:t>
      </w:r>
      <w:r w:rsidRPr="00FA25DB">
        <w:rPr>
          <w:rFonts w:ascii="Times New Roman" w:hAnsi="Times New Roman"/>
          <w:szCs w:val="24"/>
          <w:lang w:val="fr-BE"/>
        </w:rPr>
        <w:t>) et rappelle les objectifs et certaines dispositions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w:t>
      </w:r>
      <w:r w:rsidRPr="00FA25DB">
        <w:rPr>
          <w:rFonts w:ascii="Times New Roman" w:hAnsi="Times New Roman"/>
          <w:b/>
          <w:szCs w:val="24"/>
          <w:lang w:val="fr-BE"/>
        </w:rPr>
        <w:t>considérants E, F, G, I, J</w:t>
      </w:r>
      <w:r w:rsidRPr="00FA25DB">
        <w:rPr>
          <w:rFonts w:ascii="Times New Roman" w:hAnsi="Times New Roman"/>
          <w:szCs w:val="24"/>
          <w:lang w:val="fr-BE"/>
        </w:rPr>
        <w:t xml:space="preserve"> et </w:t>
      </w:r>
      <w:r w:rsidRPr="00FA25DB">
        <w:rPr>
          <w:rFonts w:ascii="Times New Roman" w:hAnsi="Times New Roman"/>
          <w:b/>
          <w:szCs w:val="24"/>
          <w:lang w:val="fr-BE"/>
        </w:rPr>
        <w:t>N</w:t>
      </w:r>
      <w:r w:rsidRPr="00FA25DB">
        <w:rPr>
          <w:rFonts w:ascii="Times New Roman" w:hAnsi="Times New Roman"/>
          <w:szCs w:val="24"/>
          <w:lang w:val="fr-BE"/>
        </w:rPr>
        <w:t>). Elle mentionne diverses propriétés dangereuses, par exemple</w:t>
      </w:r>
      <w:proofErr w:type="gramStart"/>
      <w:r w:rsidRPr="00FA25DB">
        <w:rPr>
          <w:rFonts w:ascii="Times New Roman" w:hAnsi="Times New Roman"/>
          <w:szCs w:val="24"/>
          <w:lang w:val="fr-BE"/>
        </w:rPr>
        <w:t xml:space="preserve"> «toxique</w:t>
      </w:r>
      <w:proofErr w:type="gramEnd"/>
      <w:r w:rsidRPr="00FA25DB">
        <w:rPr>
          <w:rFonts w:ascii="Times New Roman" w:hAnsi="Times New Roman"/>
          <w:szCs w:val="24"/>
          <w:lang w:val="fr-BE"/>
        </w:rPr>
        <w:t xml:space="preserve"> pour la reproduction de catégorie </w:t>
      </w:r>
      <w:r w:rsidRPr="00BF7661">
        <w:rPr>
          <w:rFonts w:ascii="Times New Roman" w:hAnsi="Times New Roman"/>
          <w:szCs w:val="24"/>
          <w:lang w:val="fr-BE"/>
        </w:rPr>
        <w:t>1</w:t>
      </w:r>
      <w:r w:rsidRPr="00FA25DB">
        <w:rPr>
          <w:rFonts w:ascii="Times New Roman" w:hAnsi="Times New Roman"/>
          <w:szCs w:val="24"/>
          <w:lang w:val="fr-BE"/>
        </w:rPr>
        <w:t>B» et «très toxique pour les organismes aquatiques» (</w:t>
      </w:r>
      <w:r w:rsidRPr="00FA25DB">
        <w:rPr>
          <w:rFonts w:ascii="Times New Roman" w:hAnsi="Times New Roman"/>
          <w:b/>
          <w:szCs w:val="24"/>
          <w:lang w:val="fr-BE"/>
        </w:rPr>
        <w:t>considérants H, K</w:t>
      </w:r>
      <w:r w:rsidRPr="00FA25DB">
        <w:rPr>
          <w:rFonts w:ascii="Times New Roman" w:hAnsi="Times New Roman"/>
          <w:szCs w:val="24"/>
          <w:lang w:val="fr-BE"/>
        </w:rPr>
        <w:t xml:space="preserve"> et </w:t>
      </w:r>
      <w:r w:rsidRPr="00FA25DB">
        <w:rPr>
          <w:rFonts w:ascii="Times New Roman" w:hAnsi="Times New Roman"/>
          <w:b/>
          <w:szCs w:val="24"/>
          <w:lang w:val="fr-BE"/>
        </w:rPr>
        <w:t>O</w:t>
      </w:r>
      <w:r w:rsidRPr="00FA25DB">
        <w:rPr>
          <w:rFonts w:ascii="Times New Roman" w:hAnsi="Times New Roman"/>
          <w:szCs w:val="24"/>
          <w:lang w:val="fr-BE"/>
        </w:rPr>
        <w:t>). Dans sa résolution, le Parlement européen note en outre le fait que l’Autorité européenne de sécurité des aliments (</w:t>
      </w:r>
      <w:proofErr w:type="spellStart"/>
      <w:r w:rsidRPr="00FA25DB">
        <w:rPr>
          <w:rFonts w:ascii="Times New Roman" w:hAnsi="Times New Roman"/>
          <w:szCs w:val="24"/>
          <w:lang w:val="fr-BE"/>
        </w:rPr>
        <w:t>EFSA</w:t>
      </w:r>
      <w:proofErr w:type="spellEnd"/>
      <w:r w:rsidRPr="00FA25DB">
        <w:rPr>
          <w:rFonts w:ascii="Times New Roman" w:hAnsi="Times New Roman"/>
          <w:szCs w:val="24"/>
          <w:lang w:val="fr-BE"/>
        </w:rPr>
        <w:t>) a conclu dès </w:t>
      </w:r>
      <w:r w:rsidRPr="00BF7661">
        <w:rPr>
          <w:rFonts w:ascii="Times New Roman" w:hAnsi="Times New Roman"/>
          <w:szCs w:val="24"/>
          <w:lang w:val="fr-BE"/>
        </w:rPr>
        <w:t>2014</w:t>
      </w:r>
      <w:r w:rsidRPr="00FA25DB">
        <w:rPr>
          <w:rFonts w:ascii="Times New Roman" w:hAnsi="Times New Roman"/>
          <w:szCs w:val="24"/>
          <w:lang w:val="fr-BE"/>
        </w:rPr>
        <w:t>, puis en </w:t>
      </w:r>
      <w:r w:rsidRPr="00BF7661">
        <w:rPr>
          <w:rFonts w:ascii="Times New Roman" w:hAnsi="Times New Roman"/>
          <w:szCs w:val="24"/>
          <w:lang w:val="fr-BE"/>
        </w:rPr>
        <w:t>2017</w:t>
      </w:r>
      <w:r w:rsidRPr="00FA25DB">
        <w:rPr>
          <w:rFonts w:ascii="Times New Roman" w:hAnsi="Times New Roman"/>
          <w:szCs w:val="24"/>
          <w:lang w:val="fr-BE"/>
        </w:rPr>
        <w:t xml:space="preserve"> et en </w:t>
      </w:r>
      <w:r w:rsidRPr="00BF7661">
        <w:rPr>
          <w:rFonts w:ascii="Times New Roman" w:hAnsi="Times New Roman"/>
          <w:szCs w:val="24"/>
          <w:lang w:val="fr-BE"/>
        </w:rPr>
        <w:t>2018</w:t>
      </w:r>
      <w:r w:rsidRPr="00FA25DB">
        <w:rPr>
          <w:rFonts w:ascii="Times New Roman" w:hAnsi="Times New Roman"/>
          <w:szCs w:val="24"/>
          <w:lang w:val="fr-BE"/>
        </w:rPr>
        <w:t>, qu’il subsiste des préoccupations critiques (</w:t>
      </w:r>
      <w:r w:rsidRPr="00FA25DB">
        <w:rPr>
          <w:rFonts w:ascii="Times New Roman" w:hAnsi="Times New Roman"/>
          <w:b/>
          <w:szCs w:val="24"/>
          <w:lang w:val="fr-BE"/>
        </w:rPr>
        <w:t>considérant L</w:t>
      </w:r>
      <w:r w:rsidRPr="00FA25DB">
        <w:rPr>
          <w:rFonts w:ascii="Times New Roman" w:hAnsi="Times New Roman"/>
          <w:szCs w:val="24"/>
          <w:lang w:val="fr-BE"/>
        </w:rPr>
        <w:t xml:space="preserve">), l’inscription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sur la «liste des substances dont on envisage la substitution» dans le cadre du règlement d’exécution (UE) </w:t>
      </w:r>
      <w:r w:rsidRPr="00BF7661">
        <w:rPr>
          <w:rFonts w:ascii="Times New Roman" w:hAnsi="Times New Roman"/>
          <w:szCs w:val="24"/>
          <w:lang w:val="fr-BE"/>
        </w:rPr>
        <w:t>2015</w:t>
      </w:r>
      <w:r w:rsidRPr="00FA25DB">
        <w:rPr>
          <w:rFonts w:ascii="Times New Roman" w:hAnsi="Times New Roman"/>
          <w:szCs w:val="24"/>
          <w:lang w:val="fr-BE"/>
        </w:rPr>
        <w:t>/</w:t>
      </w:r>
      <w:r w:rsidRPr="00BF7661">
        <w:rPr>
          <w:rFonts w:ascii="Times New Roman" w:hAnsi="Times New Roman"/>
          <w:szCs w:val="24"/>
          <w:lang w:val="fr-BE"/>
        </w:rPr>
        <w:t>408</w:t>
      </w:r>
      <w:r w:rsidRPr="00FA25DB">
        <w:rPr>
          <w:rFonts w:ascii="Times New Roman" w:hAnsi="Times New Roman"/>
          <w:szCs w:val="24"/>
          <w:lang w:val="fr-BE"/>
        </w:rPr>
        <w:t xml:space="preserve"> (</w:t>
      </w:r>
      <w:r w:rsidRPr="00FA25DB">
        <w:rPr>
          <w:rFonts w:ascii="Times New Roman" w:hAnsi="Times New Roman"/>
          <w:b/>
          <w:szCs w:val="24"/>
          <w:lang w:val="fr-BE"/>
        </w:rPr>
        <w:t>considérant M</w:t>
      </w:r>
      <w:r w:rsidRPr="00FA25DB">
        <w:rPr>
          <w:rFonts w:ascii="Times New Roman" w:hAnsi="Times New Roman"/>
          <w:szCs w:val="24"/>
          <w:lang w:val="fr-BE"/>
        </w:rPr>
        <w:t>), ses effets perturbateurs endocriniens potentiels (</w:t>
      </w:r>
      <w:r w:rsidRPr="00FA25DB">
        <w:rPr>
          <w:rFonts w:ascii="Times New Roman" w:hAnsi="Times New Roman"/>
          <w:b/>
          <w:szCs w:val="24"/>
          <w:lang w:val="fr-BE"/>
        </w:rPr>
        <w:t>considérants P</w:t>
      </w:r>
      <w:r w:rsidRPr="00FA25DB">
        <w:rPr>
          <w:rFonts w:ascii="Times New Roman" w:hAnsi="Times New Roman"/>
          <w:szCs w:val="24"/>
          <w:lang w:val="fr-BE"/>
        </w:rPr>
        <w:t xml:space="preserve"> et </w:t>
      </w:r>
      <w:r w:rsidRPr="00FA25DB">
        <w:rPr>
          <w:rFonts w:ascii="Times New Roman" w:hAnsi="Times New Roman"/>
          <w:b/>
          <w:szCs w:val="24"/>
          <w:lang w:val="fr-BE"/>
        </w:rPr>
        <w:t>Q</w:t>
      </w:r>
      <w:r w:rsidRPr="00FA25DB">
        <w:rPr>
          <w:rFonts w:ascii="Times New Roman" w:hAnsi="Times New Roman"/>
          <w:szCs w:val="24"/>
          <w:lang w:val="fr-BE"/>
        </w:rPr>
        <w:t xml:space="preserve">) et le fait que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présente un risque élevé de bioconcentration, est hautement toxique pour les algues et les plantes aquatiques et est modérément toxique pour d’autres espèces (</w:t>
      </w:r>
      <w:r w:rsidRPr="00FA25DB">
        <w:rPr>
          <w:rFonts w:ascii="Times New Roman" w:hAnsi="Times New Roman"/>
          <w:b/>
          <w:szCs w:val="24"/>
          <w:lang w:val="fr-BE"/>
        </w:rPr>
        <w:t>considérant R</w:t>
      </w:r>
      <w:r w:rsidRPr="00FA25DB">
        <w:rPr>
          <w:rFonts w:ascii="Times New Roman" w:hAnsi="Times New Roman"/>
          <w:szCs w:val="24"/>
          <w:lang w:val="fr-BE"/>
        </w:rPr>
        <w:t>). Il considère qu’il est inacceptable qu’une substance qui satisfait actuellement aux critères d’exclusion demeure sur le marché (</w:t>
      </w:r>
      <w:r w:rsidRPr="00FA25DB">
        <w:rPr>
          <w:rFonts w:ascii="Times New Roman" w:hAnsi="Times New Roman"/>
          <w:b/>
          <w:szCs w:val="24"/>
          <w:lang w:val="fr-BE"/>
        </w:rPr>
        <w:t>considérant S</w:t>
      </w:r>
      <w:r w:rsidRPr="00FA25DB">
        <w:rPr>
          <w:rFonts w:ascii="Times New Roman" w:hAnsi="Times New Roman"/>
          <w:szCs w:val="24"/>
          <w:lang w:val="fr-BE"/>
        </w:rPr>
        <w:t>). Il affirme que les demandeurs peuvent tirer parti de l’automaticité caractérisant les méthodes de travail de la Commission, prévoyant une prolongation immédiate des périodes d’approbation des substances actives lorsque la réévaluation des risques n’a pas été menée à son terme, en fournissant des données incomplètes de manière à prolonger délibérément le processus de réévaluation et en demandant des dérogations et des conditions spéciales (</w:t>
      </w:r>
      <w:r w:rsidRPr="00FA25DB">
        <w:rPr>
          <w:rFonts w:ascii="Times New Roman" w:hAnsi="Times New Roman"/>
          <w:b/>
          <w:szCs w:val="24"/>
          <w:lang w:val="fr-BE"/>
        </w:rPr>
        <w:t>considérants T</w:t>
      </w:r>
      <w:r w:rsidRPr="00FA25DB">
        <w:rPr>
          <w:rFonts w:ascii="Times New Roman" w:hAnsi="Times New Roman"/>
          <w:szCs w:val="24"/>
          <w:lang w:val="fr-BE"/>
        </w:rPr>
        <w:t xml:space="preserve"> et </w:t>
      </w:r>
      <w:r w:rsidRPr="00FA25DB">
        <w:rPr>
          <w:rFonts w:ascii="Times New Roman" w:hAnsi="Times New Roman"/>
          <w:b/>
          <w:szCs w:val="24"/>
          <w:lang w:val="fr-BE"/>
        </w:rPr>
        <w:t>U</w:t>
      </w:r>
      <w:r w:rsidRPr="00FA25DB">
        <w:rPr>
          <w:rFonts w:ascii="Times New Roman" w:hAnsi="Times New Roman"/>
          <w:szCs w:val="24"/>
          <w:lang w:val="fr-BE"/>
        </w:rPr>
        <w:t xml:space="preserve">). Il rappelle ses résolutions antérieures du </w:t>
      </w:r>
      <w:r w:rsidRPr="00BF7661">
        <w:rPr>
          <w:rFonts w:ascii="Times New Roman" w:hAnsi="Times New Roman"/>
          <w:szCs w:val="24"/>
          <w:lang w:val="fr-BE"/>
        </w:rPr>
        <w:t>13</w:t>
      </w:r>
      <w:r w:rsidRPr="00FA25DB">
        <w:rPr>
          <w:rFonts w:ascii="Times New Roman" w:hAnsi="Times New Roman"/>
          <w:szCs w:val="24"/>
          <w:lang w:val="fr-BE"/>
        </w:rPr>
        <w:t> septembre </w:t>
      </w:r>
      <w:r w:rsidRPr="00BF7661">
        <w:rPr>
          <w:rFonts w:ascii="Times New Roman" w:hAnsi="Times New Roman"/>
          <w:szCs w:val="24"/>
          <w:lang w:val="fr-BE"/>
        </w:rPr>
        <w:t>2018</w:t>
      </w:r>
      <w:r w:rsidRPr="00FA25DB">
        <w:rPr>
          <w:rFonts w:ascii="Times New Roman" w:hAnsi="Times New Roman"/>
          <w:szCs w:val="24"/>
          <w:lang w:val="fr-BE"/>
        </w:rPr>
        <w:t xml:space="preserve"> et du </w:t>
      </w:r>
      <w:r w:rsidRPr="00BF7661">
        <w:rPr>
          <w:rFonts w:ascii="Times New Roman" w:hAnsi="Times New Roman"/>
          <w:szCs w:val="24"/>
          <w:lang w:val="fr-BE"/>
        </w:rPr>
        <w:t>10</w:t>
      </w:r>
      <w:r w:rsidRPr="00FA25DB">
        <w:rPr>
          <w:rFonts w:ascii="Times New Roman" w:hAnsi="Times New Roman"/>
          <w:szCs w:val="24"/>
          <w:lang w:val="fr-BE"/>
        </w:rPr>
        <w:t> octobre </w:t>
      </w:r>
      <w:r w:rsidRPr="00BF7661">
        <w:rPr>
          <w:rFonts w:ascii="Times New Roman" w:hAnsi="Times New Roman"/>
          <w:szCs w:val="24"/>
          <w:lang w:val="fr-BE"/>
        </w:rPr>
        <w:t>2019</w:t>
      </w:r>
      <w:r w:rsidRPr="00FA25DB">
        <w:rPr>
          <w:rFonts w:ascii="Times New Roman" w:hAnsi="Times New Roman"/>
          <w:szCs w:val="24"/>
          <w:lang w:val="fr-BE"/>
        </w:rPr>
        <w:t xml:space="preserve"> sur la question de la prolongation des approbations (</w:t>
      </w:r>
      <w:r w:rsidRPr="00FA25DB">
        <w:rPr>
          <w:rFonts w:ascii="Times New Roman" w:hAnsi="Times New Roman"/>
          <w:b/>
          <w:szCs w:val="24"/>
          <w:lang w:val="fr-BE"/>
        </w:rPr>
        <w:t>considérants V</w:t>
      </w:r>
      <w:r w:rsidRPr="00FA25DB">
        <w:rPr>
          <w:rFonts w:ascii="Times New Roman" w:hAnsi="Times New Roman"/>
          <w:szCs w:val="24"/>
          <w:lang w:val="fr-BE"/>
        </w:rPr>
        <w:t xml:space="preserve"> et </w:t>
      </w:r>
      <w:r w:rsidRPr="00FA25DB">
        <w:rPr>
          <w:rFonts w:ascii="Times New Roman" w:hAnsi="Times New Roman"/>
          <w:b/>
          <w:szCs w:val="24"/>
          <w:lang w:val="fr-BE"/>
        </w:rPr>
        <w:t>W</w:t>
      </w:r>
      <w:r w:rsidRPr="00FA25DB">
        <w:rPr>
          <w:rFonts w:ascii="Times New Roman" w:hAnsi="Times New Roman"/>
          <w:szCs w:val="24"/>
          <w:lang w:val="fr-BE"/>
        </w:rPr>
        <w: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Il indique que le projet de règlement de la Commission excède les compétences d’exécution prévues dans le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concernant la mise sur le marché des produits phytopharmaceutiques (</w:t>
      </w:r>
      <w:r w:rsidRPr="00FA25DB">
        <w:rPr>
          <w:rFonts w:ascii="Times New Roman" w:hAnsi="Times New Roman"/>
          <w:b/>
          <w:szCs w:val="24"/>
          <w:lang w:val="fr-BE"/>
        </w:rPr>
        <w:t>paragraphe </w:t>
      </w:r>
      <w:r w:rsidRPr="00BF7661">
        <w:rPr>
          <w:rFonts w:ascii="Times New Roman" w:hAnsi="Times New Roman"/>
          <w:b/>
          <w:szCs w:val="24"/>
          <w:lang w:val="fr-BE"/>
        </w:rPr>
        <w:t>1</w:t>
      </w:r>
      <w:r w:rsidRPr="00FA25DB">
        <w:rPr>
          <w:rFonts w:ascii="Times New Roman" w:hAnsi="Times New Roman"/>
          <w:szCs w:val="24"/>
          <w:lang w:val="fr-BE"/>
        </w:rPr>
        <w: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Il soutient que le projet de règlement d’exécution de la Commission ne respecte pas le principe de précaution et que la décision de prolongation de la période d’approbation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n’est pas conforme aux critères de sécurité énoncés dans le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et ne repose ni sur des </w:t>
      </w:r>
      <w:r w:rsidRPr="00FA25DB">
        <w:rPr>
          <w:rFonts w:ascii="Times New Roman" w:hAnsi="Times New Roman"/>
          <w:szCs w:val="24"/>
          <w:lang w:val="fr-BE"/>
        </w:rPr>
        <w:lastRenderedPageBreak/>
        <w:t xml:space="preserve">preuves que cette substance peut être utilisée en toute sécurité ni sur un besoin urgent et démontré de la substance active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pour la production alimentaire dans l’Union (</w:t>
      </w:r>
      <w:r w:rsidRPr="00FA25DB">
        <w:rPr>
          <w:rFonts w:ascii="Times New Roman" w:hAnsi="Times New Roman"/>
          <w:b/>
          <w:szCs w:val="24"/>
          <w:lang w:val="fr-BE"/>
        </w:rPr>
        <w:t>paragraphes </w:t>
      </w:r>
      <w:r w:rsidRPr="00BF7661">
        <w:rPr>
          <w:rFonts w:ascii="Times New Roman" w:hAnsi="Times New Roman"/>
          <w:b/>
          <w:szCs w:val="24"/>
          <w:lang w:val="fr-BE"/>
        </w:rPr>
        <w:t>2</w:t>
      </w:r>
      <w:r w:rsidRPr="00FA25DB">
        <w:rPr>
          <w:rFonts w:ascii="Times New Roman" w:hAnsi="Times New Roman"/>
          <w:szCs w:val="24"/>
          <w:lang w:val="fr-BE"/>
        </w:rPr>
        <w:t xml:space="preserve"> et </w:t>
      </w:r>
      <w:r w:rsidRPr="00BF7661">
        <w:rPr>
          <w:rFonts w:ascii="Times New Roman" w:hAnsi="Times New Roman"/>
          <w:b/>
          <w:szCs w:val="24"/>
          <w:lang w:val="fr-BE"/>
        </w:rPr>
        <w:t>4</w:t>
      </w:r>
      <w:r w:rsidRPr="00FA25DB">
        <w:rPr>
          <w:rFonts w:ascii="Times New Roman" w:hAnsi="Times New Roman"/>
          <w:szCs w:val="24"/>
          <w:lang w:val="fr-BE"/>
        </w:rPr>
        <w:t>). Il dénonce le retard pris dans le processus de renouvellement de l’autorisation et l’identification des perturbateurs endocriniens (</w:t>
      </w:r>
      <w:r w:rsidRPr="00FA25DB">
        <w:rPr>
          <w:rFonts w:ascii="Times New Roman" w:hAnsi="Times New Roman"/>
          <w:b/>
          <w:szCs w:val="24"/>
          <w:lang w:val="fr-BE"/>
        </w:rPr>
        <w:t>paragraphe </w:t>
      </w:r>
      <w:r w:rsidRPr="00BF7661">
        <w:rPr>
          <w:rFonts w:ascii="Times New Roman" w:hAnsi="Times New Roman"/>
          <w:b/>
          <w:szCs w:val="24"/>
          <w:lang w:val="fr-BE"/>
        </w:rPr>
        <w:t>3</w:t>
      </w:r>
      <w:r w:rsidRPr="00FA25DB">
        <w:rPr>
          <w:rFonts w:ascii="Times New Roman" w:hAnsi="Times New Roman"/>
          <w:szCs w:val="24"/>
          <w:lang w:val="fr-BE"/>
        </w:rPr>
        <w:t>).</w:t>
      </w:r>
    </w:p>
    <w:p w:rsidR="0032461B" w:rsidRPr="00FA25DB" w:rsidRDefault="0032461B" w:rsidP="0032461B">
      <w:pPr>
        <w:spacing w:after="120"/>
        <w:jc w:val="both"/>
        <w:rPr>
          <w:rFonts w:ascii="Times New Roman" w:hAnsi="Times New Roman"/>
          <w:b/>
          <w:szCs w:val="24"/>
          <w:lang w:val="fr-BE"/>
        </w:rPr>
      </w:pPr>
      <w:r w:rsidRPr="00FA25DB">
        <w:rPr>
          <w:rFonts w:ascii="Times New Roman" w:hAnsi="Times New Roman"/>
          <w:szCs w:val="24"/>
          <w:lang w:val="fr-BE"/>
        </w:rPr>
        <w:t>Le Parlement européen demande à la Commission:</w:t>
      </w:r>
    </w:p>
    <w:p w:rsidR="0032461B" w:rsidRPr="00FA25DB" w:rsidRDefault="0032461B" w:rsidP="0032461B">
      <w:pPr>
        <w:numPr>
          <w:ilvl w:val="0"/>
          <w:numId w:val="2"/>
        </w:numPr>
        <w:spacing w:after="120" w:line="240" w:lineRule="auto"/>
        <w:ind w:left="641" w:hanging="357"/>
        <w:jc w:val="both"/>
        <w:rPr>
          <w:rFonts w:ascii="Times New Roman" w:hAnsi="Times New Roman"/>
          <w:szCs w:val="24"/>
          <w:lang w:val="fr-BE"/>
        </w:rPr>
      </w:pPr>
      <w:proofErr w:type="gramStart"/>
      <w:r w:rsidRPr="00FA25DB">
        <w:rPr>
          <w:rFonts w:ascii="Times New Roman" w:hAnsi="Times New Roman"/>
          <w:szCs w:val="24"/>
          <w:lang w:val="fr-BE"/>
        </w:rPr>
        <w:t>de</w:t>
      </w:r>
      <w:proofErr w:type="gramEnd"/>
      <w:r w:rsidRPr="00FA25DB">
        <w:rPr>
          <w:rFonts w:ascii="Times New Roman" w:hAnsi="Times New Roman"/>
          <w:szCs w:val="24"/>
          <w:lang w:val="fr-BE"/>
        </w:rPr>
        <w:t xml:space="preserve"> retirer son projet de règlement d’exécution et de présenter au comité permanent des végétaux, des animaux, des denrées alimentaires et des aliments pour animaux un nouveau projet qui tienne compte des preuves scientifiques relatives aux propriétés nocives de toutes les substances concernées, en particulier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w:t>
      </w:r>
      <w:r w:rsidRPr="00FA25DB">
        <w:rPr>
          <w:rFonts w:ascii="Times New Roman" w:hAnsi="Times New Roman"/>
          <w:b/>
          <w:szCs w:val="24"/>
          <w:lang w:val="fr-BE"/>
        </w:rPr>
        <w:t>paragraphe </w:t>
      </w:r>
      <w:r w:rsidRPr="00BF7661">
        <w:rPr>
          <w:rFonts w:ascii="Times New Roman" w:hAnsi="Times New Roman"/>
          <w:b/>
          <w:szCs w:val="24"/>
          <w:lang w:val="fr-BE"/>
        </w:rPr>
        <w:t>5</w:t>
      </w:r>
      <w:r w:rsidRPr="00FA25DB">
        <w:rPr>
          <w:rFonts w:ascii="Times New Roman" w:hAnsi="Times New Roman"/>
          <w:szCs w:val="24"/>
          <w:lang w:val="fr-BE"/>
        </w:rPr>
        <w:t>);</w:t>
      </w:r>
    </w:p>
    <w:p w:rsidR="0032461B" w:rsidRPr="00FA25DB" w:rsidRDefault="0032461B" w:rsidP="0032461B">
      <w:pPr>
        <w:numPr>
          <w:ilvl w:val="0"/>
          <w:numId w:val="2"/>
        </w:numPr>
        <w:spacing w:after="120" w:line="240" w:lineRule="auto"/>
        <w:ind w:left="641" w:hanging="357"/>
        <w:jc w:val="both"/>
        <w:rPr>
          <w:rFonts w:ascii="Times New Roman" w:hAnsi="Times New Roman"/>
          <w:szCs w:val="24"/>
          <w:lang w:val="fr-BE"/>
        </w:rPr>
      </w:pPr>
      <w:proofErr w:type="gramStart"/>
      <w:r w:rsidRPr="00FA25DB">
        <w:rPr>
          <w:rFonts w:ascii="Times New Roman" w:hAnsi="Times New Roman"/>
          <w:szCs w:val="24"/>
          <w:lang w:val="fr-BE"/>
        </w:rPr>
        <w:t>de</w:t>
      </w:r>
      <w:proofErr w:type="gramEnd"/>
      <w:r w:rsidRPr="00FA25DB">
        <w:rPr>
          <w:rFonts w:ascii="Times New Roman" w:hAnsi="Times New Roman"/>
          <w:szCs w:val="24"/>
          <w:lang w:val="fr-BE"/>
        </w:rPr>
        <w:t xml:space="preserve"> ne présenter des projets de règlement d’exécution en vue de prolonger la période d’approbation de substances que si, dans l’état actuel de la science, il ne semble pas que la Commission présentera une proposition de non-renouvellement de l’autorisation de la substance active concernée (</w:t>
      </w:r>
      <w:r w:rsidRPr="00FA25DB">
        <w:rPr>
          <w:rFonts w:ascii="Times New Roman" w:hAnsi="Times New Roman"/>
          <w:b/>
          <w:szCs w:val="24"/>
          <w:lang w:val="fr-BE"/>
        </w:rPr>
        <w:t>paragraphe </w:t>
      </w:r>
      <w:r w:rsidRPr="00BF7661">
        <w:rPr>
          <w:rFonts w:ascii="Times New Roman" w:hAnsi="Times New Roman"/>
          <w:b/>
          <w:szCs w:val="24"/>
          <w:lang w:val="fr-BE"/>
        </w:rPr>
        <w:t>6</w:t>
      </w:r>
      <w:r w:rsidRPr="00FA25DB">
        <w:rPr>
          <w:rFonts w:ascii="Times New Roman" w:hAnsi="Times New Roman"/>
          <w:szCs w:val="24"/>
          <w:lang w:val="fr-BE"/>
        </w:rPr>
        <w:t>);</w:t>
      </w:r>
    </w:p>
    <w:p w:rsidR="0032461B" w:rsidRPr="00FA25DB" w:rsidRDefault="0032461B" w:rsidP="0032461B">
      <w:pPr>
        <w:numPr>
          <w:ilvl w:val="0"/>
          <w:numId w:val="2"/>
        </w:numPr>
        <w:spacing w:after="120" w:line="240" w:lineRule="auto"/>
        <w:ind w:left="641" w:hanging="357"/>
        <w:jc w:val="both"/>
        <w:rPr>
          <w:rFonts w:ascii="Times New Roman" w:hAnsi="Times New Roman"/>
          <w:szCs w:val="24"/>
          <w:lang w:val="fr-BE"/>
        </w:rPr>
      </w:pPr>
      <w:proofErr w:type="gramStart"/>
      <w:r w:rsidRPr="00FA25DB">
        <w:rPr>
          <w:rFonts w:ascii="Times New Roman" w:hAnsi="Times New Roman"/>
          <w:szCs w:val="24"/>
          <w:lang w:val="fr-BE"/>
        </w:rPr>
        <w:t>de</w:t>
      </w:r>
      <w:proofErr w:type="gramEnd"/>
      <w:r w:rsidRPr="00FA25DB">
        <w:rPr>
          <w:rFonts w:ascii="Times New Roman" w:hAnsi="Times New Roman"/>
          <w:szCs w:val="24"/>
          <w:lang w:val="fr-BE"/>
        </w:rPr>
        <w:t xml:space="preserve"> retirer les approbations concernant des substances pour lesquelles il existe des preuves ou des doutes raisonnables qu’elles ne satisferont pas aux critères de sécurité énoncés dans le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w:t>
      </w:r>
      <w:r w:rsidRPr="00FA25DB">
        <w:rPr>
          <w:rFonts w:ascii="Times New Roman" w:hAnsi="Times New Roman"/>
          <w:b/>
          <w:szCs w:val="24"/>
          <w:lang w:val="fr-BE"/>
        </w:rPr>
        <w:t>paragraphe </w:t>
      </w:r>
      <w:r w:rsidRPr="00BF7661">
        <w:rPr>
          <w:rFonts w:ascii="Times New Roman" w:hAnsi="Times New Roman"/>
          <w:b/>
          <w:szCs w:val="24"/>
          <w:lang w:val="fr-BE"/>
        </w:rPr>
        <w:t>7</w:t>
      </w:r>
      <w:r w:rsidRPr="00FA25DB">
        <w:rPr>
          <w:rFonts w:ascii="Times New Roman" w:hAnsi="Times New Roman"/>
          <w:szCs w:val="24"/>
          <w:lang w:val="fr-BE"/>
        </w:rPr>
        <w:t>).</w:t>
      </w:r>
    </w:p>
    <w:p w:rsidR="0032461B" w:rsidRPr="00FA25DB" w:rsidRDefault="0032461B" w:rsidP="0032461B">
      <w:pPr>
        <w:widowControl w:val="0"/>
        <w:spacing w:after="120"/>
        <w:jc w:val="both"/>
        <w:rPr>
          <w:rFonts w:ascii="Times New Roman" w:hAnsi="Times New Roman"/>
          <w:szCs w:val="24"/>
          <w:lang w:val="fr-BE"/>
        </w:rPr>
      </w:pPr>
      <w:r w:rsidRPr="00FA25DB">
        <w:rPr>
          <w:rFonts w:ascii="Times New Roman" w:hAnsi="Times New Roman"/>
          <w:szCs w:val="24"/>
          <w:lang w:val="fr-BE"/>
        </w:rPr>
        <w:t>Il invite en outre les États membres à assurer la réévaluation rapide des autorisations des substances actives pour lesquelles ils sont les États membres rapporteurs et à résorber efficacement les retards actuels (</w:t>
      </w:r>
      <w:r w:rsidRPr="00FA25DB">
        <w:rPr>
          <w:rFonts w:ascii="Times New Roman" w:hAnsi="Times New Roman"/>
          <w:b/>
          <w:szCs w:val="24"/>
          <w:lang w:val="fr-BE"/>
        </w:rPr>
        <w:t>paragraphe </w:t>
      </w:r>
      <w:r w:rsidRPr="00BF7661">
        <w:rPr>
          <w:rFonts w:ascii="Times New Roman" w:hAnsi="Times New Roman"/>
          <w:b/>
          <w:szCs w:val="24"/>
          <w:lang w:val="fr-BE"/>
        </w:rPr>
        <w:t>8</w:t>
      </w:r>
      <w:r w:rsidRPr="00FA25DB">
        <w:rPr>
          <w:rFonts w:ascii="Times New Roman" w:hAnsi="Times New Roman"/>
          <w:szCs w:val="24"/>
          <w:lang w:val="fr-BE"/>
        </w:rPr>
        <w:t>).</w:t>
      </w:r>
    </w:p>
    <w:p w:rsidR="0032461B" w:rsidRPr="00FA25DB" w:rsidRDefault="0032461B" w:rsidP="0032461B">
      <w:pPr>
        <w:pStyle w:val="ListParagraph"/>
        <w:widowControl w:val="0"/>
        <w:numPr>
          <w:ilvl w:val="0"/>
          <w:numId w:val="1"/>
        </w:numPr>
        <w:spacing w:after="240" w:line="240" w:lineRule="auto"/>
        <w:jc w:val="both"/>
        <w:rPr>
          <w:rFonts w:ascii="Times New Roman" w:hAnsi="Times New Roman"/>
          <w:b/>
          <w:i/>
          <w:sz w:val="24"/>
          <w:szCs w:val="24"/>
          <w:lang w:val="fr-BE"/>
        </w:rPr>
      </w:pPr>
      <w:r w:rsidRPr="00FA25DB">
        <w:rPr>
          <w:rFonts w:ascii="Times New Roman" w:hAnsi="Times New Roman"/>
          <w:b/>
          <w:sz w:val="24"/>
          <w:szCs w:val="24"/>
          <w:lang w:val="fr-BE"/>
        </w:rPr>
        <w:t>Réponse à ces demandes et aperçu des mesures que la Commission a prises ou envisage de prendre:</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La Commission souhaite tout d’abord faire observer en réponse au</w:t>
      </w:r>
      <w:r w:rsidRPr="00FA25DB">
        <w:rPr>
          <w:rFonts w:ascii="Times New Roman" w:hAnsi="Times New Roman"/>
          <w:b/>
          <w:szCs w:val="24"/>
          <w:lang w:val="fr-BE"/>
        </w:rPr>
        <w:t xml:space="preserve"> paragraphe </w:t>
      </w:r>
      <w:r w:rsidRPr="00BF7661">
        <w:rPr>
          <w:rFonts w:ascii="Times New Roman" w:hAnsi="Times New Roman"/>
          <w:b/>
          <w:szCs w:val="24"/>
          <w:lang w:val="fr-BE"/>
        </w:rPr>
        <w:t>5</w:t>
      </w:r>
      <w:r w:rsidRPr="00FA25DB">
        <w:rPr>
          <w:rFonts w:ascii="Times New Roman" w:hAnsi="Times New Roman"/>
          <w:szCs w:val="24"/>
          <w:lang w:val="fr-BE"/>
        </w:rPr>
        <w:t xml:space="preserve"> qu’à la suite de l’avis favorable rendu le </w:t>
      </w:r>
      <w:r w:rsidRPr="00BF7661">
        <w:rPr>
          <w:rFonts w:ascii="Times New Roman" w:hAnsi="Times New Roman"/>
          <w:szCs w:val="24"/>
          <w:lang w:val="fr-BE"/>
        </w:rPr>
        <w:t>2</w:t>
      </w:r>
      <w:r w:rsidRPr="00FA25DB">
        <w:rPr>
          <w:rFonts w:ascii="Times New Roman" w:hAnsi="Times New Roman"/>
          <w:szCs w:val="24"/>
          <w:lang w:val="fr-BE"/>
        </w:rPr>
        <w:t> juin </w:t>
      </w:r>
      <w:r w:rsidRPr="00BF7661">
        <w:rPr>
          <w:rFonts w:ascii="Times New Roman" w:hAnsi="Times New Roman"/>
          <w:szCs w:val="24"/>
          <w:lang w:val="fr-BE"/>
        </w:rPr>
        <w:t>2020</w:t>
      </w:r>
      <w:r w:rsidRPr="00FA25DB">
        <w:rPr>
          <w:rFonts w:ascii="Times New Roman" w:hAnsi="Times New Roman"/>
          <w:szCs w:val="24"/>
          <w:lang w:val="fr-BE"/>
        </w:rPr>
        <w:t xml:space="preserve"> par le comité permanent des végétaux, des animaux, des denrées alimentaires et des aliments pour animaux, le projet de règlement a été adopté et publié le </w:t>
      </w:r>
      <w:r w:rsidRPr="00BF7661">
        <w:rPr>
          <w:rFonts w:ascii="Times New Roman" w:hAnsi="Times New Roman"/>
          <w:szCs w:val="24"/>
          <w:lang w:val="fr-BE"/>
        </w:rPr>
        <w:t>24</w:t>
      </w:r>
      <w:r w:rsidRPr="00FA25DB">
        <w:rPr>
          <w:rFonts w:ascii="Times New Roman" w:hAnsi="Times New Roman"/>
          <w:szCs w:val="24"/>
          <w:lang w:val="fr-BE"/>
        </w:rPr>
        <w:t> juin </w:t>
      </w:r>
      <w:r w:rsidRPr="00BF7661">
        <w:rPr>
          <w:rFonts w:ascii="Times New Roman" w:hAnsi="Times New Roman"/>
          <w:szCs w:val="24"/>
          <w:lang w:val="fr-BE"/>
        </w:rPr>
        <w:t>2020</w:t>
      </w:r>
      <w:r w:rsidRPr="00FA25DB">
        <w:rPr>
          <w:rFonts w:ascii="Times New Roman" w:hAnsi="Times New Roman"/>
          <w:szCs w:val="24"/>
          <w:lang w:val="fr-BE"/>
        </w:rPr>
        <w:t xml:space="preserve"> en tant que règlement d’exécution (UE) </w:t>
      </w:r>
      <w:r w:rsidRPr="00BF7661">
        <w:rPr>
          <w:rFonts w:ascii="Times New Roman" w:hAnsi="Times New Roman"/>
          <w:szCs w:val="24"/>
          <w:lang w:val="fr-BE"/>
        </w:rPr>
        <w:t>2020</w:t>
      </w:r>
      <w:r w:rsidRPr="00FA25DB">
        <w:rPr>
          <w:rFonts w:ascii="Times New Roman" w:hAnsi="Times New Roman"/>
          <w:szCs w:val="24"/>
          <w:lang w:val="fr-BE"/>
        </w:rPr>
        <w:t>/</w:t>
      </w:r>
      <w:r w:rsidRPr="00BF7661">
        <w:rPr>
          <w:rFonts w:ascii="Times New Roman" w:hAnsi="Times New Roman"/>
          <w:szCs w:val="24"/>
          <w:lang w:val="fr-BE"/>
        </w:rPr>
        <w:t>869</w:t>
      </w:r>
      <w:r w:rsidRPr="00FA25DB">
        <w:rPr>
          <w:rFonts w:ascii="Times New Roman" w:hAnsi="Times New Roman"/>
          <w:szCs w:val="24"/>
          <w:lang w:val="fr-BE"/>
        </w:rPr>
        <w:t xml:space="preserve"> de la Commission.</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En ce qui concerne le </w:t>
      </w:r>
      <w:r w:rsidRPr="00FA25DB">
        <w:rPr>
          <w:rFonts w:ascii="Times New Roman" w:hAnsi="Times New Roman"/>
          <w:b/>
          <w:szCs w:val="24"/>
          <w:lang w:val="fr-BE"/>
        </w:rPr>
        <w:t>paragraphe </w:t>
      </w:r>
      <w:r w:rsidRPr="00BF7661">
        <w:rPr>
          <w:rFonts w:ascii="Times New Roman" w:hAnsi="Times New Roman"/>
          <w:b/>
          <w:szCs w:val="24"/>
          <w:lang w:val="fr-BE"/>
        </w:rPr>
        <w:t>1</w:t>
      </w:r>
      <w:r w:rsidRPr="00FA25DB">
        <w:rPr>
          <w:rFonts w:ascii="Times New Roman" w:hAnsi="Times New Roman"/>
          <w:szCs w:val="24"/>
          <w:lang w:val="fr-BE"/>
        </w:rPr>
        <w:t>, la Commission tient à souligner que le projet de règlement a été traité conformément aux phases de procédure définies dans le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comme le montre le cas spécifique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ci-dessous:</w:t>
      </w:r>
    </w:p>
    <w:p w:rsidR="0032461B" w:rsidRPr="00FA25DB" w:rsidRDefault="0032461B" w:rsidP="0032461B">
      <w:pPr>
        <w:pStyle w:val="ListParagraph"/>
        <w:numPr>
          <w:ilvl w:val="0"/>
          <w:numId w:val="3"/>
        </w:numPr>
        <w:spacing w:after="120" w:line="240" w:lineRule="auto"/>
        <w:ind w:left="714" w:hanging="357"/>
        <w:contextualSpacing w:val="0"/>
        <w:jc w:val="both"/>
        <w:rPr>
          <w:rFonts w:ascii="Times New Roman" w:eastAsia="Times New Roman" w:hAnsi="Times New Roman"/>
          <w:sz w:val="24"/>
          <w:szCs w:val="24"/>
          <w:lang w:val="fr-BE"/>
        </w:rPr>
      </w:pPr>
      <w:proofErr w:type="gramStart"/>
      <w:r w:rsidRPr="00FA25DB">
        <w:rPr>
          <w:rFonts w:ascii="Times New Roman" w:hAnsi="Times New Roman"/>
          <w:sz w:val="24"/>
          <w:szCs w:val="24"/>
          <w:lang w:val="fr-BE"/>
        </w:rPr>
        <w:t>une</w:t>
      </w:r>
      <w:proofErr w:type="gramEnd"/>
      <w:r w:rsidRPr="00FA25DB">
        <w:rPr>
          <w:rFonts w:ascii="Times New Roman" w:hAnsi="Times New Roman"/>
          <w:sz w:val="24"/>
          <w:szCs w:val="24"/>
          <w:lang w:val="fr-BE"/>
        </w:rPr>
        <w:t xml:space="preserve"> demande de renouvellement de l’approbation de la substance active </w:t>
      </w:r>
      <w:proofErr w:type="spellStart"/>
      <w:r w:rsidRPr="00FA25DB">
        <w:rPr>
          <w:rFonts w:ascii="Times New Roman" w:hAnsi="Times New Roman"/>
          <w:sz w:val="24"/>
          <w:szCs w:val="24"/>
          <w:lang w:val="fr-BE"/>
        </w:rPr>
        <w:t>flumioxazine</w:t>
      </w:r>
      <w:proofErr w:type="spellEnd"/>
      <w:r w:rsidRPr="00FA25DB">
        <w:rPr>
          <w:rFonts w:ascii="Times New Roman" w:hAnsi="Times New Roman"/>
          <w:sz w:val="24"/>
          <w:szCs w:val="24"/>
          <w:lang w:val="fr-BE"/>
        </w:rPr>
        <w:t xml:space="preserve"> a été introduite le </w:t>
      </w:r>
      <w:r w:rsidRPr="00BF7661">
        <w:rPr>
          <w:rFonts w:ascii="Times New Roman" w:hAnsi="Times New Roman"/>
          <w:sz w:val="24"/>
          <w:szCs w:val="24"/>
          <w:lang w:val="fr-BE"/>
        </w:rPr>
        <w:t>29</w:t>
      </w:r>
      <w:r w:rsidRPr="00FA25DB">
        <w:rPr>
          <w:rFonts w:ascii="Times New Roman" w:hAnsi="Times New Roman"/>
          <w:sz w:val="24"/>
          <w:szCs w:val="24"/>
          <w:lang w:val="fr-BE"/>
        </w:rPr>
        <w:t> février </w:t>
      </w:r>
      <w:r w:rsidRPr="00BF7661">
        <w:rPr>
          <w:rFonts w:ascii="Times New Roman" w:hAnsi="Times New Roman"/>
          <w:sz w:val="24"/>
          <w:szCs w:val="24"/>
          <w:lang w:val="fr-BE"/>
        </w:rPr>
        <w:t>2012</w:t>
      </w:r>
      <w:r w:rsidRPr="00FA25DB">
        <w:rPr>
          <w:rFonts w:ascii="Times New Roman" w:hAnsi="Times New Roman"/>
          <w:sz w:val="24"/>
          <w:szCs w:val="24"/>
          <w:lang w:val="fr-BE"/>
        </w:rPr>
        <w:t>;</w:t>
      </w:r>
    </w:p>
    <w:p w:rsidR="0032461B" w:rsidRPr="00FA25DB" w:rsidRDefault="0032461B" w:rsidP="0032461B">
      <w:pPr>
        <w:numPr>
          <w:ilvl w:val="0"/>
          <w:numId w:val="3"/>
        </w:numPr>
        <w:spacing w:after="120" w:line="240" w:lineRule="auto"/>
        <w:jc w:val="both"/>
        <w:rPr>
          <w:rFonts w:ascii="Times New Roman" w:hAnsi="Times New Roman"/>
          <w:szCs w:val="24"/>
          <w:lang w:val="fr-BE"/>
        </w:rPr>
      </w:pPr>
      <w:proofErr w:type="gramStart"/>
      <w:r w:rsidRPr="00FA25DB">
        <w:rPr>
          <w:rFonts w:ascii="Times New Roman" w:hAnsi="Times New Roman"/>
          <w:szCs w:val="24"/>
          <w:lang w:val="fr-BE"/>
        </w:rPr>
        <w:t>l’État</w:t>
      </w:r>
      <w:proofErr w:type="gramEnd"/>
      <w:r w:rsidRPr="00FA25DB">
        <w:rPr>
          <w:rFonts w:ascii="Times New Roman" w:hAnsi="Times New Roman"/>
          <w:szCs w:val="24"/>
          <w:lang w:val="fr-BE"/>
        </w:rPr>
        <w:t xml:space="preserve"> membre rapporteur a présenté le projet de rapport le </w:t>
      </w:r>
      <w:r w:rsidRPr="00BF7661">
        <w:rPr>
          <w:rFonts w:ascii="Times New Roman" w:hAnsi="Times New Roman"/>
          <w:szCs w:val="24"/>
          <w:lang w:val="fr-BE"/>
        </w:rPr>
        <w:t>4</w:t>
      </w:r>
      <w:r w:rsidRPr="00FA25DB">
        <w:rPr>
          <w:rFonts w:ascii="Times New Roman" w:hAnsi="Times New Roman"/>
          <w:szCs w:val="24"/>
          <w:lang w:val="fr-BE"/>
        </w:rPr>
        <w:t> mars </w:t>
      </w:r>
      <w:r w:rsidRPr="00BF7661">
        <w:rPr>
          <w:rFonts w:ascii="Times New Roman" w:hAnsi="Times New Roman"/>
          <w:szCs w:val="24"/>
          <w:lang w:val="fr-BE"/>
        </w:rPr>
        <w:t>2013</w:t>
      </w:r>
      <w:r w:rsidRPr="00FA25DB">
        <w:rPr>
          <w:rFonts w:ascii="Times New Roman" w:hAnsi="Times New Roman"/>
          <w:szCs w:val="24"/>
          <w:lang w:val="fr-BE"/>
        </w:rPr>
        <w:t>;</w:t>
      </w:r>
    </w:p>
    <w:p w:rsidR="0032461B" w:rsidRPr="00FA25DB" w:rsidRDefault="0032461B" w:rsidP="0032461B">
      <w:pPr>
        <w:numPr>
          <w:ilvl w:val="0"/>
          <w:numId w:val="3"/>
        </w:numPr>
        <w:spacing w:after="120" w:line="240" w:lineRule="auto"/>
        <w:jc w:val="both"/>
        <w:rPr>
          <w:rFonts w:ascii="Times New Roman" w:hAnsi="Times New Roman"/>
          <w:szCs w:val="24"/>
          <w:lang w:val="fr-BE"/>
        </w:rPr>
      </w:pPr>
      <w:proofErr w:type="gramStart"/>
      <w:r w:rsidRPr="00FA25DB">
        <w:rPr>
          <w:rFonts w:ascii="Times New Roman" w:hAnsi="Times New Roman"/>
          <w:szCs w:val="24"/>
          <w:lang w:val="fr-BE"/>
        </w:rPr>
        <w:t>l’Autorité</w:t>
      </w:r>
      <w:proofErr w:type="gramEnd"/>
      <w:r w:rsidRPr="00FA25DB">
        <w:rPr>
          <w:rFonts w:ascii="Times New Roman" w:hAnsi="Times New Roman"/>
          <w:szCs w:val="24"/>
          <w:lang w:val="fr-BE"/>
        </w:rPr>
        <w:t xml:space="preserve"> européenne de sécurité des aliments a lancé la consultation publique sur le projet de rapport le </w:t>
      </w:r>
      <w:r w:rsidRPr="00BF7661">
        <w:rPr>
          <w:rFonts w:ascii="Times New Roman" w:hAnsi="Times New Roman"/>
          <w:szCs w:val="24"/>
          <w:lang w:val="fr-BE"/>
        </w:rPr>
        <w:t>18</w:t>
      </w:r>
      <w:r w:rsidRPr="00FA25DB">
        <w:rPr>
          <w:rFonts w:ascii="Times New Roman" w:hAnsi="Times New Roman"/>
          <w:szCs w:val="24"/>
          <w:lang w:val="fr-BE"/>
        </w:rPr>
        <w:t> mars </w:t>
      </w:r>
      <w:r w:rsidRPr="00BF7661">
        <w:rPr>
          <w:rFonts w:ascii="Times New Roman" w:hAnsi="Times New Roman"/>
          <w:szCs w:val="24"/>
          <w:lang w:val="fr-BE"/>
        </w:rPr>
        <w:t>2013</w:t>
      </w:r>
      <w:r w:rsidRPr="00FA25DB">
        <w:rPr>
          <w:rFonts w:ascii="Times New Roman" w:hAnsi="Times New Roman"/>
          <w:szCs w:val="24"/>
          <w:lang w:val="fr-BE"/>
        </w:rPr>
        <w:t>. L’Autorité a transmis à la Commission ses conclusions sur l’évaluation des risques (conclusions sur l’examen par les pairs de l’évaluation des risques liés à la substance active utilisée en tant que pesticide)</w:t>
      </w:r>
      <w:r w:rsidRPr="007C5349">
        <w:rPr>
          <w:rFonts w:ascii="Times New Roman" w:hAnsi="Times New Roman"/>
          <w:szCs w:val="24"/>
          <w:vertAlign w:val="superscript"/>
          <w:lang w:val="en-US"/>
        </w:rPr>
        <w:footnoteReference w:id="1"/>
      </w:r>
      <w:r w:rsidRPr="00FA25DB">
        <w:rPr>
          <w:rFonts w:ascii="Times New Roman" w:hAnsi="Times New Roman"/>
          <w:szCs w:val="24"/>
          <w:lang w:val="fr-BE"/>
        </w:rPr>
        <w:t xml:space="preserve"> le </w:t>
      </w:r>
      <w:r w:rsidRPr="00BF7661">
        <w:rPr>
          <w:rFonts w:ascii="Times New Roman" w:hAnsi="Times New Roman"/>
          <w:szCs w:val="24"/>
          <w:lang w:val="fr-BE"/>
        </w:rPr>
        <w:t>5</w:t>
      </w:r>
      <w:r w:rsidRPr="00FA25DB">
        <w:rPr>
          <w:rFonts w:ascii="Times New Roman" w:hAnsi="Times New Roman"/>
          <w:szCs w:val="24"/>
          <w:lang w:val="fr-BE"/>
        </w:rPr>
        <w:t> juin </w:t>
      </w:r>
      <w:r w:rsidRPr="00BF7661">
        <w:rPr>
          <w:rFonts w:ascii="Times New Roman" w:hAnsi="Times New Roman"/>
          <w:szCs w:val="24"/>
          <w:lang w:val="fr-BE"/>
        </w:rPr>
        <w:t>2014</w:t>
      </w:r>
      <w:r w:rsidRPr="00FA25DB">
        <w:rPr>
          <w:rFonts w:ascii="Times New Roman" w:hAnsi="Times New Roman"/>
          <w:szCs w:val="24"/>
          <w:lang w:val="fr-BE"/>
        </w:rPr>
        <w:t>;</w:t>
      </w:r>
    </w:p>
    <w:p w:rsidR="0032461B" w:rsidRPr="00FA25DB" w:rsidRDefault="0032461B" w:rsidP="0032461B">
      <w:pPr>
        <w:numPr>
          <w:ilvl w:val="0"/>
          <w:numId w:val="3"/>
        </w:numPr>
        <w:spacing w:after="120" w:line="240" w:lineRule="auto"/>
        <w:jc w:val="both"/>
        <w:rPr>
          <w:rFonts w:ascii="Times New Roman" w:hAnsi="Times New Roman"/>
          <w:szCs w:val="24"/>
          <w:lang w:val="fr-BE"/>
        </w:rPr>
      </w:pPr>
      <w:r w:rsidRPr="00FA25DB">
        <w:rPr>
          <w:rFonts w:ascii="Times New Roman" w:hAnsi="Times New Roman"/>
          <w:szCs w:val="24"/>
          <w:lang w:val="fr-BE"/>
        </w:rPr>
        <w:t>conformément aux dispositions de l’article </w:t>
      </w:r>
      <w:r w:rsidRPr="00BF7661">
        <w:rPr>
          <w:rFonts w:ascii="Times New Roman" w:hAnsi="Times New Roman"/>
          <w:szCs w:val="24"/>
          <w:lang w:val="fr-BE"/>
        </w:rPr>
        <w:t>17</w:t>
      </w:r>
      <w:r w:rsidRPr="00FA25DB">
        <w:rPr>
          <w:rFonts w:ascii="Times New Roman" w:hAnsi="Times New Roman"/>
          <w:szCs w:val="24"/>
          <w:lang w:val="fr-BE"/>
        </w:rPr>
        <w:t xml:space="preserve"> du règlement (UE) nº </w:t>
      </w:r>
      <w:r w:rsidRPr="00BF7661">
        <w:rPr>
          <w:rFonts w:ascii="Times New Roman" w:hAnsi="Times New Roman"/>
          <w:szCs w:val="24"/>
          <w:lang w:val="fr-BE"/>
        </w:rPr>
        <w:t>1141</w:t>
      </w:r>
      <w:r w:rsidRPr="00FA25DB">
        <w:rPr>
          <w:rFonts w:ascii="Times New Roman" w:hAnsi="Times New Roman"/>
          <w:szCs w:val="24"/>
          <w:lang w:val="fr-BE"/>
        </w:rPr>
        <w:t>/</w:t>
      </w:r>
      <w:r w:rsidRPr="00BF7661">
        <w:rPr>
          <w:rFonts w:ascii="Times New Roman" w:hAnsi="Times New Roman"/>
          <w:szCs w:val="24"/>
          <w:lang w:val="fr-BE"/>
        </w:rPr>
        <w:t>2010</w:t>
      </w:r>
      <w:r w:rsidRPr="00FA25DB">
        <w:rPr>
          <w:rFonts w:ascii="Times New Roman" w:hAnsi="Times New Roman"/>
          <w:szCs w:val="24"/>
          <w:lang w:val="fr-BE"/>
        </w:rPr>
        <w:t xml:space="preserve">, la Commission a soumis pour examen, le </w:t>
      </w:r>
      <w:r w:rsidRPr="00BF7661">
        <w:rPr>
          <w:rFonts w:ascii="Times New Roman" w:hAnsi="Times New Roman"/>
          <w:szCs w:val="24"/>
          <w:lang w:val="fr-BE"/>
        </w:rPr>
        <w:t>3</w:t>
      </w:r>
      <w:r w:rsidRPr="00FA25DB">
        <w:rPr>
          <w:rFonts w:ascii="Times New Roman" w:hAnsi="Times New Roman"/>
          <w:szCs w:val="24"/>
          <w:lang w:val="fr-BE"/>
        </w:rPr>
        <w:t> décembre </w:t>
      </w:r>
      <w:r w:rsidRPr="00BF7661">
        <w:rPr>
          <w:rFonts w:ascii="Times New Roman" w:hAnsi="Times New Roman"/>
          <w:szCs w:val="24"/>
          <w:lang w:val="fr-BE"/>
        </w:rPr>
        <w:t>2014</w:t>
      </w:r>
      <w:r w:rsidRPr="00FA25DB">
        <w:rPr>
          <w:rFonts w:ascii="Times New Roman" w:hAnsi="Times New Roman"/>
          <w:szCs w:val="24"/>
          <w:lang w:val="fr-BE"/>
        </w:rPr>
        <w:t xml:space="preserve">, un projet de rapport de réexamen concernant le renouvellement de l’approbation au comité permanent des végétaux, des animaux, des denrées alimentaires et des aliments pour animaux, en proposant de ne pas renouveler l’approbation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étant donné que, comme cette substance était «toxique pour la reproduction de catégorie </w:t>
      </w:r>
      <w:r w:rsidRPr="00BF7661">
        <w:rPr>
          <w:rFonts w:ascii="Times New Roman" w:hAnsi="Times New Roman"/>
          <w:szCs w:val="24"/>
          <w:lang w:val="fr-BE"/>
        </w:rPr>
        <w:t>1</w:t>
      </w:r>
      <w:r w:rsidRPr="00FA25DB">
        <w:rPr>
          <w:rFonts w:ascii="Times New Roman" w:hAnsi="Times New Roman"/>
          <w:szCs w:val="24"/>
          <w:lang w:val="fr-BE"/>
        </w:rPr>
        <w:t>B» dans la classification harmonisée, elle satisfaisait aux critères dits d’exclusion définis à l’annexe II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w:t>
      </w:r>
    </w:p>
    <w:p w:rsidR="0032461B" w:rsidRPr="00FA25DB" w:rsidRDefault="0032461B" w:rsidP="0032461B">
      <w:pPr>
        <w:numPr>
          <w:ilvl w:val="0"/>
          <w:numId w:val="3"/>
        </w:numPr>
        <w:spacing w:after="120" w:line="240" w:lineRule="auto"/>
        <w:jc w:val="both"/>
        <w:rPr>
          <w:rFonts w:ascii="Times New Roman" w:hAnsi="Times New Roman"/>
          <w:szCs w:val="24"/>
          <w:lang w:val="fr-BE"/>
        </w:rPr>
      </w:pPr>
      <w:proofErr w:type="gramStart"/>
      <w:r w:rsidRPr="00FA25DB">
        <w:rPr>
          <w:rFonts w:ascii="Times New Roman" w:hAnsi="Times New Roman"/>
          <w:szCs w:val="24"/>
          <w:lang w:val="fr-BE"/>
        </w:rPr>
        <w:lastRenderedPageBreak/>
        <w:t>toutefois</w:t>
      </w:r>
      <w:proofErr w:type="gramEnd"/>
      <w:r w:rsidRPr="00FA25DB">
        <w:rPr>
          <w:rFonts w:ascii="Times New Roman" w:hAnsi="Times New Roman"/>
          <w:szCs w:val="24"/>
          <w:lang w:val="fr-BE"/>
        </w:rPr>
        <w:t>, le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prévoit deux possibilités de dérogation aux critères d’exclusion (à savoir une exposition négligeable ou une utilisation essentielle pour contrôler un danger phytosanitaire grave qui ne peut être maîtrisé par d’autres moyens disponibles) et, étant donné que le demandeur avait fourni des informations pertinentes, elle était alors tenue d’évaluer si au moins l’une de ces exigences était remplie avant d’adopter la décision;</w:t>
      </w:r>
    </w:p>
    <w:p w:rsidR="0032461B" w:rsidRPr="00FA25DB" w:rsidRDefault="0032461B" w:rsidP="0032461B">
      <w:pPr>
        <w:numPr>
          <w:ilvl w:val="0"/>
          <w:numId w:val="3"/>
        </w:numPr>
        <w:spacing w:after="120" w:line="240" w:lineRule="auto"/>
        <w:jc w:val="both"/>
        <w:rPr>
          <w:rFonts w:ascii="Times New Roman" w:hAnsi="Times New Roman"/>
          <w:szCs w:val="24"/>
          <w:lang w:val="fr-BE"/>
        </w:rPr>
      </w:pPr>
      <w:proofErr w:type="gramStart"/>
      <w:r w:rsidRPr="00FA25DB">
        <w:rPr>
          <w:rFonts w:ascii="Times New Roman" w:hAnsi="Times New Roman"/>
          <w:szCs w:val="24"/>
          <w:lang w:val="fr-BE"/>
        </w:rPr>
        <w:t>étant</w:t>
      </w:r>
      <w:proofErr w:type="gramEnd"/>
      <w:r w:rsidRPr="00FA25DB">
        <w:rPr>
          <w:rFonts w:ascii="Times New Roman" w:hAnsi="Times New Roman"/>
          <w:szCs w:val="24"/>
          <w:lang w:val="fr-BE"/>
        </w:rPr>
        <w:t xml:space="preserve"> donné que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était l’un des premiers cas dans lesquels les dérogations ont été invoquées, en particulier le premier herbicide, les deux évaluations nécessitaient la mise au point de méthodes d’évaluation adaptées, qui n’existaient pas encore à l’époque;</w:t>
      </w:r>
    </w:p>
    <w:p w:rsidR="0032461B" w:rsidRPr="00FA25DB" w:rsidRDefault="0032461B" w:rsidP="0032461B">
      <w:pPr>
        <w:numPr>
          <w:ilvl w:val="0"/>
          <w:numId w:val="3"/>
        </w:numPr>
        <w:spacing w:after="120" w:line="240" w:lineRule="auto"/>
        <w:jc w:val="both"/>
        <w:rPr>
          <w:rFonts w:ascii="Times New Roman" w:hAnsi="Times New Roman"/>
          <w:szCs w:val="24"/>
          <w:lang w:val="fr-BE"/>
        </w:rPr>
      </w:pPr>
      <w:r w:rsidRPr="00FA25DB">
        <w:rPr>
          <w:rFonts w:ascii="Times New Roman" w:hAnsi="Times New Roman"/>
          <w:szCs w:val="24"/>
          <w:lang w:val="fr-BE"/>
        </w:rPr>
        <w:t>le projet d’orientations techniques</w:t>
      </w:r>
      <w:r>
        <w:rPr>
          <w:rStyle w:val="FootnoteReference"/>
          <w:rFonts w:ascii="Times New Roman" w:hAnsi="Times New Roman"/>
          <w:szCs w:val="24"/>
        </w:rPr>
        <w:footnoteReference w:id="2"/>
      </w:r>
      <w:r w:rsidRPr="00FA25DB">
        <w:rPr>
          <w:rFonts w:ascii="Times New Roman" w:hAnsi="Times New Roman"/>
          <w:szCs w:val="24"/>
          <w:lang w:val="fr-BE"/>
        </w:rPr>
        <w:t xml:space="preserve"> visant à évaluer une exposition négligeable a été élaboré par la Commission et les États membres en </w:t>
      </w:r>
      <w:r w:rsidRPr="00BF7661">
        <w:rPr>
          <w:rFonts w:ascii="Times New Roman" w:hAnsi="Times New Roman"/>
          <w:szCs w:val="24"/>
          <w:lang w:val="fr-BE"/>
        </w:rPr>
        <w:t>2015</w:t>
      </w:r>
      <w:r w:rsidRPr="00FA25DB">
        <w:rPr>
          <w:rFonts w:ascii="Times New Roman" w:hAnsi="Times New Roman"/>
          <w:szCs w:val="24"/>
          <w:lang w:val="fr-BE"/>
        </w:rPr>
        <w:t>, tandis que la méthode</w:t>
      </w:r>
      <w:r>
        <w:rPr>
          <w:rStyle w:val="FootnoteReference"/>
          <w:rFonts w:ascii="Times New Roman" w:hAnsi="Times New Roman"/>
          <w:szCs w:val="24"/>
        </w:rPr>
        <w:footnoteReference w:id="3"/>
      </w:r>
      <w:r w:rsidRPr="00FA25DB">
        <w:rPr>
          <w:rFonts w:ascii="Times New Roman" w:hAnsi="Times New Roman"/>
          <w:szCs w:val="24"/>
          <w:lang w:val="fr-BE"/>
        </w:rPr>
        <w:t xml:space="preserve"> permettant d’évaluer l’utilisation essentielle des substances actives herbicides a été mise au point par l’</w:t>
      </w:r>
      <w:proofErr w:type="spellStart"/>
      <w:r w:rsidRPr="00FA25DB">
        <w:rPr>
          <w:rFonts w:ascii="Times New Roman" w:hAnsi="Times New Roman"/>
          <w:szCs w:val="24"/>
          <w:lang w:val="fr-BE"/>
        </w:rPr>
        <w:t>EFSA</w:t>
      </w:r>
      <w:proofErr w:type="spellEnd"/>
      <w:r w:rsidRPr="00FA25DB">
        <w:rPr>
          <w:rFonts w:ascii="Times New Roman" w:hAnsi="Times New Roman"/>
          <w:szCs w:val="24"/>
          <w:lang w:val="fr-BE"/>
        </w:rPr>
        <w:t xml:space="preserve"> en </w:t>
      </w:r>
      <w:r w:rsidRPr="00BF7661">
        <w:rPr>
          <w:rFonts w:ascii="Times New Roman" w:hAnsi="Times New Roman"/>
          <w:szCs w:val="24"/>
          <w:lang w:val="fr-BE"/>
        </w:rPr>
        <w:t>2016</w:t>
      </w:r>
      <w:r w:rsidRPr="00FA25DB">
        <w:rPr>
          <w:rFonts w:ascii="Times New Roman" w:hAnsi="Times New Roman"/>
          <w:szCs w:val="24"/>
          <w:lang w:val="fr-BE"/>
        </w:rPr>
        <w:t xml:space="preserve"> et que le demandeur s’est ensuite vu accorder un délai de six semaines pour présenter des informations actualisées, correspondant à la nouvelle méthode. Cela a conduit l’</w:t>
      </w:r>
      <w:proofErr w:type="spellStart"/>
      <w:r w:rsidRPr="00FA25DB">
        <w:rPr>
          <w:rFonts w:ascii="Times New Roman" w:hAnsi="Times New Roman"/>
          <w:szCs w:val="24"/>
          <w:lang w:val="fr-BE"/>
        </w:rPr>
        <w:t>EFSA</w:t>
      </w:r>
      <w:proofErr w:type="spellEnd"/>
      <w:r w:rsidRPr="00FA25DB">
        <w:rPr>
          <w:rFonts w:ascii="Times New Roman" w:hAnsi="Times New Roman"/>
          <w:szCs w:val="24"/>
          <w:lang w:val="fr-BE"/>
        </w:rPr>
        <w:t xml:space="preserve"> à mettre la dernière main, le </w:t>
      </w:r>
      <w:r w:rsidRPr="00BF7661">
        <w:rPr>
          <w:rFonts w:ascii="Times New Roman" w:hAnsi="Times New Roman"/>
          <w:szCs w:val="24"/>
          <w:lang w:val="fr-BE"/>
        </w:rPr>
        <w:t>15</w:t>
      </w:r>
      <w:r w:rsidRPr="00FA25DB">
        <w:rPr>
          <w:rFonts w:ascii="Times New Roman" w:hAnsi="Times New Roman"/>
          <w:szCs w:val="24"/>
          <w:lang w:val="fr-BE"/>
        </w:rPr>
        <w:t> décembre </w:t>
      </w:r>
      <w:r w:rsidRPr="00BF7661">
        <w:rPr>
          <w:rFonts w:ascii="Times New Roman" w:hAnsi="Times New Roman"/>
          <w:szCs w:val="24"/>
          <w:lang w:val="fr-BE"/>
        </w:rPr>
        <w:t>2016</w:t>
      </w:r>
      <w:r w:rsidRPr="00FA25DB">
        <w:rPr>
          <w:rFonts w:ascii="Times New Roman" w:hAnsi="Times New Roman"/>
          <w:szCs w:val="24"/>
          <w:lang w:val="fr-BE"/>
        </w:rPr>
        <w:t xml:space="preserve">, à un rapport scientifique </w:t>
      </w:r>
      <w:r w:rsidRPr="00FA25DB">
        <w:rPr>
          <w:rFonts w:ascii="Times New Roman" w:hAnsi="Times New Roman"/>
          <w:color w:val="000000"/>
          <w:lang w:val="fr-BE"/>
        </w:rPr>
        <w:t>d’évaluation des données relatives à l’utilisation essentielle</w:t>
      </w:r>
      <w:r w:rsidRPr="007C5349">
        <w:rPr>
          <w:rFonts w:ascii="Times New Roman" w:hAnsi="Times New Roman"/>
          <w:szCs w:val="24"/>
          <w:vertAlign w:val="superscript"/>
        </w:rPr>
        <w:footnoteReference w:id="4"/>
      </w:r>
      <w:r w:rsidRPr="00FA25DB">
        <w:rPr>
          <w:rFonts w:ascii="Times New Roman" w:hAnsi="Times New Roman"/>
          <w:color w:val="000000"/>
          <w:lang w:val="fr-BE"/>
        </w:rPr>
        <w:t xml:space="preserve"> de la </w:t>
      </w:r>
      <w:proofErr w:type="spellStart"/>
      <w:r w:rsidRPr="00FA25DB">
        <w:rPr>
          <w:rFonts w:ascii="Times New Roman" w:hAnsi="Times New Roman"/>
          <w:color w:val="000000"/>
          <w:lang w:val="fr-BE"/>
        </w:rPr>
        <w:t>flumioxazine</w:t>
      </w:r>
      <w:proofErr w:type="spellEnd"/>
      <w:r w:rsidRPr="00FA25DB">
        <w:rPr>
          <w:rFonts w:ascii="Times New Roman" w:hAnsi="Times New Roman"/>
          <w:color w:val="000000"/>
          <w:lang w:val="fr-BE"/>
        </w:rPr>
        <w:t xml:space="preserve"> et, le </w:t>
      </w:r>
      <w:r w:rsidRPr="00BF7661">
        <w:rPr>
          <w:rFonts w:ascii="Times New Roman" w:hAnsi="Times New Roman"/>
          <w:szCs w:val="24"/>
          <w:lang w:val="fr-BE"/>
        </w:rPr>
        <w:t>31</w:t>
      </w:r>
      <w:r w:rsidRPr="00FA25DB">
        <w:rPr>
          <w:rFonts w:ascii="Times New Roman" w:hAnsi="Times New Roman"/>
          <w:szCs w:val="24"/>
          <w:lang w:val="fr-BE"/>
        </w:rPr>
        <w:t> août </w:t>
      </w:r>
      <w:r w:rsidRPr="00BF7661">
        <w:rPr>
          <w:rFonts w:ascii="Times New Roman" w:hAnsi="Times New Roman"/>
          <w:szCs w:val="24"/>
          <w:lang w:val="fr-BE"/>
        </w:rPr>
        <w:t>2018</w:t>
      </w:r>
      <w:r w:rsidRPr="00FA25DB">
        <w:rPr>
          <w:rFonts w:ascii="Times New Roman" w:hAnsi="Times New Roman"/>
          <w:szCs w:val="24"/>
          <w:lang w:val="fr-BE"/>
        </w:rPr>
        <w:t>, à des conclusions</w:t>
      </w:r>
      <w:r w:rsidRPr="00FA25DB">
        <w:rPr>
          <w:rFonts w:ascii="Times New Roman" w:hAnsi="Times New Roman"/>
          <w:lang w:val="fr-BE"/>
        </w:rPr>
        <w:t xml:space="preserve"> sur l’examen par les p</w:t>
      </w:r>
      <w:r w:rsidRPr="00FA25DB">
        <w:rPr>
          <w:rFonts w:ascii="Times New Roman" w:hAnsi="Times New Roman"/>
          <w:szCs w:val="24"/>
          <w:lang w:val="fr-BE"/>
        </w:rPr>
        <w:t>airs de l’évaluation des risques liés au pesticide, sur la base d’une exposition négligeable</w:t>
      </w:r>
      <w:r w:rsidRPr="007C5349">
        <w:rPr>
          <w:rFonts w:ascii="Times New Roman" w:hAnsi="Times New Roman"/>
          <w:szCs w:val="24"/>
          <w:vertAlign w:val="superscript"/>
        </w:rPr>
        <w:footnoteReference w:id="5"/>
      </w:r>
      <w:r w:rsidRPr="00FA25DB">
        <w:rPr>
          <w:rFonts w:ascii="Times New Roman" w:hAnsi="Times New Roman"/>
          <w:szCs w:val="24"/>
          <w:lang w:val="fr-BE"/>
        </w:rPr>
        <w: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En ce qui concerne la classification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à la suite d’une proposition de l’État membre rapporteur en février </w:t>
      </w:r>
      <w:r w:rsidRPr="00BF7661">
        <w:rPr>
          <w:rFonts w:ascii="Times New Roman" w:hAnsi="Times New Roman"/>
          <w:szCs w:val="24"/>
          <w:lang w:val="fr-BE"/>
        </w:rPr>
        <w:t>2018</w:t>
      </w:r>
      <w:r w:rsidRPr="00FA25DB">
        <w:rPr>
          <w:rFonts w:ascii="Times New Roman" w:hAnsi="Times New Roman"/>
          <w:szCs w:val="24"/>
          <w:lang w:val="fr-BE"/>
        </w:rPr>
        <w:t>, le comité d’évaluation des risques de l’Agence européenne des produits chimiques (</w:t>
      </w:r>
      <w:proofErr w:type="spellStart"/>
      <w:r w:rsidRPr="00FA25DB">
        <w:rPr>
          <w:rFonts w:ascii="Times New Roman" w:hAnsi="Times New Roman"/>
          <w:szCs w:val="24"/>
          <w:lang w:val="fr-BE"/>
        </w:rPr>
        <w:t>ECHA</w:t>
      </w:r>
      <w:proofErr w:type="spellEnd"/>
      <w:r w:rsidRPr="00FA25DB">
        <w:rPr>
          <w:rFonts w:ascii="Times New Roman" w:hAnsi="Times New Roman"/>
          <w:szCs w:val="24"/>
          <w:lang w:val="fr-BE"/>
        </w:rPr>
        <w:t xml:space="preserve">) a adopté le </w:t>
      </w:r>
      <w:r w:rsidRPr="00BF7661">
        <w:rPr>
          <w:rFonts w:ascii="Times New Roman" w:hAnsi="Times New Roman"/>
          <w:szCs w:val="24"/>
          <w:lang w:val="fr-BE"/>
        </w:rPr>
        <w:t>15</w:t>
      </w:r>
      <w:r w:rsidRPr="00FA25DB">
        <w:rPr>
          <w:rFonts w:ascii="Times New Roman" w:hAnsi="Times New Roman"/>
          <w:szCs w:val="24"/>
          <w:lang w:val="fr-BE"/>
        </w:rPr>
        <w:t> mars </w:t>
      </w:r>
      <w:r w:rsidRPr="00BF7661">
        <w:rPr>
          <w:rFonts w:ascii="Times New Roman" w:hAnsi="Times New Roman"/>
          <w:szCs w:val="24"/>
          <w:lang w:val="fr-BE"/>
        </w:rPr>
        <w:t>2019</w:t>
      </w:r>
      <w:r w:rsidRPr="00FA25DB">
        <w:rPr>
          <w:rFonts w:ascii="Times New Roman" w:hAnsi="Times New Roman"/>
          <w:szCs w:val="24"/>
          <w:lang w:val="fr-BE"/>
        </w:rPr>
        <w:t xml:space="preserve"> un avis recommandant de modifier la classification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la faisant passer de</w:t>
      </w:r>
      <w:proofErr w:type="gramStart"/>
      <w:r w:rsidRPr="00FA25DB">
        <w:rPr>
          <w:rFonts w:ascii="Times New Roman" w:hAnsi="Times New Roman"/>
          <w:szCs w:val="24"/>
          <w:lang w:val="fr-BE"/>
        </w:rPr>
        <w:t xml:space="preserve"> «substance</w:t>
      </w:r>
      <w:proofErr w:type="gramEnd"/>
      <w:r w:rsidRPr="00FA25DB">
        <w:rPr>
          <w:rFonts w:ascii="Times New Roman" w:hAnsi="Times New Roman"/>
          <w:szCs w:val="24"/>
          <w:lang w:val="fr-BE"/>
        </w:rPr>
        <w:t xml:space="preserve"> toxique pour la reproduction de catégorie </w:t>
      </w:r>
      <w:r w:rsidRPr="00BF7661">
        <w:rPr>
          <w:rFonts w:ascii="Times New Roman" w:hAnsi="Times New Roman"/>
          <w:szCs w:val="24"/>
          <w:lang w:val="fr-BE"/>
        </w:rPr>
        <w:t>1</w:t>
      </w:r>
      <w:r w:rsidRPr="00FA25DB">
        <w:rPr>
          <w:rFonts w:ascii="Times New Roman" w:hAnsi="Times New Roman"/>
          <w:szCs w:val="24"/>
          <w:lang w:val="fr-BE"/>
        </w:rPr>
        <w:t>B» à «substance toxique pour la reproduction de catégorie </w:t>
      </w:r>
      <w:r w:rsidRPr="00BF7661">
        <w:rPr>
          <w:rFonts w:ascii="Times New Roman" w:hAnsi="Times New Roman"/>
          <w:szCs w:val="24"/>
          <w:lang w:val="fr-BE"/>
        </w:rPr>
        <w:t>2</w:t>
      </w:r>
      <w:r w:rsidRPr="00FA25DB">
        <w:rPr>
          <w:rFonts w:ascii="Times New Roman" w:hAnsi="Times New Roman"/>
          <w:szCs w:val="24"/>
          <w:lang w:val="fr-BE"/>
        </w:rPr>
        <w:t xml:space="preserve">». La mise à jour de la classification actuelle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dans l’annexe VI du règlement relatif à la </w:t>
      </w:r>
      <w:r w:rsidRPr="00FA25DB">
        <w:rPr>
          <w:rFonts w:ascii="Times New Roman" w:hAnsi="Times New Roman"/>
          <w:bCs/>
          <w:color w:val="111111"/>
          <w:szCs w:val="24"/>
          <w:shd w:val="clear" w:color="auto" w:fill="FFFFFF"/>
          <w:lang w:val="fr-BE"/>
        </w:rPr>
        <w:t>classification, à l’étiquetage et à l’emballage des substances et des mélanges</w:t>
      </w:r>
      <w:r w:rsidRPr="00FA25DB">
        <w:rPr>
          <w:rFonts w:ascii="Times New Roman" w:hAnsi="Times New Roman"/>
          <w:szCs w:val="24"/>
          <w:lang w:val="fr-BE"/>
        </w:rPr>
        <w:t xml:space="preserve"> (règlement CLP) a pris du retard mais devrait être publiée à la fin de cette année ou au début de l’année prochaine dans le cadre de la </w:t>
      </w:r>
      <w:r w:rsidRPr="00BF7661">
        <w:rPr>
          <w:rFonts w:ascii="Times New Roman" w:hAnsi="Times New Roman"/>
          <w:szCs w:val="24"/>
          <w:lang w:val="fr-BE"/>
        </w:rPr>
        <w:t>17</w:t>
      </w:r>
      <w:r w:rsidRPr="00FA25DB">
        <w:rPr>
          <w:rFonts w:ascii="Times New Roman" w:hAnsi="Times New Roman"/>
          <w:szCs w:val="24"/>
          <w:vertAlign w:val="superscript"/>
          <w:lang w:val="fr-BE"/>
        </w:rPr>
        <w:t>e</w:t>
      </w:r>
      <w:r w:rsidRPr="00FA25DB">
        <w:rPr>
          <w:rFonts w:ascii="Times New Roman" w:hAnsi="Times New Roman"/>
          <w:szCs w:val="24"/>
          <w:lang w:val="fr-BE"/>
        </w:rPr>
        <w:t xml:space="preserve"> adaptation au progrès technique du règlement CLP. </w:t>
      </w:r>
      <w:r w:rsidRPr="00FA25DB">
        <w:rPr>
          <w:rFonts w:ascii="Times New Roman" w:hAnsi="Times New Roman"/>
          <w:b/>
          <w:szCs w:val="24"/>
          <w:lang w:val="fr-BE"/>
        </w:rPr>
        <w:t xml:space="preserve">Par conséquent, il est considéré que la </w:t>
      </w:r>
      <w:proofErr w:type="spellStart"/>
      <w:r w:rsidRPr="00FA25DB">
        <w:rPr>
          <w:rFonts w:ascii="Times New Roman" w:hAnsi="Times New Roman"/>
          <w:b/>
          <w:szCs w:val="24"/>
          <w:lang w:val="fr-BE"/>
        </w:rPr>
        <w:t>flumioxazine</w:t>
      </w:r>
      <w:proofErr w:type="spellEnd"/>
      <w:r w:rsidRPr="00FA25DB">
        <w:rPr>
          <w:rFonts w:ascii="Times New Roman" w:hAnsi="Times New Roman"/>
          <w:b/>
          <w:szCs w:val="24"/>
          <w:lang w:val="fr-BE"/>
        </w:rPr>
        <w:t xml:space="preserve"> ne satisfait plus aux critères d’exclusion énoncés dans le règlement (CE) nº </w:t>
      </w:r>
      <w:r w:rsidRPr="00BF7661">
        <w:rPr>
          <w:rFonts w:ascii="Times New Roman" w:hAnsi="Times New Roman"/>
          <w:b/>
          <w:szCs w:val="24"/>
          <w:lang w:val="fr-BE"/>
        </w:rPr>
        <w:t>1107</w:t>
      </w:r>
      <w:r w:rsidRPr="00FA25DB">
        <w:rPr>
          <w:rFonts w:ascii="Times New Roman" w:hAnsi="Times New Roman"/>
          <w:b/>
          <w:szCs w:val="24"/>
          <w:lang w:val="fr-BE"/>
        </w:rPr>
        <w:t>/</w:t>
      </w:r>
      <w:r w:rsidRPr="00BF7661">
        <w:rPr>
          <w:rFonts w:ascii="Times New Roman" w:hAnsi="Times New Roman"/>
          <w:b/>
          <w:szCs w:val="24"/>
          <w:lang w:val="fr-BE"/>
        </w:rPr>
        <w:t>2009</w:t>
      </w:r>
      <w:r w:rsidRPr="00FA25DB">
        <w:rPr>
          <w:rFonts w:ascii="Times New Roman" w:hAnsi="Times New Roman"/>
          <w:b/>
          <w:szCs w:val="24"/>
          <w:lang w:val="fr-BE"/>
        </w:rPr>
        <w:t xml:space="preserve"> et, partant, aux critères requis pour être considérée comme une substance dont on envisage la substitution</w:t>
      </w:r>
      <w:r w:rsidRPr="00FA25DB">
        <w:rPr>
          <w:rFonts w:ascii="Times New Roman" w:hAnsi="Times New Roman"/>
          <w:szCs w:val="24"/>
          <w:lang w:val="fr-BE"/>
        </w:rPr>
        <w: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En outre, la Commission tient à rappeler que, dans ses conclusions de </w:t>
      </w:r>
      <w:r w:rsidRPr="00BF7661">
        <w:rPr>
          <w:rFonts w:ascii="Times New Roman" w:hAnsi="Times New Roman"/>
          <w:szCs w:val="24"/>
          <w:lang w:val="fr-BE"/>
        </w:rPr>
        <w:t>2014</w:t>
      </w:r>
      <w:r w:rsidRPr="00FA25DB">
        <w:rPr>
          <w:rFonts w:ascii="Times New Roman" w:hAnsi="Times New Roman"/>
          <w:szCs w:val="24"/>
          <w:lang w:val="fr-BE"/>
        </w:rPr>
        <w:t>, l’</w:t>
      </w:r>
      <w:proofErr w:type="spellStart"/>
      <w:r w:rsidRPr="00FA25DB">
        <w:rPr>
          <w:rFonts w:ascii="Times New Roman" w:hAnsi="Times New Roman"/>
          <w:szCs w:val="24"/>
          <w:lang w:val="fr-BE"/>
        </w:rPr>
        <w:t>EFSA</w:t>
      </w:r>
      <w:proofErr w:type="spellEnd"/>
      <w:r w:rsidRPr="00FA25DB">
        <w:rPr>
          <w:rFonts w:ascii="Times New Roman" w:hAnsi="Times New Roman"/>
          <w:szCs w:val="24"/>
          <w:lang w:val="fr-BE"/>
        </w:rPr>
        <w:t xml:space="preserve"> a constaté un faible risque pour les oiseaux et les mammifères, les abeilles mellifères, les arthropodes non ciblés, ainsi que les </w:t>
      </w:r>
      <w:proofErr w:type="spellStart"/>
      <w:r w:rsidRPr="00FA25DB">
        <w:rPr>
          <w:rFonts w:ascii="Times New Roman" w:hAnsi="Times New Roman"/>
          <w:szCs w:val="24"/>
          <w:lang w:val="fr-BE"/>
        </w:rPr>
        <w:t>macro-organismes</w:t>
      </w:r>
      <w:proofErr w:type="spellEnd"/>
      <w:r w:rsidRPr="00FA25DB">
        <w:rPr>
          <w:rFonts w:ascii="Times New Roman" w:hAnsi="Times New Roman"/>
          <w:szCs w:val="24"/>
          <w:lang w:val="fr-BE"/>
        </w:rPr>
        <w:t xml:space="preserve"> et micro-organismes du sol. Selon ces mêmes conclusions, la </w:t>
      </w:r>
      <w:r>
        <w:rPr>
          <w:rFonts w:ascii="Times New Roman" w:hAnsi="Times New Roman"/>
          <w:szCs w:val="24"/>
        </w:rPr>
        <w:t>ﬂ</w:t>
      </w:r>
      <w:proofErr w:type="spellStart"/>
      <w:r w:rsidRPr="00FA25DB">
        <w:rPr>
          <w:rFonts w:ascii="Times New Roman" w:hAnsi="Times New Roman"/>
          <w:szCs w:val="24"/>
          <w:lang w:val="fr-BE"/>
        </w:rPr>
        <w:t>umioxazine</w:t>
      </w:r>
      <w:proofErr w:type="spellEnd"/>
      <w:r w:rsidRPr="00FA25DB">
        <w:rPr>
          <w:rFonts w:ascii="Times New Roman" w:hAnsi="Times New Roman"/>
          <w:szCs w:val="24"/>
          <w:lang w:val="fr-BE"/>
        </w:rPr>
        <w:t xml:space="preserve"> ne présente pas un risque élevé de bioconcentration. Le risque recensé pour les organismes aquatiques et les plantes non ciblées peut être atténué. </w:t>
      </w:r>
    </w:p>
    <w:p w:rsidR="0032461B" w:rsidRPr="00FA25DB" w:rsidRDefault="0032461B" w:rsidP="0032461B">
      <w:pPr>
        <w:spacing w:after="120"/>
        <w:jc w:val="both"/>
        <w:rPr>
          <w:rFonts w:ascii="Times New Roman" w:hAnsi="Times New Roman"/>
          <w:lang w:val="fr-BE"/>
        </w:rPr>
      </w:pPr>
      <w:r w:rsidRPr="00FA25DB">
        <w:rPr>
          <w:rFonts w:ascii="Times New Roman" w:hAnsi="Times New Roman"/>
          <w:szCs w:val="24"/>
          <w:lang w:val="fr-BE"/>
        </w:rPr>
        <w:lastRenderedPageBreak/>
        <w:t xml:space="preserve">Par conséquent, étant donné que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w:t>
      </w:r>
      <w:r w:rsidRPr="00FA25DB">
        <w:rPr>
          <w:rFonts w:ascii="Times New Roman" w:hAnsi="Times New Roman"/>
          <w:b/>
          <w:szCs w:val="24"/>
          <w:lang w:val="fr-BE"/>
        </w:rPr>
        <w:t>ne satisfait plus au critère d’exclusion en tant que substance toxique pour la reproduction de catégorie </w:t>
      </w:r>
      <w:r w:rsidRPr="00BF7661">
        <w:rPr>
          <w:rFonts w:ascii="Times New Roman" w:hAnsi="Times New Roman"/>
          <w:b/>
          <w:szCs w:val="24"/>
          <w:lang w:val="fr-BE"/>
        </w:rPr>
        <w:t>1</w:t>
      </w:r>
      <w:r w:rsidRPr="00FA25DB">
        <w:rPr>
          <w:rFonts w:ascii="Times New Roman" w:hAnsi="Times New Roman"/>
          <w:b/>
          <w:szCs w:val="24"/>
          <w:lang w:val="fr-BE"/>
        </w:rPr>
        <w:t>B</w:t>
      </w:r>
      <w:r w:rsidRPr="00FA25DB">
        <w:rPr>
          <w:rFonts w:ascii="Times New Roman" w:hAnsi="Times New Roman"/>
          <w:szCs w:val="24"/>
          <w:lang w:val="fr-BE"/>
        </w:rPr>
        <w:t xml:space="preserve"> conformément à l’annexe II du règlement (CE) nº</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et qu’il n’existe </w:t>
      </w:r>
      <w:r w:rsidRPr="00FA25DB">
        <w:rPr>
          <w:rFonts w:ascii="Times New Roman" w:hAnsi="Times New Roman"/>
          <w:b/>
          <w:szCs w:val="24"/>
          <w:lang w:val="fr-BE"/>
        </w:rPr>
        <w:t>aucune autre preuve évidente que la substance ne satisferait pas aux critères d’approbation</w:t>
      </w:r>
      <w:r w:rsidRPr="00FA25DB">
        <w:rPr>
          <w:rFonts w:ascii="Times New Roman" w:hAnsi="Times New Roman"/>
          <w:szCs w:val="24"/>
          <w:lang w:val="fr-BE"/>
        </w:rPr>
        <w:t xml:space="preserve">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la Commission a chargé l’</w:t>
      </w:r>
      <w:proofErr w:type="spellStart"/>
      <w:r w:rsidRPr="00FA25DB">
        <w:rPr>
          <w:rFonts w:ascii="Times New Roman" w:hAnsi="Times New Roman"/>
          <w:szCs w:val="24"/>
          <w:lang w:val="fr-BE"/>
        </w:rPr>
        <w:t>EFSA</w:t>
      </w:r>
      <w:proofErr w:type="spellEnd"/>
      <w:r w:rsidRPr="00FA25DB">
        <w:rPr>
          <w:rFonts w:ascii="Times New Roman" w:hAnsi="Times New Roman"/>
          <w:szCs w:val="24"/>
          <w:lang w:val="fr-BE"/>
        </w:rPr>
        <w:t xml:space="preserve">, le </w:t>
      </w:r>
      <w:r w:rsidRPr="00BF7661">
        <w:rPr>
          <w:rFonts w:ascii="Times New Roman" w:hAnsi="Times New Roman"/>
          <w:szCs w:val="24"/>
          <w:lang w:val="fr-BE"/>
        </w:rPr>
        <w:t>4</w:t>
      </w:r>
      <w:r w:rsidRPr="00FA25DB">
        <w:rPr>
          <w:rFonts w:ascii="Times New Roman" w:hAnsi="Times New Roman"/>
          <w:szCs w:val="24"/>
          <w:lang w:val="fr-BE"/>
        </w:rPr>
        <w:t> décembre </w:t>
      </w:r>
      <w:r w:rsidRPr="00BF7661">
        <w:rPr>
          <w:rFonts w:ascii="Times New Roman" w:hAnsi="Times New Roman"/>
          <w:szCs w:val="24"/>
          <w:lang w:val="fr-BE"/>
        </w:rPr>
        <w:t>2019</w:t>
      </w:r>
      <w:r w:rsidRPr="00FA25DB">
        <w:rPr>
          <w:rFonts w:ascii="Times New Roman" w:hAnsi="Times New Roman"/>
          <w:szCs w:val="24"/>
          <w:lang w:val="fr-BE"/>
        </w:rPr>
        <w:t xml:space="preserve">, d’évaluer le potentiel de perturbation endocrinienne de la </w:t>
      </w:r>
      <w:proofErr w:type="spellStart"/>
      <w:r w:rsidRPr="00FA25DB">
        <w:rPr>
          <w:rFonts w:ascii="Times New Roman" w:hAnsi="Times New Roman"/>
          <w:szCs w:val="24"/>
          <w:lang w:val="fr-BE"/>
        </w:rPr>
        <w:t>flumioxazine</w:t>
      </w:r>
      <w:proofErr w:type="spellEnd"/>
      <w:r w:rsidRPr="00FA25DB">
        <w:rPr>
          <w:rFonts w:ascii="Times New Roman" w:hAnsi="Times New Roman"/>
          <w:lang w:val="fr-BE"/>
        </w:rPr>
        <w:t xml:space="preserve"> conformément aux nouveaux critères du règlement (UE) </w:t>
      </w:r>
      <w:r w:rsidRPr="00BF7661">
        <w:rPr>
          <w:rFonts w:ascii="Times New Roman" w:hAnsi="Times New Roman"/>
          <w:lang w:val="fr-BE"/>
        </w:rPr>
        <w:t>2018</w:t>
      </w:r>
      <w:r w:rsidRPr="00FA25DB">
        <w:rPr>
          <w:rFonts w:ascii="Times New Roman" w:hAnsi="Times New Roman"/>
          <w:lang w:val="fr-BE"/>
        </w:rPr>
        <w:t>/</w:t>
      </w:r>
      <w:r w:rsidRPr="00BF7661">
        <w:rPr>
          <w:rFonts w:ascii="Times New Roman" w:hAnsi="Times New Roman"/>
          <w:lang w:val="fr-BE"/>
        </w:rPr>
        <w:t>605</w:t>
      </w:r>
      <w:r w:rsidRPr="00FA25DB">
        <w:rPr>
          <w:rFonts w:ascii="Times New Roman" w:hAnsi="Times New Roman"/>
          <w:lang w:val="fr-BE"/>
        </w:rPr>
        <w:t xml:space="preserve"> sur la base des données déjà disponibles dans le dossier (qui a été soumis avant l’adoption de ces critères). Le </w:t>
      </w:r>
      <w:r w:rsidRPr="00BF7661">
        <w:rPr>
          <w:rFonts w:ascii="Times New Roman" w:hAnsi="Times New Roman"/>
          <w:lang w:val="fr-BE"/>
        </w:rPr>
        <w:t>10</w:t>
      </w:r>
      <w:r w:rsidRPr="00FA25DB">
        <w:rPr>
          <w:rFonts w:ascii="Times New Roman" w:hAnsi="Times New Roman"/>
          <w:lang w:val="fr-BE"/>
        </w:rPr>
        <w:t> septembre </w:t>
      </w:r>
      <w:r w:rsidRPr="00BF7661">
        <w:rPr>
          <w:rFonts w:ascii="Times New Roman" w:hAnsi="Times New Roman"/>
          <w:lang w:val="fr-BE"/>
        </w:rPr>
        <w:t>2020</w:t>
      </w:r>
      <w:r w:rsidRPr="00FA25DB">
        <w:rPr>
          <w:rFonts w:ascii="Times New Roman" w:hAnsi="Times New Roman"/>
          <w:lang w:val="fr-BE"/>
        </w:rPr>
        <w:t>, l’</w:t>
      </w:r>
      <w:proofErr w:type="spellStart"/>
      <w:r w:rsidRPr="00FA25DB">
        <w:rPr>
          <w:rFonts w:ascii="Times New Roman" w:hAnsi="Times New Roman"/>
          <w:lang w:val="fr-BE"/>
        </w:rPr>
        <w:t>EFSA</w:t>
      </w:r>
      <w:proofErr w:type="spellEnd"/>
      <w:r w:rsidRPr="00FA25DB">
        <w:rPr>
          <w:rFonts w:ascii="Times New Roman" w:hAnsi="Times New Roman"/>
          <w:lang w:val="fr-BE"/>
        </w:rPr>
        <w:t xml:space="preserve"> a rendu les conclusions actualisées, que la Commission examine actuellement.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Étant donné que ce nouveau retard dans la conclusion de l’évaluation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était indépendant de la volonté du demandeur, l’article </w:t>
      </w:r>
      <w:r w:rsidRPr="00BF7661">
        <w:rPr>
          <w:rFonts w:ascii="Times New Roman" w:hAnsi="Times New Roman"/>
          <w:szCs w:val="24"/>
          <w:lang w:val="fr-BE"/>
        </w:rPr>
        <w:t>17</w:t>
      </w:r>
      <w:r w:rsidRPr="00FA25DB">
        <w:rPr>
          <w:rFonts w:ascii="Times New Roman" w:hAnsi="Times New Roman"/>
          <w:szCs w:val="24"/>
          <w:lang w:val="fr-BE"/>
        </w:rPr>
        <w:t xml:space="preserve">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oblige la Commission à prolonger la validité de l’approbation. Le projet de règlement était donc conforme aux objectifs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et la Commission a agi dans le cadre des compétences d’exécution qui lui ont été conférées par ce règlement.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Le même raisonnement s’applique aux autres substances concernées pour lesquelles le processus décisionnel relatif au renouvellement de l’approbation n’a pas non plus pu être mené à son terme avant les dates d’expiration respectives de leur approbation. </w:t>
      </w:r>
      <w:r w:rsidRPr="00FA25DB">
        <w:rPr>
          <w:rFonts w:ascii="Times New Roman" w:hAnsi="Times New Roman"/>
          <w:lang w:val="fr-BE"/>
        </w:rPr>
        <w:t>Si la procédure d’évaluation d’une substance peut être achevée avant la fin de la période d’autorisation prolongée, la décision concernant le renouvellement ou le non-renouvellement de l’approbation de cette substance sera adoptée le plus tôt possible et, en cas de non-renouvellement de l’approbation, la prolongation accordée sera supprimée.</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Lors de la réunion du </w:t>
      </w:r>
      <w:r w:rsidRPr="00BF7661">
        <w:rPr>
          <w:rFonts w:ascii="Times New Roman" w:hAnsi="Times New Roman"/>
          <w:szCs w:val="24"/>
          <w:lang w:val="fr-BE"/>
        </w:rPr>
        <w:t>8</w:t>
      </w:r>
      <w:r w:rsidRPr="00FA25DB">
        <w:rPr>
          <w:rFonts w:ascii="Times New Roman" w:hAnsi="Times New Roman"/>
          <w:szCs w:val="24"/>
          <w:lang w:val="fr-BE"/>
        </w:rPr>
        <w:t> juin </w:t>
      </w:r>
      <w:r w:rsidRPr="00BF7661">
        <w:rPr>
          <w:rFonts w:ascii="Times New Roman" w:hAnsi="Times New Roman"/>
          <w:szCs w:val="24"/>
          <w:lang w:val="fr-BE"/>
        </w:rPr>
        <w:t>2020</w:t>
      </w:r>
      <w:r w:rsidRPr="00FA25DB">
        <w:rPr>
          <w:rFonts w:ascii="Times New Roman" w:hAnsi="Times New Roman"/>
          <w:szCs w:val="24"/>
          <w:lang w:val="fr-BE"/>
        </w:rPr>
        <w:t xml:space="preserve"> de la commission de l’environnement, de la santé publique et de la sécurité alimentaire du Parlement européen, la Commission a longuement expliqué l’état d’avancement de la procédure d’autorisation et en quoi elle n’avait pas outrepassé ses compétences d’exécution.</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La Commission considère donc qu’en adoptant un règlement qui respecte pleinement les phases de procédure et les exigences légales définies par les colégislateurs dans la législation sur les produits phytopharmaceutiques, elle n’outrepasse pas ses compétences d’exécution. Par conséquent, il n’y a aucune raison de retirer le règlement.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S’agissant des </w:t>
      </w:r>
      <w:r w:rsidRPr="00FA25DB">
        <w:rPr>
          <w:rFonts w:ascii="Times New Roman" w:hAnsi="Times New Roman"/>
          <w:b/>
          <w:szCs w:val="24"/>
          <w:lang w:val="fr-BE"/>
        </w:rPr>
        <w:t>autres dispositions de la résolution</w:t>
      </w:r>
      <w:r w:rsidRPr="00FA25DB">
        <w:rPr>
          <w:rFonts w:ascii="Times New Roman" w:hAnsi="Times New Roman"/>
          <w:szCs w:val="24"/>
          <w:lang w:val="fr-BE"/>
        </w:rPr>
        <w:t>, la Commission estime qu’elles ne relèvent pas du droit de regard. Néanmoins, la Commission a examiné avec attention les positions exprimées par le Parlement européen et souhaite formuler les commentaires exposés ci-après.</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En ce qui concerne le </w:t>
      </w:r>
      <w:r w:rsidRPr="00FA25DB">
        <w:rPr>
          <w:rFonts w:ascii="Times New Roman" w:hAnsi="Times New Roman"/>
          <w:b/>
          <w:szCs w:val="24"/>
          <w:lang w:val="fr-BE"/>
        </w:rPr>
        <w:t>paragraphe </w:t>
      </w:r>
      <w:r w:rsidRPr="00BF7661">
        <w:rPr>
          <w:rFonts w:ascii="Times New Roman" w:hAnsi="Times New Roman"/>
          <w:b/>
          <w:szCs w:val="24"/>
          <w:lang w:val="fr-BE"/>
        </w:rPr>
        <w:t>3</w:t>
      </w:r>
      <w:r w:rsidRPr="00FA25DB">
        <w:rPr>
          <w:rFonts w:ascii="Times New Roman" w:hAnsi="Times New Roman"/>
          <w:szCs w:val="24"/>
          <w:lang w:val="fr-BE"/>
        </w:rPr>
        <w:t>, la Commission regrette que l’article </w:t>
      </w:r>
      <w:r w:rsidRPr="00BF7661">
        <w:rPr>
          <w:rFonts w:ascii="Times New Roman" w:hAnsi="Times New Roman"/>
          <w:szCs w:val="24"/>
          <w:lang w:val="fr-BE"/>
        </w:rPr>
        <w:t>17</w:t>
      </w:r>
      <w:r w:rsidRPr="00FA25DB">
        <w:rPr>
          <w:rFonts w:ascii="Times New Roman" w:hAnsi="Times New Roman"/>
          <w:szCs w:val="24"/>
          <w:lang w:val="fr-BE"/>
        </w:rPr>
        <w:t xml:space="preserve"> doive être appliqué régulièrement en raison de retards considérables dans la conclusion des processus de renouvellement des substances actives. Le non-respect des délais fixés pour le processus de renouvellement survient pour diverses raisons, mais principalement lors de l’évaluation par l’État membre rapporteur. Dans la communication du </w:t>
      </w:r>
      <w:r w:rsidRPr="00BF7661">
        <w:rPr>
          <w:rFonts w:ascii="Times New Roman" w:hAnsi="Times New Roman"/>
          <w:szCs w:val="24"/>
          <w:lang w:val="fr-BE"/>
        </w:rPr>
        <w:t>20</w:t>
      </w:r>
      <w:r w:rsidRPr="00FA25DB">
        <w:rPr>
          <w:rFonts w:ascii="Times New Roman" w:hAnsi="Times New Roman"/>
          <w:szCs w:val="24"/>
          <w:lang w:val="fr-BE"/>
        </w:rPr>
        <w:t> mai </w:t>
      </w:r>
      <w:r w:rsidRPr="00BF7661">
        <w:rPr>
          <w:rFonts w:ascii="Times New Roman" w:hAnsi="Times New Roman"/>
          <w:szCs w:val="24"/>
          <w:lang w:val="fr-BE"/>
        </w:rPr>
        <w:t>2020</w:t>
      </w:r>
      <w:r w:rsidRPr="00FA25DB">
        <w:rPr>
          <w:rFonts w:ascii="Times New Roman" w:hAnsi="Times New Roman"/>
          <w:szCs w:val="24"/>
          <w:lang w:val="fr-BE"/>
        </w:rPr>
        <w:t xml:space="preserve"> sur la stratégie «De la ferme à la table», la Commission s’est engagée à réduire la durée du processus d’approbation des pesticides et du processus d’autorisation par les États membres</w:t>
      </w:r>
      <w:r>
        <w:rPr>
          <w:rStyle w:val="FootnoteReference"/>
          <w:rFonts w:ascii="Times New Roman" w:hAnsi="Times New Roman"/>
          <w:szCs w:val="24"/>
        </w:rPr>
        <w:footnoteReference w:id="6"/>
      </w:r>
      <w:r w:rsidRPr="00FA25DB">
        <w:rPr>
          <w:rFonts w:ascii="Times New Roman" w:hAnsi="Times New Roman"/>
          <w:szCs w:val="24"/>
          <w:lang w:val="fr-BE"/>
        </w:rPr>
        <w:t>.</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En ce qui concerne les </w:t>
      </w:r>
      <w:r w:rsidRPr="00FA25DB">
        <w:rPr>
          <w:rFonts w:ascii="Times New Roman" w:hAnsi="Times New Roman"/>
          <w:b/>
          <w:szCs w:val="24"/>
          <w:lang w:val="fr-BE"/>
        </w:rPr>
        <w:t>paragraphes </w:t>
      </w:r>
      <w:r w:rsidRPr="00BF7661">
        <w:rPr>
          <w:rFonts w:ascii="Times New Roman" w:hAnsi="Times New Roman"/>
          <w:b/>
          <w:szCs w:val="24"/>
          <w:lang w:val="fr-BE"/>
        </w:rPr>
        <w:t>2</w:t>
      </w:r>
      <w:r w:rsidRPr="00FA25DB">
        <w:rPr>
          <w:rFonts w:ascii="Times New Roman" w:hAnsi="Times New Roman"/>
          <w:b/>
          <w:szCs w:val="24"/>
          <w:lang w:val="fr-BE"/>
        </w:rPr>
        <w:t xml:space="preserve"> et </w:t>
      </w:r>
      <w:r w:rsidRPr="00BF7661">
        <w:rPr>
          <w:rFonts w:ascii="Times New Roman" w:hAnsi="Times New Roman"/>
          <w:b/>
          <w:szCs w:val="24"/>
          <w:lang w:val="fr-BE"/>
        </w:rPr>
        <w:t>4</w:t>
      </w:r>
      <w:r w:rsidRPr="00FA25DB">
        <w:rPr>
          <w:rFonts w:ascii="Times New Roman" w:hAnsi="Times New Roman"/>
          <w:szCs w:val="24"/>
          <w:lang w:val="fr-BE"/>
        </w:rPr>
        <w:t>, la Commission souligne que l’article </w:t>
      </w:r>
      <w:r w:rsidRPr="00BF7661">
        <w:rPr>
          <w:rFonts w:ascii="Times New Roman" w:hAnsi="Times New Roman"/>
          <w:szCs w:val="24"/>
          <w:lang w:val="fr-BE"/>
        </w:rPr>
        <w:t>17</w:t>
      </w:r>
      <w:r w:rsidRPr="00FA25DB">
        <w:rPr>
          <w:rFonts w:ascii="Times New Roman" w:hAnsi="Times New Roman"/>
          <w:szCs w:val="24"/>
          <w:lang w:val="fr-BE"/>
        </w:rPr>
        <w:t xml:space="preserve">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xml:space="preserve"> reflète la volonté des colégislateurs qu’il doive être pleinement démontré que les critères d’approbation de la substance active énoncés à l’article </w:t>
      </w:r>
      <w:r w:rsidRPr="00BF7661">
        <w:rPr>
          <w:rFonts w:ascii="Times New Roman" w:hAnsi="Times New Roman"/>
          <w:szCs w:val="24"/>
          <w:lang w:val="fr-BE"/>
        </w:rPr>
        <w:t>4</w:t>
      </w:r>
      <w:r w:rsidRPr="00FA25DB">
        <w:rPr>
          <w:rFonts w:ascii="Times New Roman" w:hAnsi="Times New Roman"/>
          <w:szCs w:val="24"/>
          <w:lang w:val="fr-BE"/>
        </w:rPr>
        <w:t xml:space="preserve"> devraient être remplis avant qu’une décision sur le renouvellement de l’approbation d’une substance active ne soit prise. </w:t>
      </w:r>
      <w:r w:rsidRPr="00FA25DB">
        <w:rPr>
          <w:rFonts w:ascii="Times New Roman" w:hAnsi="Times New Roman"/>
          <w:lang w:val="fr-BE"/>
        </w:rPr>
        <w:t>L’article </w:t>
      </w:r>
      <w:r w:rsidRPr="00BF7661">
        <w:rPr>
          <w:rFonts w:ascii="Times New Roman" w:hAnsi="Times New Roman"/>
          <w:lang w:val="fr-BE"/>
        </w:rPr>
        <w:t>17</w:t>
      </w:r>
      <w:r w:rsidRPr="00FA25DB">
        <w:rPr>
          <w:rFonts w:ascii="Times New Roman" w:hAnsi="Times New Roman"/>
          <w:lang w:val="fr-BE"/>
        </w:rPr>
        <w:t xml:space="preserve"> dudit règlement ne fait pas de distinction entre les substances qui remplissent les </w:t>
      </w:r>
      <w:r w:rsidRPr="00FA25DB">
        <w:rPr>
          <w:rFonts w:ascii="Times New Roman" w:hAnsi="Times New Roman"/>
          <w:lang w:val="fr-BE"/>
        </w:rPr>
        <w:lastRenderedPageBreak/>
        <w:t>critères d’exclusion, les substances qui remplissent les critères requis pour être considérées comme des substances dont on envisage la substitution, et les substances qui ne remplissent pas ces critères.</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S’agissant des </w:t>
      </w:r>
      <w:r w:rsidRPr="00FA25DB">
        <w:rPr>
          <w:rFonts w:ascii="Times New Roman" w:hAnsi="Times New Roman"/>
          <w:b/>
          <w:szCs w:val="24"/>
          <w:lang w:val="fr-BE"/>
        </w:rPr>
        <w:t>paragraphes </w:t>
      </w:r>
      <w:r w:rsidRPr="00BF7661">
        <w:rPr>
          <w:rFonts w:ascii="Times New Roman" w:hAnsi="Times New Roman"/>
          <w:b/>
          <w:szCs w:val="24"/>
          <w:lang w:val="fr-BE"/>
        </w:rPr>
        <w:t>6</w:t>
      </w:r>
      <w:r w:rsidRPr="00FA25DB">
        <w:rPr>
          <w:rFonts w:ascii="Times New Roman" w:hAnsi="Times New Roman"/>
          <w:b/>
          <w:szCs w:val="24"/>
          <w:lang w:val="fr-BE"/>
        </w:rPr>
        <w:t xml:space="preserve"> et </w:t>
      </w:r>
      <w:r w:rsidRPr="00BF7661">
        <w:rPr>
          <w:rFonts w:ascii="Times New Roman" w:hAnsi="Times New Roman"/>
          <w:b/>
          <w:szCs w:val="24"/>
          <w:lang w:val="fr-BE"/>
        </w:rPr>
        <w:t>7</w:t>
      </w:r>
      <w:r w:rsidRPr="00FA25DB">
        <w:rPr>
          <w:rFonts w:ascii="Times New Roman" w:hAnsi="Times New Roman"/>
          <w:szCs w:val="24"/>
          <w:lang w:val="fr-BE"/>
        </w:rPr>
        <w:t xml:space="preserve">, la Commission souhaite faire remarquer que, lorsqu’une substance satisfait aux critères d’exclusion, elle est tenue de vérifier si l’une des deux possibilités de dérogation est remplie, ce qui, dans le cas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a nécessité la mise au point de nouvelles méthodes, comme expliqué ci-dessus. En outre, la Commission tient à souligner – comme déjà indiqué ci-dessus – qu’en l’état actuel de la procédure, rien n’indique que l’approbation de la </w:t>
      </w:r>
      <w:proofErr w:type="spellStart"/>
      <w:r w:rsidRPr="00FA25DB">
        <w:rPr>
          <w:rFonts w:ascii="Times New Roman" w:hAnsi="Times New Roman"/>
          <w:szCs w:val="24"/>
          <w:lang w:val="fr-BE"/>
        </w:rPr>
        <w:t>flumioxazine</w:t>
      </w:r>
      <w:proofErr w:type="spellEnd"/>
      <w:r w:rsidRPr="00FA25DB">
        <w:rPr>
          <w:rFonts w:ascii="Times New Roman" w:hAnsi="Times New Roman"/>
          <w:szCs w:val="24"/>
          <w:lang w:val="fr-BE"/>
        </w:rPr>
        <w:t xml:space="preserve"> ne pourrait pas être renouvelée. Il en va différemment pour d’autres substances, par exemple le </w:t>
      </w:r>
      <w:proofErr w:type="spellStart"/>
      <w:r w:rsidRPr="00FA25DB">
        <w:rPr>
          <w:rFonts w:ascii="Times New Roman" w:hAnsi="Times New Roman"/>
          <w:szCs w:val="24"/>
          <w:lang w:val="fr-BE"/>
        </w:rPr>
        <w:t>chlorpyrifos</w:t>
      </w:r>
      <w:proofErr w:type="spellEnd"/>
      <w:r w:rsidRPr="00FA25DB">
        <w:rPr>
          <w:rFonts w:ascii="Times New Roman" w:hAnsi="Times New Roman"/>
          <w:szCs w:val="24"/>
          <w:lang w:val="fr-BE"/>
        </w:rPr>
        <w:t xml:space="preserve"> ou le </w:t>
      </w:r>
      <w:proofErr w:type="spellStart"/>
      <w:r w:rsidRPr="00FA25DB">
        <w:rPr>
          <w:rFonts w:ascii="Times New Roman" w:hAnsi="Times New Roman"/>
          <w:szCs w:val="24"/>
          <w:lang w:val="fr-BE"/>
        </w:rPr>
        <w:t>chlorpyriphos</w:t>
      </w:r>
      <w:proofErr w:type="spellEnd"/>
      <w:r w:rsidRPr="00FA25DB">
        <w:rPr>
          <w:rFonts w:ascii="Times New Roman" w:hAnsi="Times New Roman"/>
          <w:szCs w:val="24"/>
          <w:lang w:val="fr-BE"/>
        </w:rPr>
        <w:t>-méthyl, pour lesquelles il est apparu clairement, au cours de l’examen par les pairs du projet d’évaluation présenté par l’État membre rapporteur, que les critères d’approbation n’étaient plus remplis. La Commission a préféré retirer l’approbation de ces deux substances plutôt que prolonger les approbations actuelles afin d’achever l’évaluation complète.</w:t>
      </w:r>
    </w:p>
    <w:p w:rsidR="0032461B" w:rsidRPr="00FA25DB" w:rsidRDefault="0032461B" w:rsidP="0032461B">
      <w:pPr>
        <w:spacing w:after="120"/>
        <w:jc w:val="both"/>
        <w:rPr>
          <w:rFonts w:ascii="Times New Roman" w:hAnsi="Times New Roman"/>
          <w:szCs w:val="24"/>
          <w:lang w:val="fr-BE"/>
        </w:rPr>
      </w:pPr>
      <w:r w:rsidRPr="00FA25DB">
        <w:rPr>
          <w:rFonts w:ascii="Times New Roman" w:hAnsi="Times New Roman"/>
          <w:szCs w:val="24"/>
          <w:lang w:val="fr-BE"/>
        </w:rPr>
        <w:t xml:space="preserve">Quant au </w:t>
      </w:r>
      <w:r w:rsidRPr="00FA25DB">
        <w:rPr>
          <w:rFonts w:ascii="Times New Roman" w:hAnsi="Times New Roman"/>
          <w:b/>
          <w:szCs w:val="24"/>
          <w:lang w:val="fr-BE"/>
        </w:rPr>
        <w:t>paragraphe </w:t>
      </w:r>
      <w:r w:rsidRPr="00BF7661">
        <w:rPr>
          <w:rFonts w:ascii="Times New Roman" w:hAnsi="Times New Roman"/>
          <w:b/>
          <w:szCs w:val="24"/>
          <w:lang w:val="fr-BE"/>
        </w:rPr>
        <w:t>8</w:t>
      </w:r>
      <w:r w:rsidRPr="00FA25DB">
        <w:rPr>
          <w:rFonts w:ascii="Times New Roman" w:hAnsi="Times New Roman"/>
          <w:szCs w:val="24"/>
          <w:lang w:val="fr-BE"/>
        </w:rPr>
        <w:t>, la Commission partage l’avis du Parlement européen selon lequel les États membres devraient remettre leurs rapports d’évaluation dans les délais et, comme indiqué ci-dessus, cette question sera traitée dans le cadre de la mise en œuvre de la stratégie</w:t>
      </w:r>
      <w:proofErr w:type="gramStart"/>
      <w:r w:rsidRPr="00FA25DB">
        <w:rPr>
          <w:rFonts w:ascii="Times New Roman" w:hAnsi="Times New Roman"/>
          <w:szCs w:val="24"/>
          <w:lang w:val="fr-BE"/>
        </w:rPr>
        <w:t xml:space="preserve"> «De</w:t>
      </w:r>
      <w:proofErr w:type="gramEnd"/>
      <w:r w:rsidRPr="00FA25DB">
        <w:rPr>
          <w:rFonts w:ascii="Times New Roman" w:hAnsi="Times New Roman"/>
          <w:szCs w:val="24"/>
          <w:lang w:val="fr-BE"/>
        </w:rPr>
        <w:t xml:space="preserve"> la ferme à la table».</w:t>
      </w:r>
    </w:p>
    <w:p w:rsidR="00F36993" w:rsidRDefault="0032461B" w:rsidP="0032461B">
      <w:pPr>
        <w:widowControl w:val="0"/>
        <w:jc w:val="both"/>
      </w:pPr>
      <w:r w:rsidRPr="00FA25DB">
        <w:rPr>
          <w:rFonts w:ascii="Times New Roman" w:hAnsi="Times New Roman"/>
          <w:szCs w:val="24"/>
          <w:lang w:val="fr-BE"/>
        </w:rPr>
        <w:t>En conclusion, la Commission estime qu’elle met en œuvre le cadre réglementaire approuvé par les colégislateurs, lequel la contraint en fait à adopter le règlement pour satisfaire aux conditions énoncées à l’article </w:t>
      </w:r>
      <w:r w:rsidRPr="00BF7661">
        <w:rPr>
          <w:rFonts w:ascii="Times New Roman" w:hAnsi="Times New Roman"/>
          <w:szCs w:val="24"/>
          <w:lang w:val="fr-BE"/>
        </w:rPr>
        <w:t>17</w:t>
      </w:r>
      <w:r w:rsidRPr="00FA25DB">
        <w:rPr>
          <w:rFonts w:ascii="Times New Roman" w:hAnsi="Times New Roman"/>
          <w:szCs w:val="24"/>
          <w:lang w:val="fr-BE"/>
        </w:rPr>
        <w:t xml:space="preserve"> du règlement (CE) nº </w:t>
      </w:r>
      <w:r w:rsidRPr="00BF7661">
        <w:rPr>
          <w:rFonts w:ascii="Times New Roman" w:hAnsi="Times New Roman"/>
          <w:szCs w:val="24"/>
          <w:lang w:val="fr-BE"/>
        </w:rPr>
        <w:t>1107</w:t>
      </w:r>
      <w:r w:rsidRPr="00FA25DB">
        <w:rPr>
          <w:rFonts w:ascii="Times New Roman" w:hAnsi="Times New Roman"/>
          <w:szCs w:val="24"/>
          <w:lang w:val="fr-BE"/>
        </w:rPr>
        <w:t>/</w:t>
      </w:r>
      <w:r w:rsidRPr="00BF7661">
        <w:rPr>
          <w:rFonts w:ascii="Times New Roman" w:hAnsi="Times New Roman"/>
          <w:szCs w:val="24"/>
          <w:lang w:val="fr-BE"/>
        </w:rPr>
        <w:t>2009</w:t>
      </w:r>
      <w:r w:rsidRPr="00FA25DB">
        <w:rPr>
          <w:rFonts w:ascii="Times New Roman" w:hAnsi="Times New Roman"/>
          <w:szCs w:val="24"/>
          <w:lang w:val="fr-BE"/>
        </w:rPr>
        <w:t>. Elle n’a donc pas outrepassé ses compétences d’exécution.</w:t>
      </w:r>
    </w:p>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1B" w:rsidRDefault="0032461B" w:rsidP="0032461B">
      <w:pPr>
        <w:spacing w:after="0" w:line="240" w:lineRule="auto"/>
      </w:pPr>
      <w:r>
        <w:separator/>
      </w:r>
    </w:p>
  </w:endnote>
  <w:endnote w:type="continuationSeparator" w:id="0">
    <w:p w:rsidR="0032461B" w:rsidRDefault="0032461B" w:rsidP="0032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1B" w:rsidRDefault="0032461B" w:rsidP="0032461B">
      <w:pPr>
        <w:spacing w:after="0" w:line="240" w:lineRule="auto"/>
      </w:pPr>
      <w:r>
        <w:separator/>
      </w:r>
    </w:p>
  </w:footnote>
  <w:footnote w:type="continuationSeparator" w:id="0">
    <w:p w:rsidR="0032461B" w:rsidRDefault="0032461B" w:rsidP="0032461B">
      <w:pPr>
        <w:spacing w:after="0" w:line="240" w:lineRule="auto"/>
      </w:pPr>
      <w:r>
        <w:continuationSeparator/>
      </w:r>
    </w:p>
  </w:footnote>
  <w:footnote w:id="1">
    <w:p w:rsidR="0032461B" w:rsidRPr="00096D38" w:rsidRDefault="0032461B" w:rsidP="0032461B">
      <w:pPr>
        <w:pStyle w:val="FootnoteText"/>
        <w:spacing w:after="12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proofErr w:type="spellStart"/>
      <w:r w:rsidRPr="00096D38">
        <w:rPr>
          <w:rFonts w:ascii="Times New Roman" w:hAnsi="Times New Roman"/>
          <w:lang w:val="fr-BE"/>
        </w:rPr>
        <w:t>EFSA</w:t>
      </w:r>
      <w:proofErr w:type="spellEnd"/>
      <w:r w:rsidRPr="00096D38">
        <w:rPr>
          <w:rFonts w:ascii="Times New Roman" w:hAnsi="Times New Roman"/>
          <w:lang w:val="fr-BE"/>
        </w:rPr>
        <w:t xml:space="preserve"> Journal </w:t>
      </w:r>
      <w:r w:rsidRPr="00BF7661">
        <w:rPr>
          <w:rFonts w:ascii="Times New Roman" w:hAnsi="Times New Roman"/>
          <w:lang w:val="fr-BE"/>
        </w:rPr>
        <w:t>2014</w:t>
      </w:r>
      <w:r w:rsidRPr="00096D38">
        <w:rPr>
          <w:rFonts w:ascii="Times New Roman" w:hAnsi="Times New Roman"/>
          <w:lang w:val="fr-BE"/>
        </w:rPr>
        <w:t>;</w:t>
      </w:r>
      <w:r w:rsidRPr="00BF7661">
        <w:rPr>
          <w:rFonts w:ascii="Times New Roman" w:hAnsi="Times New Roman"/>
          <w:lang w:val="fr-BE"/>
        </w:rPr>
        <w:t>12</w:t>
      </w:r>
      <w:r w:rsidRPr="00096D38">
        <w:rPr>
          <w:rFonts w:ascii="Times New Roman" w:hAnsi="Times New Roman"/>
          <w:lang w:val="fr-BE"/>
        </w:rPr>
        <w:t>(</w:t>
      </w:r>
      <w:r w:rsidRPr="00BF7661">
        <w:rPr>
          <w:rFonts w:ascii="Times New Roman" w:hAnsi="Times New Roman"/>
          <w:lang w:val="fr-BE"/>
        </w:rPr>
        <w:t>6</w:t>
      </w:r>
      <w:r w:rsidRPr="00096D38">
        <w:rPr>
          <w:rFonts w:ascii="Times New Roman" w:hAnsi="Times New Roman"/>
          <w:lang w:val="fr-BE"/>
        </w:rPr>
        <w:t>):</w:t>
      </w:r>
      <w:r w:rsidRPr="00BF7661">
        <w:rPr>
          <w:rFonts w:ascii="Times New Roman" w:hAnsi="Times New Roman"/>
          <w:lang w:val="fr-BE"/>
        </w:rPr>
        <w:t>3736</w:t>
      </w:r>
      <w:r w:rsidRPr="00096D38">
        <w:rPr>
          <w:rFonts w:ascii="Times New Roman" w:hAnsi="Times New Roman"/>
          <w:lang w:val="fr-BE"/>
        </w:rPr>
        <w:t xml:space="preserve">. Conclusions sur l’examen par les pairs de l’évaluation des risques liés à la substance active </w:t>
      </w:r>
      <w:proofErr w:type="spellStart"/>
      <w:r w:rsidRPr="00096D38">
        <w:rPr>
          <w:rFonts w:ascii="Times New Roman" w:hAnsi="Times New Roman"/>
          <w:lang w:val="fr-BE"/>
        </w:rPr>
        <w:t>flumioxazine</w:t>
      </w:r>
      <w:proofErr w:type="spellEnd"/>
      <w:r w:rsidRPr="00096D38">
        <w:rPr>
          <w:rFonts w:ascii="Times New Roman" w:hAnsi="Times New Roman"/>
          <w:lang w:val="fr-BE"/>
        </w:rPr>
        <w:t xml:space="preserve"> utilisée comme pesticide. </w:t>
      </w:r>
      <w:proofErr w:type="gramStart"/>
      <w:r w:rsidRPr="00096D38">
        <w:rPr>
          <w:rFonts w:ascii="Times New Roman" w:hAnsi="Times New Roman"/>
          <w:bCs/>
          <w:lang w:val="fr-BE"/>
        </w:rPr>
        <w:t>doi:</w:t>
      </w:r>
      <w:r w:rsidRPr="00BF7661">
        <w:rPr>
          <w:rFonts w:ascii="Times New Roman" w:hAnsi="Times New Roman"/>
          <w:bCs/>
          <w:lang w:val="fr-BE"/>
        </w:rPr>
        <w:t>10</w:t>
      </w:r>
      <w:r w:rsidRPr="00096D38">
        <w:rPr>
          <w:rFonts w:ascii="Times New Roman" w:hAnsi="Times New Roman"/>
          <w:bCs/>
          <w:lang w:val="fr-BE"/>
        </w:rPr>
        <w:t>.</w:t>
      </w:r>
      <w:r w:rsidRPr="00BF7661">
        <w:rPr>
          <w:rFonts w:ascii="Times New Roman" w:hAnsi="Times New Roman"/>
          <w:bCs/>
          <w:lang w:val="fr-BE"/>
        </w:rPr>
        <w:t>2903</w:t>
      </w:r>
      <w:r w:rsidRPr="00096D38">
        <w:rPr>
          <w:rFonts w:ascii="Times New Roman" w:hAnsi="Times New Roman"/>
          <w:bCs/>
          <w:lang w:val="fr-BE"/>
        </w:rPr>
        <w:t>/j.efsa</w:t>
      </w:r>
      <w:proofErr w:type="gramEnd"/>
      <w:r w:rsidRPr="00096D38">
        <w:rPr>
          <w:rFonts w:ascii="Times New Roman" w:hAnsi="Times New Roman"/>
          <w:bCs/>
          <w:lang w:val="fr-BE"/>
        </w:rPr>
        <w:t>.</w:t>
      </w:r>
      <w:r w:rsidRPr="00BF7661">
        <w:rPr>
          <w:rFonts w:ascii="Times New Roman" w:hAnsi="Times New Roman"/>
          <w:bCs/>
          <w:lang w:val="fr-BE"/>
        </w:rPr>
        <w:t>2014</w:t>
      </w:r>
      <w:r w:rsidRPr="00096D38">
        <w:rPr>
          <w:rFonts w:ascii="Times New Roman" w:hAnsi="Times New Roman"/>
          <w:bCs/>
          <w:lang w:val="fr-BE"/>
        </w:rPr>
        <w:t>.</w:t>
      </w:r>
      <w:r w:rsidRPr="00BF7661">
        <w:rPr>
          <w:rFonts w:ascii="Times New Roman" w:hAnsi="Times New Roman"/>
          <w:bCs/>
          <w:lang w:val="fr-BE"/>
        </w:rPr>
        <w:t>3736</w:t>
      </w:r>
      <w:r w:rsidRPr="00096D38">
        <w:rPr>
          <w:rFonts w:ascii="Times New Roman" w:hAnsi="Times New Roman"/>
          <w:bCs/>
          <w:lang w:val="fr-BE"/>
        </w:rPr>
        <w:t xml:space="preserve">. </w:t>
      </w:r>
      <w:r w:rsidRPr="00096D38">
        <w:rPr>
          <w:rFonts w:ascii="Times New Roman" w:hAnsi="Times New Roman"/>
          <w:lang w:val="fr-BE"/>
        </w:rPr>
        <w:t xml:space="preserve">Disponible en ligne à l’adresse suivante: </w:t>
      </w:r>
      <w:hyperlink r:id="rId1" w:history="1">
        <w:r w:rsidRPr="00096D38">
          <w:rPr>
            <w:rStyle w:val="Hyperlink"/>
            <w:rFonts w:ascii="Times New Roman" w:hAnsi="Times New Roman"/>
            <w:lang w:val="fr-BE"/>
          </w:rPr>
          <w:t>www.efsa.europa.eu/efsajournal</w:t>
        </w:r>
      </w:hyperlink>
    </w:p>
  </w:footnote>
  <w:footnote w:id="2">
    <w:p w:rsidR="0032461B" w:rsidRPr="00096D38" w:rsidRDefault="0032461B" w:rsidP="0032461B">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2" w:history="1">
        <w:r w:rsidRPr="0032461B">
          <w:rPr>
            <w:rStyle w:val="Hyperlink"/>
            <w:rFonts w:ascii="Times New Roman" w:hAnsi="Times New Roman"/>
            <w:lang w:val="fr-BE"/>
          </w:rPr>
          <w:t>https://ec.europa.eu/food/sites/food/files/safety/docs/adv-grp_wg_20150625_tech-guidance.pdf</w:t>
        </w:r>
      </w:hyperlink>
    </w:p>
  </w:footnote>
  <w:footnote w:id="3">
    <w:p w:rsidR="0032461B" w:rsidRPr="00096D38" w:rsidRDefault="0032461B" w:rsidP="0032461B">
      <w:pPr>
        <w:pStyle w:val="FootnoteText"/>
        <w:spacing w:after="0"/>
        <w:rPr>
          <w:lang w:val="fr-BE"/>
        </w:rPr>
      </w:pPr>
      <w:r>
        <w:rPr>
          <w:rStyle w:val="FootnoteReference"/>
        </w:rPr>
        <w:footnoteRef/>
      </w:r>
      <w:r w:rsidRPr="00096D38">
        <w:rPr>
          <w:lang w:val="fr-BE"/>
        </w:rPr>
        <w:t xml:space="preserve"> </w:t>
      </w:r>
      <w:r w:rsidRPr="00096D38">
        <w:rPr>
          <w:lang w:val="fr-BE"/>
        </w:rPr>
        <w:tab/>
      </w:r>
      <w:proofErr w:type="spellStart"/>
      <w:r w:rsidRPr="00096D38">
        <w:rPr>
          <w:rFonts w:ascii="Times New Roman" w:hAnsi="Times New Roman"/>
          <w:color w:val="000000"/>
          <w:lang w:val="fr-BE"/>
        </w:rPr>
        <w:t>EFSA</w:t>
      </w:r>
      <w:proofErr w:type="spellEnd"/>
      <w:r w:rsidRPr="00096D38">
        <w:rPr>
          <w:rFonts w:ascii="Times New Roman" w:hAnsi="Times New Roman"/>
          <w:color w:val="000000"/>
          <w:lang w:val="fr-BE"/>
        </w:rPr>
        <w:t xml:space="preserve"> (Autorité européenne de sécurité des aliments), </w:t>
      </w:r>
      <w:proofErr w:type="spellStart"/>
      <w:r w:rsidRPr="00096D38">
        <w:rPr>
          <w:rFonts w:ascii="Times New Roman" w:hAnsi="Times New Roman"/>
          <w:color w:val="000000"/>
          <w:lang w:val="fr-BE"/>
        </w:rPr>
        <w:t>Dehnen-Schmutz</w:t>
      </w:r>
      <w:proofErr w:type="spellEnd"/>
      <w:r w:rsidRPr="00096D38">
        <w:rPr>
          <w:rFonts w:ascii="Times New Roman" w:hAnsi="Times New Roman"/>
          <w:color w:val="000000"/>
          <w:lang w:val="fr-BE"/>
        </w:rPr>
        <w:t xml:space="preserve"> K., </w:t>
      </w:r>
      <w:proofErr w:type="spellStart"/>
      <w:r w:rsidRPr="00096D38">
        <w:rPr>
          <w:rFonts w:ascii="Times New Roman" w:hAnsi="Times New Roman"/>
          <w:color w:val="000000"/>
          <w:lang w:val="fr-BE"/>
        </w:rPr>
        <w:t>Bastiaans</w:t>
      </w:r>
      <w:proofErr w:type="spellEnd"/>
      <w:r w:rsidRPr="00096D38">
        <w:rPr>
          <w:rFonts w:ascii="Times New Roman" w:hAnsi="Times New Roman"/>
          <w:color w:val="000000"/>
          <w:lang w:val="fr-BE"/>
        </w:rPr>
        <w:t xml:space="preserve"> L., </w:t>
      </w:r>
      <w:proofErr w:type="spellStart"/>
      <w:r w:rsidRPr="00096D38">
        <w:rPr>
          <w:rFonts w:ascii="Times New Roman" w:hAnsi="Times New Roman"/>
          <w:color w:val="000000"/>
          <w:lang w:val="fr-BE"/>
        </w:rPr>
        <w:t>Chauvel</w:t>
      </w:r>
      <w:proofErr w:type="spellEnd"/>
      <w:r w:rsidRPr="00096D38">
        <w:rPr>
          <w:rFonts w:ascii="Times New Roman" w:hAnsi="Times New Roman"/>
          <w:color w:val="000000"/>
          <w:lang w:val="fr-BE"/>
        </w:rPr>
        <w:t xml:space="preserve"> B., </w:t>
      </w:r>
      <w:proofErr w:type="spellStart"/>
      <w:r w:rsidRPr="00096D38">
        <w:rPr>
          <w:rFonts w:ascii="Times New Roman" w:hAnsi="Times New Roman"/>
          <w:color w:val="000000"/>
          <w:lang w:val="fr-BE"/>
        </w:rPr>
        <w:t>Gardi</w:t>
      </w:r>
      <w:proofErr w:type="spellEnd"/>
      <w:r w:rsidRPr="00096D38">
        <w:rPr>
          <w:rFonts w:ascii="Times New Roman" w:hAnsi="Times New Roman"/>
          <w:color w:val="000000"/>
          <w:lang w:val="fr-BE"/>
        </w:rPr>
        <w:t xml:space="preserve"> C., Heppner C., </w:t>
      </w:r>
      <w:proofErr w:type="spellStart"/>
      <w:r w:rsidRPr="00096D38">
        <w:rPr>
          <w:rFonts w:ascii="Times New Roman" w:hAnsi="Times New Roman"/>
          <w:color w:val="000000"/>
          <w:lang w:val="fr-BE"/>
        </w:rPr>
        <w:t>Koufakis</w:t>
      </w:r>
      <w:proofErr w:type="spellEnd"/>
      <w:r w:rsidRPr="00096D38">
        <w:rPr>
          <w:rFonts w:ascii="Times New Roman" w:hAnsi="Times New Roman"/>
          <w:color w:val="000000"/>
          <w:lang w:val="fr-BE"/>
        </w:rPr>
        <w:t xml:space="preserve"> I., </w:t>
      </w:r>
      <w:r w:rsidRPr="00BF7661">
        <w:rPr>
          <w:rFonts w:ascii="Times New Roman" w:hAnsi="Times New Roman"/>
          <w:color w:val="000000"/>
          <w:lang w:val="fr-BE"/>
        </w:rPr>
        <w:t>2016</w:t>
      </w:r>
      <w:r w:rsidRPr="00096D38">
        <w:rPr>
          <w:rFonts w:ascii="Times New Roman" w:hAnsi="Times New Roman"/>
          <w:color w:val="000000"/>
          <w:lang w:val="fr-BE"/>
        </w:rPr>
        <w:t xml:space="preserve">, «Protocol for the </w:t>
      </w:r>
      <w:proofErr w:type="spellStart"/>
      <w:r w:rsidRPr="00096D38">
        <w:rPr>
          <w:rFonts w:ascii="Times New Roman" w:hAnsi="Times New Roman"/>
          <w:color w:val="000000"/>
          <w:lang w:val="fr-BE"/>
        </w:rPr>
        <w:t>evaluation</w:t>
      </w:r>
      <w:proofErr w:type="spellEnd"/>
      <w:r w:rsidRPr="00096D38">
        <w:rPr>
          <w:rFonts w:ascii="Times New Roman" w:hAnsi="Times New Roman"/>
          <w:color w:val="000000"/>
          <w:lang w:val="fr-BE"/>
        </w:rPr>
        <w:t xml:space="preserve"> of data </w:t>
      </w:r>
      <w:proofErr w:type="spellStart"/>
      <w:r w:rsidRPr="00096D38">
        <w:rPr>
          <w:rFonts w:ascii="Times New Roman" w:hAnsi="Times New Roman"/>
          <w:color w:val="000000"/>
          <w:lang w:val="fr-BE"/>
        </w:rPr>
        <w:t>concerning</w:t>
      </w:r>
      <w:proofErr w:type="spellEnd"/>
      <w:r w:rsidRPr="00096D38">
        <w:rPr>
          <w:rFonts w:ascii="Times New Roman" w:hAnsi="Times New Roman"/>
          <w:color w:val="000000"/>
          <w:lang w:val="fr-BE"/>
        </w:rPr>
        <w:t xml:space="preserve"> the </w:t>
      </w:r>
      <w:proofErr w:type="spellStart"/>
      <w:r w:rsidRPr="00096D38">
        <w:rPr>
          <w:rFonts w:ascii="Times New Roman" w:hAnsi="Times New Roman"/>
          <w:color w:val="000000"/>
          <w:lang w:val="fr-BE"/>
        </w:rPr>
        <w:t>necessity</w:t>
      </w:r>
      <w:proofErr w:type="spellEnd"/>
      <w:r w:rsidRPr="00096D38">
        <w:rPr>
          <w:rFonts w:ascii="Times New Roman" w:hAnsi="Times New Roman"/>
          <w:color w:val="000000"/>
          <w:lang w:val="fr-BE"/>
        </w:rPr>
        <w:t xml:space="preserve"> of the application of herbicide active substances to control a </w:t>
      </w:r>
      <w:proofErr w:type="spellStart"/>
      <w:r w:rsidRPr="00096D38">
        <w:rPr>
          <w:rFonts w:ascii="Times New Roman" w:hAnsi="Times New Roman"/>
          <w:color w:val="000000"/>
          <w:lang w:val="fr-BE"/>
        </w:rPr>
        <w:t>serious</w:t>
      </w:r>
      <w:proofErr w:type="spellEnd"/>
      <w:r w:rsidRPr="00096D38">
        <w:rPr>
          <w:rFonts w:ascii="Times New Roman" w:hAnsi="Times New Roman"/>
          <w:color w:val="000000"/>
          <w:lang w:val="fr-BE"/>
        </w:rPr>
        <w:t xml:space="preserve"> danger to plant </w:t>
      </w:r>
      <w:proofErr w:type="spellStart"/>
      <w:r w:rsidRPr="00096D38">
        <w:rPr>
          <w:rFonts w:ascii="Times New Roman" w:hAnsi="Times New Roman"/>
          <w:color w:val="000000"/>
          <w:lang w:val="fr-BE"/>
        </w:rPr>
        <w:t>health</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which</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cannot</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be</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contained</w:t>
      </w:r>
      <w:proofErr w:type="spellEnd"/>
      <w:r w:rsidRPr="00096D38">
        <w:rPr>
          <w:rFonts w:ascii="Times New Roman" w:hAnsi="Times New Roman"/>
          <w:color w:val="000000"/>
          <w:lang w:val="fr-BE"/>
        </w:rPr>
        <w:t xml:space="preserve"> by </w:t>
      </w:r>
      <w:proofErr w:type="spellStart"/>
      <w:r w:rsidRPr="00096D38">
        <w:rPr>
          <w:rFonts w:ascii="Times New Roman" w:hAnsi="Times New Roman"/>
          <w:color w:val="000000"/>
          <w:lang w:val="fr-BE"/>
        </w:rPr>
        <w:t>other</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available</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means</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including</w:t>
      </w:r>
      <w:proofErr w:type="spellEnd"/>
      <w:r w:rsidRPr="00096D38">
        <w:rPr>
          <w:rFonts w:ascii="Times New Roman" w:hAnsi="Times New Roman"/>
          <w:color w:val="000000"/>
          <w:lang w:val="fr-BE"/>
        </w:rPr>
        <w:t xml:space="preserve"> non-</w:t>
      </w:r>
      <w:proofErr w:type="spellStart"/>
      <w:r w:rsidRPr="00096D38">
        <w:rPr>
          <w:rFonts w:ascii="Times New Roman" w:hAnsi="Times New Roman"/>
          <w:color w:val="000000"/>
          <w:lang w:val="fr-BE"/>
        </w:rPr>
        <w:t>chemical</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methods</w:t>
      </w:r>
      <w:proofErr w:type="spellEnd"/>
      <w:r w:rsidRPr="00096D38">
        <w:rPr>
          <w:rFonts w:ascii="Times New Roman" w:hAnsi="Times New Roman"/>
          <w:color w:val="000000"/>
          <w:lang w:val="fr-BE"/>
        </w:rPr>
        <w:t xml:space="preserve">» (Protocole pour l’évaluation des données concernant la nécessité d’appliquer des substances actives herbicides pour contrôler un danger phytosanitaire grave qui ne peut être maîtrisé par d’autres moyens disponibles, y compris par des méthodes non chimiques). </w:t>
      </w:r>
      <w:proofErr w:type="spellStart"/>
      <w:r w:rsidRPr="00096D38">
        <w:rPr>
          <w:rFonts w:ascii="Times New Roman" w:hAnsi="Times New Roman"/>
          <w:color w:val="000000"/>
          <w:lang w:val="fr-BE"/>
        </w:rPr>
        <w:t>EFSA</w:t>
      </w:r>
      <w:proofErr w:type="spellEnd"/>
      <w:r w:rsidRPr="00096D38">
        <w:rPr>
          <w:rFonts w:ascii="Times New Roman" w:hAnsi="Times New Roman"/>
          <w:color w:val="000000"/>
          <w:lang w:val="fr-BE"/>
        </w:rPr>
        <w:t xml:space="preserve"> </w:t>
      </w:r>
      <w:proofErr w:type="spellStart"/>
      <w:r w:rsidRPr="00096D38">
        <w:rPr>
          <w:rFonts w:ascii="Times New Roman" w:hAnsi="Times New Roman"/>
          <w:color w:val="000000"/>
          <w:lang w:val="fr-BE"/>
        </w:rPr>
        <w:t>Supporting</w:t>
      </w:r>
      <w:proofErr w:type="spellEnd"/>
      <w:r w:rsidRPr="00096D38">
        <w:rPr>
          <w:rFonts w:ascii="Times New Roman" w:hAnsi="Times New Roman"/>
          <w:color w:val="000000"/>
          <w:lang w:val="fr-BE"/>
        </w:rPr>
        <w:t xml:space="preserve"> Publications </w:t>
      </w:r>
      <w:proofErr w:type="gramStart"/>
      <w:r w:rsidRPr="00BF7661">
        <w:rPr>
          <w:rFonts w:ascii="Times New Roman" w:hAnsi="Times New Roman"/>
          <w:color w:val="000000"/>
          <w:lang w:val="fr-BE"/>
        </w:rPr>
        <w:t>2016</w:t>
      </w:r>
      <w:r w:rsidRPr="00096D38">
        <w:rPr>
          <w:rFonts w:ascii="Times New Roman" w:hAnsi="Times New Roman"/>
          <w:color w:val="000000"/>
          <w:lang w:val="fr-BE"/>
        </w:rPr>
        <w:t>:EN</w:t>
      </w:r>
      <w:proofErr w:type="gramEnd"/>
      <w:r w:rsidRPr="00096D38">
        <w:rPr>
          <w:rFonts w:ascii="Times New Roman" w:hAnsi="Times New Roman"/>
          <w:color w:val="000000"/>
          <w:lang w:val="fr-BE"/>
        </w:rPr>
        <w:t>-</w:t>
      </w:r>
      <w:r w:rsidRPr="00BF7661">
        <w:rPr>
          <w:rFonts w:ascii="Times New Roman" w:hAnsi="Times New Roman"/>
          <w:color w:val="000000"/>
          <w:lang w:val="fr-BE"/>
        </w:rPr>
        <w:t>1060</w:t>
      </w:r>
      <w:r w:rsidRPr="00096D38">
        <w:rPr>
          <w:rFonts w:ascii="Times New Roman" w:hAnsi="Times New Roman"/>
          <w:color w:val="000000"/>
          <w:lang w:val="fr-BE"/>
        </w:rPr>
        <w:t xml:space="preserve">. </w:t>
      </w:r>
      <w:r w:rsidRPr="00BF7661">
        <w:rPr>
          <w:rFonts w:ascii="Times New Roman" w:hAnsi="Times New Roman"/>
          <w:color w:val="000000"/>
          <w:lang w:val="fr-BE"/>
        </w:rPr>
        <w:t>18</w:t>
      </w:r>
      <w:r w:rsidRPr="00096D38">
        <w:rPr>
          <w:rFonts w:ascii="Times New Roman" w:hAnsi="Times New Roman"/>
          <w:color w:val="000000"/>
          <w:lang w:val="fr-BE"/>
        </w:rPr>
        <w:t> p.</w:t>
      </w:r>
    </w:p>
  </w:footnote>
  <w:footnote w:id="4">
    <w:p w:rsidR="0032461B" w:rsidRPr="00096D38" w:rsidRDefault="0032461B" w:rsidP="0032461B">
      <w:pPr>
        <w:pStyle w:val="FootnoteText"/>
        <w:spacing w:after="0"/>
        <w:rPr>
          <w:rFonts w:ascii="Times New Roman" w:hAnsi="Times New Roman"/>
          <w:lang w:val="fr-BE"/>
        </w:rPr>
      </w:pPr>
      <w:r w:rsidRPr="00BF7661">
        <w:rPr>
          <w:rFonts w:ascii="Times New Roman" w:hAnsi="Times New Roman"/>
          <w:vertAlign w:val="superscript"/>
          <w:lang w:val="fr-BE"/>
        </w:rPr>
        <w:t>4</w:t>
      </w:r>
      <w:r w:rsidRPr="00096D38">
        <w:rPr>
          <w:rFonts w:ascii="Times New Roman" w:hAnsi="Times New Roman"/>
          <w:lang w:val="fr-BE"/>
        </w:rPr>
        <w:tab/>
      </w:r>
      <w:proofErr w:type="spellStart"/>
      <w:r w:rsidRPr="00096D38">
        <w:rPr>
          <w:rFonts w:ascii="Times New Roman" w:hAnsi="Times New Roman"/>
          <w:lang w:val="fr-BE"/>
        </w:rPr>
        <w:t>EFSA</w:t>
      </w:r>
      <w:proofErr w:type="spellEnd"/>
      <w:r w:rsidRPr="00096D38">
        <w:rPr>
          <w:rFonts w:ascii="Times New Roman" w:hAnsi="Times New Roman"/>
          <w:lang w:val="fr-BE"/>
        </w:rPr>
        <w:t xml:space="preserve"> (Autorité européenne de sécurité des aliments), </w:t>
      </w:r>
      <w:r w:rsidRPr="00BF7661">
        <w:rPr>
          <w:rFonts w:ascii="Times New Roman" w:hAnsi="Times New Roman"/>
          <w:lang w:val="fr-BE"/>
        </w:rPr>
        <w:t>2017</w:t>
      </w:r>
      <w:r w:rsidRPr="00096D38">
        <w:rPr>
          <w:rFonts w:ascii="Times New Roman" w:hAnsi="Times New Roman"/>
          <w:lang w:val="fr-BE"/>
        </w:rPr>
        <w:t>, «</w:t>
      </w:r>
      <w:proofErr w:type="spellStart"/>
      <w:r w:rsidRPr="00096D38">
        <w:rPr>
          <w:rFonts w:ascii="Times New Roman" w:hAnsi="Times New Roman"/>
          <w:lang w:val="fr-BE"/>
        </w:rPr>
        <w:t>Scienti</w:t>
      </w:r>
      <w:proofErr w:type="spellEnd"/>
      <w:r>
        <w:rPr>
          <w:rFonts w:ascii="Times New Roman" w:hAnsi="Times New Roman"/>
        </w:rPr>
        <w:t>ﬁ</w:t>
      </w:r>
      <w:r w:rsidRPr="00096D38">
        <w:rPr>
          <w:rFonts w:ascii="Times New Roman" w:hAnsi="Times New Roman"/>
          <w:lang w:val="fr-BE"/>
        </w:rPr>
        <w:t xml:space="preserve">c report on the </w:t>
      </w:r>
      <w:proofErr w:type="spellStart"/>
      <w:r w:rsidRPr="00096D38">
        <w:rPr>
          <w:rFonts w:ascii="Times New Roman" w:hAnsi="Times New Roman"/>
          <w:lang w:val="fr-BE"/>
        </w:rPr>
        <w:t>evaluation</w:t>
      </w:r>
      <w:proofErr w:type="spellEnd"/>
      <w:r w:rsidRPr="00096D38">
        <w:rPr>
          <w:rFonts w:ascii="Times New Roman" w:hAnsi="Times New Roman"/>
          <w:lang w:val="fr-BE"/>
        </w:rPr>
        <w:t xml:space="preserve"> of data </w:t>
      </w:r>
      <w:proofErr w:type="spellStart"/>
      <w:r w:rsidRPr="00096D38">
        <w:rPr>
          <w:rFonts w:ascii="Times New Roman" w:hAnsi="Times New Roman"/>
          <w:lang w:val="fr-BE"/>
        </w:rPr>
        <w:t>concerning</w:t>
      </w:r>
      <w:proofErr w:type="spellEnd"/>
      <w:r w:rsidRPr="00096D38">
        <w:rPr>
          <w:rFonts w:ascii="Times New Roman" w:hAnsi="Times New Roman"/>
          <w:lang w:val="fr-BE"/>
        </w:rPr>
        <w:t xml:space="preserve"> the </w:t>
      </w:r>
      <w:proofErr w:type="spellStart"/>
      <w:r w:rsidRPr="00096D38">
        <w:rPr>
          <w:rFonts w:ascii="Times New Roman" w:hAnsi="Times New Roman"/>
          <w:lang w:val="fr-BE"/>
        </w:rPr>
        <w:t>necessity</w:t>
      </w:r>
      <w:proofErr w:type="spellEnd"/>
      <w:r w:rsidRPr="00096D38">
        <w:rPr>
          <w:rFonts w:ascii="Times New Roman" w:hAnsi="Times New Roman"/>
          <w:lang w:val="fr-BE"/>
        </w:rPr>
        <w:t xml:space="preserve"> of </w:t>
      </w:r>
      <w:r>
        <w:rPr>
          <w:rFonts w:ascii="Times New Roman" w:hAnsi="Times New Roman"/>
        </w:rPr>
        <w:t>ﬂ</w:t>
      </w:r>
      <w:proofErr w:type="spellStart"/>
      <w:r w:rsidRPr="00096D38">
        <w:rPr>
          <w:rFonts w:ascii="Times New Roman" w:hAnsi="Times New Roman"/>
          <w:lang w:val="fr-BE"/>
        </w:rPr>
        <w:t>umioxazin</w:t>
      </w:r>
      <w:proofErr w:type="spellEnd"/>
      <w:r w:rsidRPr="00096D38">
        <w:rPr>
          <w:rFonts w:ascii="Times New Roman" w:hAnsi="Times New Roman"/>
          <w:lang w:val="fr-BE"/>
        </w:rPr>
        <w:t xml:space="preserve"> as a herbicide to control a </w:t>
      </w:r>
      <w:proofErr w:type="spellStart"/>
      <w:r w:rsidRPr="00096D38">
        <w:rPr>
          <w:rFonts w:ascii="Times New Roman" w:hAnsi="Times New Roman"/>
          <w:lang w:val="fr-BE"/>
        </w:rPr>
        <w:t>serious</w:t>
      </w:r>
      <w:proofErr w:type="spellEnd"/>
      <w:r w:rsidRPr="00096D38">
        <w:rPr>
          <w:rFonts w:ascii="Times New Roman" w:hAnsi="Times New Roman"/>
          <w:lang w:val="fr-BE"/>
        </w:rPr>
        <w:t xml:space="preserve"> danger to plant </w:t>
      </w:r>
      <w:proofErr w:type="spellStart"/>
      <w:r w:rsidRPr="00096D38">
        <w:rPr>
          <w:rFonts w:ascii="Times New Roman" w:hAnsi="Times New Roman"/>
          <w:lang w:val="fr-BE"/>
        </w:rPr>
        <w:t>health</w:t>
      </w:r>
      <w:proofErr w:type="spellEnd"/>
      <w:r w:rsidRPr="00096D38">
        <w:rPr>
          <w:rFonts w:ascii="Times New Roman" w:hAnsi="Times New Roman"/>
          <w:lang w:val="fr-BE"/>
        </w:rPr>
        <w:t xml:space="preserve"> </w:t>
      </w:r>
      <w:proofErr w:type="spellStart"/>
      <w:r w:rsidRPr="00096D38">
        <w:rPr>
          <w:rFonts w:ascii="Times New Roman" w:hAnsi="Times New Roman"/>
          <w:lang w:val="fr-BE"/>
        </w:rPr>
        <w:t>which</w:t>
      </w:r>
      <w:proofErr w:type="spellEnd"/>
      <w:r w:rsidRPr="00096D38">
        <w:rPr>
          <w:rFonts w:ascii="Times New Roman" w:hAnsi="Times New Roman"/>
          <w:lang w:val="fr-BE"/>
        </w:rPr>
        <w:t xml:space="preserve"> </w:t>
      </w:r>
      <w:proofErr w:type="spellStart"/>
      <w:r w:rsidRPr="00096D38">
        <w:rPr>
          <w:rFonts w:ascii="Times New Roman" w:hAnsi="Times New Roman"/>
          <w:lang w:val="fr-BE"/>
        </w:rPr>
        <w:t>cannot</w:t>
      </w:r>
      <w:proofErr w:type="spellEnd"/>
      <w:r w:rsidRPr="00096D38">
        <w:rPr>
          <w:rFonts w:ascii="Times New Roman" w:hAnsi="Times New Roman"/>
          <w:lang w:val="fr-BE"/>
        </w:rPr>
        <w:t xml:space="preserve"> </w:t>
      </w:r>
      <w:proofErr w:type="spellStart"/>
      <w:r w:rsidRPr="00096D38">
        <w:rPr>
          <w:rFonts w:ascii="Times New Roman" w:hAnsi="Times New Roman"/>
          <w:lang w:val="fr-BE"/>
        </w:rPr>
        <w:t>be</w:t>
      </w:r>
      <w:proofErr w:type="spellEnd"/>
      <w:r w:rsidRPr="00096D38">
        <w:rPr>
          <w:rFonts w:ascii="Times New Roman" w:hAnsi="Times New Roman"/>
          <w:lang w:val="fr-BE"/>
        </w:rPr>
        <w:t xml:space="preserve"> </w:t>
      </w:r>
      <w:proofErr w:type="spellStart"/>
      <w:r w:rsidRPr="00096D38">
        <w:rPr>
          <w:rFonts w:ascii="Times New Roman" w:hAnsi="Times New Roman"/>
          <w:lang w:val="fr-BE"/>
        </w:rPr>
        <w:t>contained</w:t>
      </w:r>
      <w:proofErr w:type="spellEnd"/>
      <w:r w:rsidRPr="00096D38">
        <w:rPr>
          <w:rFonts w:ascii="Times New Roman" w:hAnsi="Times New Roman"/>
          <w:lang w:val="fr-BE"/>
        </w:rPr>
        <w:t xml:space="preserve"> by </w:t>
      </w:r>
      <w:proofErr w:type="spellStart"/>
      <w:r w:rsidRPr="00096D38">
        <w:rPr>
          <w:rFonts w:ascii="Times New Roman" w:hAnsi="Times New Roman"/>
          <w:lang w:val="fr-BE"/>
        </w:rPr>
        <w:t>other</w:t>
      </w:r>
      <w:proofErr w:type="spellEnd"/>
      <w:r w:rsidRPr="00096D38">
        <w:rPr>
          <w:rFonts w:ascii="Times New Roman" w:hAnsi="Times New Roman"/>
          <w:lang w:val="fr-BE"/>
        </w:rPr>
        <w:t xml:space="preserve"> </w:t>
      </w:r>
      <w:proofErr w:type="spellStart"/>
      <w:r w:rsidRPr="00096D38">
        <w:rPr>
          <w:rFonts w:ascii="Times New Roman" w:hAnsi="Times New Roman"/>
          <w:lang w:val="fr-BE"/>
        </w:rPr>
        <w:t>available</w:t>
      </w:r>
      <w:proofErr w:type="spellEnd"/>
      <w:r w:rsidRPr="00096D38">
        <w:rPr>
          <w:rFonts w:ascii="Times New Roman" w:hAnsi="Times New Roman"/>
          <w:lang w:val="fr-BE"/>
        </w:rPr>
        <w:t xml:space="preserve"> </w:t>
      </w:r>
      <w:proofErr w:type="spellStart"/>
      <w:r w:rsidRPr="00096D38">
        <w:rPr>
          <w:rFonts w:ascii="Times New Roman" w:hAnsi="Times New Roman"/>
          <w:lang w:val="fr-BE"/>
        </w:rPr>
        <w:t>means</w:t>
      </w:r>
      <w:proofErr w:type="spellEnd"/>
      <w:r w:rsidRPr="00096D38">
        <w:rPr>
          <w:rFonts w:ascii="Times New Roman" w:hAnsi="Times New Roman"/>
          <w:lang w:val="fr-BE"/>
        </w:rPr>
        <w:t xml:space="preserve">, </w:t>
      </w:r>
      <w:proofErr w:type="spellStart"/>
      <w:r w:rsidRPr="00096D38">
        <w:rPr>
          <w:rFonts w:ascii="Times New Roman" w:hAnsi="Times New Roman"/>
          <w:lang w:val="fr-BE"/>
        </w:rPr>
        <w:t>including</w:t>
      </w:r>
      <w:proofErr w:type="spellEnd"/>
      <w:r w:rsidRPr="00096D38">
        <w:rPr>
          <w:rFonts w:ascii="Times New Roman" w:hAnsi="Times New Roman"/>
          <w:lang w:val="fr-BE"/>
        </w:rPr>
        <w:t xml:space="preserve"> non-</w:t>
      </w:r>
      <w:proofErr w:type="spellStart"/>
      <w:r w:rsidRPr="00096D38">
        <w:rPr>
          <w:rFonts w:ascii="Times New Roman" w:hAnsi="Times New Roman"/>
          <w:lang w:val="fr-BE"/>
        </w:rPr>
        <w:t>chemical</w:t>
      </w:r>
      <w:proofErr w:type="spellEnd"/>
      <w:r w:rsidRPr="00096D38">
        <w:rPr>
          <w:rFonts w:ascii="Times New Roman" w:hAnsi="Times New Roman"/>
          <w:lang w:val="fr-BE"/>
        </w:rPr>
        <w:t xml:space="preserve"> </w:t>
      </w:r>
      <w:proofErr w:type="spellStart"/>
      <w:r w:rsidRPr="00096D38">
        <w:rPr>
          <w:rFonts w:ascii="Times New Roman" w:hAnsi="Times New Roman"/>
          <w:lang w:val="fr-BE"/>
        </w:rPr>
        <w:t>methods</w:t>
      </w:r>
      <w:proofErr w:type="spellEnd"/>
      <w:r w:rsidRPr="00096D38">
        <w:rPr>
          <w:rFonts w:ascii="Times New Roman" w:hAnsi="Times New Roman"/>
          <w:lang w:val="fr-BE"/>
        </w:rPr>
        <w:t xml:space="preserve">» (Rapport scientifique sur l’évaluation des données concernant la nécessité d’appliquer la </w:t>
      </w:r>
      <w:proofErr w:type="spellStart"/>
      <w:r w:rsidRPr="00096D38">
        <w:rPr>
          <w:rFonts w:ascii="Times New Roman" w:hAnsi="Times New Roman"/>
          <w:lang w:val="fr-BE"/>
        </w:rPr>
        <w:t>flumioxazine</w:t>
      </w:r>
      <w:proofErr w:type="spellEnd"/>
      <w:r w:rsidRPr="00096D38">
        <w:rPr>
          <w:rFonts w:ascii="Times New Roman" w:hAnsi="Times New Roman"/>
          <w:lang w:val="fr-BE"/>
        </w:rPr>
        <w:t xml:space="preserve"> en tant qu’herbicide pour contrôler un danger phytosanitaire grave qui ne peut être maîtrisé par d’autres moyens disponibles, y compris par des méthodes non chimiques). </w:t>
      </w:r>
      <w:proofErr w:type="spellStart"/>
      <w:r w:rsidRPr="00096D38">
        <w:rPr>
          <w:rFonts w:ascii="Times New Roman" w:hAnsi="Times New Roman"/>
          <w:lang w:val="fr-BE"/>
        </w:rPr>
        <w:t>EFSA</w:t>
      </w:r>
      <w:proofErr w:type="spellEnd"/>
      <w:r w:rsidRPr="00096D38">
        <w:rPr>
          <w:rFonts w:ascii="Times New Roman" w:hAnsi="Times New Roman"/>
          <w:lang w:val="fr-BE"/>
        </w:rPr>
        <w:t xml:space="preserve"> Journal </w:t>
      </w:r>
      <w:r w:rsidRPr="00BF7661">
        <w:rPr>
          <w:rFonts w:ascii="Times New Roman" w:hAnsi="Times New Roman"/>
          <w:lang w:val="fr-BE"/>
        </w:rPr>
        <w:t>2017</w:t>
      </w:r>
      <w:r w:rsidRPr="00096D38">
        <w:rPr>
          <w:rFonts w:ascii="Times New Roman" w:hAnsi="Times New Roman"/>
          <w:lang w:val="fr-BE"/>
        </w:rPr>
        <w:t xml:space="preserve">; </w:t>
      </w:r>
      <w:r w:rsidRPr="00BF7661">
        <w:rPr>
          <w:rFonts w:ascii="Times New Roman" w:hAnsi="Times New Roman"/>
          <w:lang w:val="fr-BE"/>
        </w:rPr>
        <w:t>15</w:t>
      </w:r>
      <w:r w:rsidRPr="00096D38">
        <w:rPr>
          <w:rFonts w:ascii="Times New Roman" w:hAnsi="Times New Roman"/>
          <w:lang w:val="fr-BE"/>
        </w:rPr>
        <w:t>(</w:t>
      </w:r>
      <w:r w:rsidRPr="00BF7661">
        <w:rPr>
          <w:rFonts w:ascii="Times New Roman" w:hAnsi="Times New Roman"/>
          <w:lang w:val="fr-BE"/>
        </w:rPr>
        <w:t>1</w:t>
      </w:r>
      <w:r w:rsidRPr="00096D38">
        <w:rPr>
          <w:rFonts w:ascii="Times New Roman" w:hAnsi="Times New Roman"/>
          <w:lang w:val="fr-BE"/>
        </w:rPr>
        <w:t>):</w:t>
      </w:r>
      <w:r w:rsidRPr="00BF7661">
        <w:rPr>
          <w:rFonts w:ascii="Times New Roman" w:hAnsi="Times New Roman"/>
          <w:lang w:val="fr-BE"/>
        </w:rPr>
        <w:t>4688</w:t>
      </w:r>
      <w:r w:rsidRPr="00096D38">
        <w:rPr>
          <w:rFonts w:ascii="Times New Roman" w:hAnsi="Times New Roman"/>
          <w:lang w:val="fr-BE"/>
        </w:rPr>
        <w:t xml:space="preserve">, </w:t>
      </w:r>
      <w:r w:rsidRPr="00BF7661">
        <w:rPr>
          <w:rFonts w:ascii="Times New Roman" w:hAnsi="Times New Roman"/>
          <w:lang w:val="fr-BE"/>
        </w:rPr>
        <w:t>33</w:t>
      </w:r>
      <w:r w:rsidRPr="00096D38">
        <w:rPr>
          <w:rFonts w:ascii="Times New Roman" w:hAnsi="Times New Roman"/>
          <w:lang w:val="fr-BE"/>
        </w:rPr>
        <w:t> p.</w:t>
      </w:r>
    </w:p>
  </w:footnote>
  <w:footnote w:id="5">
    <w:p w:rsidR="0032461B" w:rsidRPr="00096D38" w:rsidRDefault="0032461B" w:rsidP="0032461B">
      <w:pPr>
        <w:pStyle w:val="FootnoteText"/>
        <w:spacing w:after="12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proofErr w:type="spellStart"/>
      <w:r w:rsidRPr="00096D38">
        <w:rPr>
          <w:rFonts w:ascii="Times New Roman" w:hAnsi="Times New Roman"/>
          <w:lang w:val="fr-BE"/>
        </w:rPr>
        <w:t>EFSA</w:t>
      </w:r>
      <w:proofErr w:type="spellEnd"/>
      <w:r w:rsidRPr="00096D38">
        <w:rPr>
          <w:rFonts w:ascii="Times New Roman" w:hAnsi="Times New Roman"/>
          <w:lang w:val="fr-BE"/>
        </w:rPr>
        <w:t xml:space="preserve"> (Autorité européenne de sécurité des aliments), </w:t>
      </w:r>
      <w:r w:rsidRPr="00BF7661">
        <w:rPr>
          <w:rFonts w:ascii="Times New Roman" w:hAnsi="Times New Roman"/>
          <w:lang w:val="fr-BE"/>
        </w:rPr>
        <w:t>2018</w:t>
      </w:r>
      <w:r w:rsidRPr="00096D38">
        <w:rPr>
          <w:rFonts w:ascii="Times New Roman" w:hAnsi="Times New Roman"/>
          <w:lang w:val="fr-BE"/>
        </w:rPr>
        <w:t>,</w:t>
      </w:r>
      <w:proofErr w:type="gramStart"/>
      <w:r w:rsidRPr="00096D38">
        <w:rPr>
          <w:rFonts w:ascii="Times New Roman" w:hAnsi="Times New Roman"/>
          <w:lang w:val="fr-BE"/>
        </w:rPr>
        <w:t xml:space="preserve"> «Conclusion</w:t>
      </w:r>
      <w:proofErr w:type="gramEnd"/>
      <w:r w:rsidRPr="00096D38">
        <w:rPr>
          <w:rFonts w:ascii="Times New Roman" w:hAnsi="Times New Roman"/>
          <w:lang w:val="fr-BE"/>
        </w:rPr>
        <w:t xml:space="preserve"> on the </w:t>
      </w:r>
      <w:proofErr w:type="spellStart"/>
      <w:r w:rsidRPr="00096D38">
        <w:rPr>
          <w:rFonts w:ascii="Times New Roman" w:hAnsi="Times New Roman"/>
          <w:lang w:val="fr-BE"/>
        </w:rPr>
        <w:t>peer</w:t>
      </w:r>
      <w:proofErr w:type="spellEnd"/>
      <w:r w:rsidRPr="00096D38">
        <w:rPr>
          <w:rFonts w:ascii="Times New Roman" w:hAnsi="Times New Roman"/>
          <w:lang w:val="fr-BE"/>
        </w:rPr>
        <w:t xml:space="preserve"> </w:t>
      </w:r>
      <w:proofErr w:type="spellStart"/>
      <w:r w:rsidRPr="00096D38">
        <w:rPr>
          <w:rFonts w:ascii="Times New Roman" w:hAnsi="Times New Roman"/>
          <w:lang w:val="fr-BE"/>
        </w:rPr>
        <w:t>review</w:t>
      </w:r>
      <w:proofErr w:type="spellEnd"/>
      <w:r w:rsidRPr="00096D38">
        <w:rPr>
          <w:rFonts w:ascii="Times New Roman" w:hAnsi="Times New Roman"/>
          <w:lang w:val="fr-BE"/>
        </w:rPr>
        <w:t xml:space="preserve"> of the pesticide </w:t>
      </w:r>
      <w:proofErr w:type="spellStart"/>
      <w:r w:rsidRPr="00096D38">
        <w:rPr>
          <w:rFonts w:ascii="Times New Roman" w:hAnsi="Times New Roman"/>
          <w:lang w:val="fr-BE"/>
        </w:rPr>
        <w:t>risk</w:t>
      </w:r>
      <w:proofErr w:type="spellEnd"/>
      <w:r w:rsidRPr="00096D38">
        <w:rPr>
          <w:rFonts w:ascii="Times New Roman" w:hAnsi="Times New Roman"/>
          <w:lang w:val="fr-BE"/>
        </w:rPr>
        <w:t xml:space="preserve"> </w:t>
      </w:r>
      <w:proofErr w:type="spellStart"/>
      <w:r w:rsidRPr="00096D38">
        <w:rPr>
          <w:rFonts w:ascii="Times New Roman" w:hAnsi="Times New Roman"/>
          <w:lang w:val="fr-BE"/>
        </w:rPr>
        <w:t>assessment</w:t>
      </w:r>
      <w:proofErr w:type="spellEnd"/>
      <w:r w:rsidRPr="00096D38">
        <w:rPr>
          <w:rFonts w:ascii="Times New Roman" w:hAnsi="Times New Roman"/>
          <w:lang w:val="fr-BE"/>
        </w:rPr>
        <w:t xml:space="preserve"> for the active substance </w:t>
      </w:r>
      <w:r>
        <w:rPr>
          <w:rFonts w:ascii="Times New Roman" w:hAnsi="Times New Roman"/>
        </w:rPr>
        <w:t>ﬂ</w:t>
      </w:r>
      <w:proofErr w:type="spellStart"/>
      <w:r w:rsidRPr="00096D38">
        <w:rPr>
          <w:rFonts w:ascii="Times New Roman" w:hAnsi="Times New Roman"/>
          <w:lang w:val="fr-BE"/>
        </w:rPr>
        <w:t>umioxazin</w:t>
      </w:r>
      <w:proofErr w:type="spellEnd"/>
      <w:r w:rsidRPr="00096D38">
        <w:rPr>
          <w:rFonts w:ascii="Times New Roman" w:hAnsi="Times New Roman"/>
          <w:lang w:val="fr-BE"/>
        </w:rPr>
        <w:t xml:space="preserve"> in light of </w:t>
      </w:r>
      <w:proofErr w:type="spellStart"/>
      <w:r w:rsidRPr="00096D38">
        <w:rPr>
          <w:rFonts w:ascii="Times New Roman" w:hAnsi="Times New Roman"/>
          <w:lang w:val="fr-BE"/>
        </w:rPr>
        <w:t>negligible</w:t>
      </w:r>
      <w:proofErr w:type="spellEnd"/>
      <w:r w:rsidRPr="00096D38">
        <w:rPr>
          <w:rFonts w:ascii="Times New Roman" w:hAnsi="Times New Roman"/>
          <w:lang w:val="fr-BE"/>
        </w:rPr>
        <w:t xml:space="preserve"> </w:t>
      </w:r>
      <w:proofErr w:type="spellStart"/>
      <w:r w:rsidRPr="00096D38">
        <w:rPr>
          <w:rFonts w:ascii="Times New Roman" w:hAnsi="Times New Roman"/>
          <w:lang w:val="fr-BE"/>
        </w:rPr>
        <w:t>exposure</w:t>
      </w:r>
      <w:proofErr w:type="spellEnd"/>
      <w:r w:rsidRPr="00096D38">
        <w:rPr>
          <w:rFonts w:ascii="Times New Roman" w:hAnsi="Times New Roman"/>
          <w:lang w:val="fr-BE"/>
        </w:rPr>
        <w:t xml:space="preserve"> data </w:t>
      </w:r>
      <w:proofErr w:type="spellStart"/>
      <w:r w:rsidRPr="00096D38">
        <w:rPr>
          <w:rFonts w:ascii="Times New Roman" w:hAnsi="Times New Roman"/>
          <w:lang w:val="fr-BE"/>
        </w:rPr>
        <w:t>submitted</w:t>
      </w:r>
      <w:proofErr w:type="spellEnd"/>
      <w:r w:rsidRPr="00096D38">
        <w:rPr>
          <w:rFonts w:ascii="Times New Roman" w:hAnsi="Times New Roman"/>
          <w:lang w:val="fr-BE"/>
        </w:rPr>
        <w:t xml:space="preserve">» (Conclusions sur l’examen par les pairs de l’évaluation des risques liés à la substance active </w:t>
      </w:r>
      <w:proofErr w:type="spellStart"/>
      <w:r w:rsidRPr="00096D38">
        <w:rPr>
          <w:rFonts w:ascii="Times New Roman" w:hAnsi="Times New Roman"/>
          <w:lang w:val="fr-BE"/>
        </w:rPr>
        <w:t>flumioxazine</w:t>
      </w:r>
      <w:proofErr w:type="spellEnd"/>
      <w:r w:rsidRPr="00096D38">
        <w:rPr>
          <w:rFonts w:ascii="Times New Roman" w:hAnsi="Times New Roman"/>
          <w:lang w:val="fr-BE"/>
        </w:rPr>
        <w:t xml:space="preserve"> utilisée comme pesticide à la lumière des données d’exposition négligeables soumises). </w:t>
      </w:r>
      <w:proofErr w:type="spellStart"/>
      <w:r w:rsidRPr="00096D38">
        <w:rPr>
          <w:rFonts w:ascii="Times New Roman" w:hAnsi="Times New Roman"/>
          <w:lang w:val="fr-BE"/>
        </w:rPr>
        <w:t>EFSA</w:t>
      </w:r>
      <w:proofErr w:type="spellEnd"/>
      <w:r w:rsidRPr="00096D38">
        <w:rPr>
          <w:rFonts w:ascii="Times New Roman" w:hAnsi="Times New Roman"/>
          <w:lang w:val="fr-BE"/>
        </w:rPr>
        <w:t xml:space="preserve"> Journal </w:t>
      </w:r>
      <w:r w:rsidRPr="00BF7661">
        <w:rPr>
          <w:rFonts w:ascii="Times New Roman" w:hAnsi="Times New Roman"/>
          <w:lang w:val="fr-BE"/>
        </w:rPr>
        <w:t>2018</w:t>
      </w:r>
      <w:r w:rsidRPr="00096D38">
        <w:rPr>
          <w:rFonts w:ascii="Times New Roman" w:hAnsi="Times New Roman"/>
          <w:lang w:val="fr-BE"/>
        </w:rPr>
        <w:t xml:space="preserve">; </w:t>
      </w:r>
      <w:r w:rsidRPr="00BF7661">
        <w:rPr>
          <w:rFonts w:ascii="Times New Roman" w:hAnsi="Times New Roman"/>
          <w:lang w:val="fr-BE"/>
        </w:rPr>
        <w:t>16</w:t>
      </w:r>
      <w:r w:rsidRPr="00096D38">
        <w:rPr>
          <w:rFonts w:ascii="Times New Roman" w:hAnsi="Times New Roman"/>
          <w:lang w:val="fr-BE"/>
        </w:rPr>
        <w:t>(</w:t>
      </w:r>
      <w:r w:rsidRPr="00BF7661">
        <w:rPr>
          <w:rFonts w:ascii="Times New Roman" w:hAnsi="Times New Roman"/>
          <w:lang w:val="fr-BE"/>
        </w:rPr>
        <w:t>9</w:t>
      </w:r>
      <w:r w:rsidRPr="00096D38">
        <w:rPr>
          <w:rFonts w:ascii="Times New Roman" w:hAnsi="Times New Roman"/>
          <w:lang w:val="fr-BE"/>
        </w:rPr>
        <w:t>):</w:t>
      </w:r>
      <w:r w:rsidRPr="00BF7661">
        <w:rPr>
          <w:rFonts w:ascii="Times New Roman" w:hAnsi="Times New Roman"/>
          <w:lang w:val="fr-BE"/>
        </w:rPr>
        <w:t>5415</w:t>
      </w:r>
      <w:r w:rsidRPr="00096D38">
        <w:rPr>
          <w:rFonts w:ascii="Times New Roman" w:hAnsi="Times New Roman"/>
          <w:lang w:val="fr-BE"/>
        </w:rPr>
        <w:t xml:space="preserve">, </w:t>
      </w:r>
      <w:r w:rsidRPr="00BF7661">
        <w:rPr>
          <w:rFonts w:ascii="Times New Roman" w:hAnsi="Times New Roman"/>
          <w:lang w:val="fr-BE"/>
        </w:rPr>
        <w:t>16</w:t>
      </w:r>
      <w:r w:rsidRPr="00096D38">
        <w:rPr>
          <w:rFonts w:ascii="Times New Roman" w:hAnsi="Times New Roman"/>
          <w:lang w:val="fr-BE"/>
        </w:rPr>
        <w:t> p.</w:t>
      </w:r>
    </w:p>
  </w:footnote>
  <w:footnote w:id="6">
    <w:p w:rsidR="0032461B" w:rsidRPr="00096D38" w:rsidRDefault="0032461B" w:rsidP="0032461B">
      <w:pPr>
        <w:pStyle w:val="FootnoteText"/>
        <w:jc w:val="left"/>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Pr>
          <w:rFonts w:ascii="Times New Roman" w:hAnsi="Times New Roman"/>
          <w:szCs w:val="24"/>
          <w:lang w:val="fr-BE"/>
        </w:rPr>
        <w:tab/>
      </w:r>
      <w:hyperlink r:id="rId3" w:history="1">
        <w:r w:rsidRPr="001C7CEB">
          <w:rPr>
            <w:rStyle w:val="Hyperlink"/>
            <w:rFonts w:ascii="Times New Roman" w:hAnsi="Times New Roman"/>
            <w:lang w:val="fr-BE"/>
          </w:rPr>
          <w:t>https://eur-lex.europa.eu/resource.html?uri=cellar:ea0f9f73-9ab2-11ea-9d2d-01aa75ed71a1.0002.02/DOC</w:t>
        </w:r>
        <w:r w:rsidRPr="001C7CEB">
          <w:rPr>
            <w:rStyle w:val="Hyperlink"/>
            <w:rFonts w:ascii="Times New Roman" w:hAnsi="Times New Roman"/>
            <w:lang w:val="fr-BE"/>
          </w:rPr>
          <w:br/>
          <w:t>_1&amp;format=PDF</w:t>
        </w:r>
      </w:hyperlink>
      <w:r w:rsidRPr="00096D38">
        <w:rPr>
          <w:rFonts w:ascii="Times New Roman" w:hAnsi="Times New Roman"/>
          <w:lang w:val="fr-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86B"/>
    <w:multiLevelType w:val="hybridMultilevel"/>
    <w:tmpl w:val="21D8D280"/>
    <w:lvl w:ilvl="0" w:tplc="D8886A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9355E0"/>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1B"/>
    <w:rsid w:val="0032461B"/>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B6E9"/>
  <w15:chartTrackingRefBased/>
  <w15:docId w15:val="{9BA1624F-0D2E-4343-A3DE-E507C2E4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32461B"/>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32461B"/>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32461B"/>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2461B"/>
    <w:rPr>
      <w:vertAlign w:val="superscript"/>
    </w:rPr>
  </w:style>
  <w:style w:type="character" w:styleId="Hyperlink">
    <w:name w:val="Hyperlink"/>
    <w:aliases w:val="Char1"/>
    <w:uiPriority w:val="99"/>
    <w:rsid w:val="0032461B"/>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32461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2461B"/>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3246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resource.html?uri=cellar:ea0f9f73-9ab2-11ea-9d2d-01aa75ed71a1.0002.02/DOC_1&amp;format=PDF" TargetMode="External"/><Relationship Id="rId2" Type="http://schemas.openxmlformats.org/officeDocument/2006/relationships/hyperlink" Target="https://ec.europa.eu/food/sites/food/files/safety/docs/adv-grp_wg_20150625_tech-guidance.pdf" TargetMode="External"/><Relationship Id="rId1" Type="http://schemas.openxmlformats.org/officeDocument/2006/relationships/hyperlink" Target="http://www.efsa.europa.eu/efsa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2276</Words>
  <Characters>13384</Characters>
  <Application>Microsoft Office Word</Application>
  <DocSecurity>0</DocSecurity>
  <Lines>193</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2020-12-07T09:31:00Z</dcterms:created>
  <dcterms:modified xsi:type="dcterms:W3CDTF">2020-12-07T09:34:00Z</dcterms:modified>
</cp:coreProperties>
</file>