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7BE" w:rsidRPr="00BF0980" w:rsidRDefault="00F207BE" w:rsidP="00F207BE">
      <w:pPr>
        <w:spacing w:after="600"/>
        <w:jc w:val="center"/>
        <w:rPr>
          <w:rFonts w:ascii="Times New Roman" w:hAnsi="Times New Roman"/>
          <w:b/>
          <w:bCs/>
          <w:szCs w:val="24"/>
        </w:rPr>
      </w:pPr>
      <w:r w:rsidRPr="00BF0980">
        <w:rPr>
          <w:rFonts w:ascii="Times New Roman" w:hAnsi="Times New Roman"/>
          <w:b/>
          <w:bCs/>
          <w:szCs w:val="24"/>
        </w:rPr>
        <w:t xml:space="preserve">Follow up to the </w:t>
      </w:r>
      <w:r w:rsidRPr="00BF0980">
        <w:rPr>
          <w:rFonts w:ascii="Times New Roman" w:hAnsi="Times New Roman"/>
          <w:b/>
          <w:szCs w:val="24"/>
        </w:rPr>
        <w:t>European Parliament non-legislative resolution</w:t>
      </w:r>
      <w:r w:rsidRPr="00BF0980">
        <w:rPr>
          <w:rFonts w:ascii="Times New Roman" w:hAnsi="Times New Roman"/>
          <w:noProof/>
          <w:szCs w:val="24"/>
        </w:rPr>
        <w:t xml:space="preserve"> </w:t>
      </w:r>
      <w:r w:rsidRPr="00BF0980">
        <w:rPr>
          <w:rFonts w:ascii="Times New Roman" w:hAnsi="Times New Roman"/>
          <w:b/>
          <w:bCs/>
          <w:szCs w:val="24"/>
        </w:rPr>
        <w:t xml:space="preserve">on </w:t>
      </w:r>
      <w:r>
        <w:rPr>
          <w:rFonts w:ascii="Times New Roman" w:hAnsi="Times New Roman"/>
          <w:b/>
          <w:bCs/>
          <w:szCs w:val="24"/>
        </w:rPr>
        <w:t xml:space="preserve">a </w:t>
      </w:r>
      <w:r w:rsidRPr="00506825">
        <w:rPr>
          <w:rFonts w:ascii="Times New Roman" w:hAnsi="Times New Roman"/>
          <w:b/>
          <w:shd w:val="clear" w:color="auto" w:fill="FFFFFF"/>
        </w:rPr>
        <w:t>comprehensive European approach to energy storage</w:t>
      </w:r>
    </w:p>
    <w:p w:rsidR="00F207BE" w:rsidRPr="00506825" w:rsidRDefault="00F207BE" w:rsidP="00F207BE">
      <w:pPr>
        <w:numPr>
          <w:ilvl w:val="0"/>
          <w:numId w:val="1"/>
        </w:numPr>
        <w:rPr>
          <w:rFonts w:ascii="Times New Roman" w:hAnsi="Times New Roman"/>
          <w:b/>
          <w:szCs w:val="24"/>
          <w:lang w:val="fr-BE"/>
        </w:rPr>
      </w:pPr>
      <w:r w:rsidRPr="00BF0980">
        <w:rPr>
          <w:rFonts w:ascii="Times New Roman" w:hAnsi="Times New Roman"/>
          <w:b/>
          <w:szCs w:val="24"/>
          <w:lang w:val="fr-BE"/>
        </w:rPr>
        <w:t>Rapporteur</w:t>
      </w:r>
      <w:r>
        <w:rPr>
          <w:rFonts w:ascii="Times New Roman" w:hAnsi="Times New Roman"/>
          <w:b/>
          <w:szCs w:val="24"/>
          <w:lang w:val="fr-BE"/>
        </w:rPr>
        <w:t xml:space="preserve">: </w:t>
      </w:r>
      <w:r w:rsidRPr="00506825">
        <w:rPr>
          <w:rFonts w:ascii="Times New Roman" w:hAnsi="Times New Roman"/>
          <w:szCs w:val="24"/>
          <w:lang w:val="fr-BE"/>
        </w:rPr>
        <w:t>Claudia GAMON (</w:t>
      </w:r>
      <w:proofErr w:type="spellStart"/>
      <w:r w:rsidRPr="00506825">
        <w:rPr>
          <w:rFonts w:ascii="Times New Roman" w:hAnsi="Times New Roman"/>
          <w:szCs w:val="24"/>
          <w:lang w:val="fr-BE"/>
        </w:rPr>
        <w:t>Renew</w:t>
      </w:r>
      <w:proofErr w:type="spellEnd"/>
      <w:r>
        <w:rPr>
          <w:rFonts w:ascii="Times New Roman" w:hAnsi="Times New Roman"/>
          <w:szCs w:val="24"/>
          <w:lang w:val="fr-BE"/>
        </w:rPr>
        <w:t xml:space="preserve"> Europe</w:t>
      </w:r>
      <w:r w:rsidRPr="00506825">
        <w:rPr>
          <w:rFonts w:ascii="Times New Roman" w:hAnsi="Times New Roman"/>
          <w:szCs w:val="24"/>
          <w:lang w:val="fr-BE"/>
        </w:rPr>
        <w:t>/ AU)</w:t>
      </w:r>
    </w:p>
    <w:p w:rsidR="00F207BE" w:rsidRPr="00BF0980" w:rsidRDefault="00F207BE" w:rsidP="00F207BE">
      <w:pPr>
        <w:numPr>
          <w:ilvl w:val="0"/>
          <w:numId w:val="1"/>
        </w:numPr>
        <w:rPr>
          <w:rFonts w:ascii="Times New Roman" w:hAnsi="Times New Roman"/>
          <w:i/>
          <w:szCs w:val="24"/>
        </w:rPr>
      </w:pPr>
      <w:r w:rsidRPr="00BF0980">
        <w:rPr>
          <w:rFonts w:ascii="Times New Roman" w:hAnsi="Times New Roman"/>
          <w:b/>
          <w:szCs w:val="24"/>
        </w:rPr>
        <w:t xml:space="preserve">Reference numbers: </w:t>
      </w:r>
      <w:r w:rsidRPr="00BF0980">
        <w:rPr>
          <w:rFonts w:ascii="Times New Roman" w:hAnsi="Times New Roman"/>
          <w:szCs w:val="24"/>
        </w:rPr>
        <w:t>2019/2</w:t>
      </w:r>
      <w:r>
        <w:rPr>
          <w:rFonts w:ascii="Times New Roman" w:hAnsi="Times New Roman"/>
          <w:szCs w:val="24"/>
        </w:rPr>
        <w:t>1</w:t>
      </w:r>
      <w:r w:rsidRPr="00BF0980">
        <w:rPr>
          <w:rFonts w:ascii="Times New Roman" w:hAnsi="Times New Roman"/>
          <w:szCs w:val="24"/>
        </w:rPr>
        <w:t>8</w:t>
      </w:r>
      <w:r>
        <w:rPr>
          <w:rFonts w:ascii="Times New Roman" w:hAnsi="Times New Roman"/>
          <w:szCs w:val="24"/>
        </w:rPr>
        <w:t>9</w:t>
      </w:r>
      <w:r w:rsidRPr="00BF0980">
        <w:rPr>
          <w:rFonts w:ascii="Times New Roman" w:hAnsi="Times New Roman"/>
          <w:szCs w:val="24"/>
        </w:rPr>
        <w:t xml:space="preserve"> (</w:t>
      </w:r>
      <w:r>
        <w:rPr>
          <w:rFonts w:ascii="Times New Roman" w:hAnsi="Times New Roman"/>
          <w:szCs w:val="24"/>
        </w:rPr>
        <w:t>INI) / A</w:t>
      </w:r>
      <w:r w:rsidRPr="00BF0980">
        <w:rPr>
          <w:rFonts w:ascii="Times New Roman" w:hAnsi="Times New Roman"/>
          <w:szCs w:val="24"/>
        </w:rPr>
        <w:t>9-01</w:t>
      </w:r>
      <w:r>
        <w:rPr>
          <w:rFonts w:ascii="Times New Roman" w:hAnsi="Times New Roman"/>
          <w:szCs w:val="24"/>
        </w:rPr>
        <w:t>30</w:t>
      </w:r>
      <w:r w:rsidRPr="00BF0980">
        <w:rPr>
          <w:rFonts w:ascii="Times New Roman" w:hAnsi="Times New Roman"/>
          <w:szCs w:val="24"/>
        </w:rPr>
        <w:t>/2020 / P9_TA-PROV(2020)01</w:t>
      </w:r>
      <w:r>
        <w:rPr>
          <w:rFonts w:ascii="Times New Roman" w:hAnsi="Times New Roman"/>
          <w:szCs w:val="24"/>
        </w:rPr>
        <w:t>98</w:t>
      </w:r>
    </w:p>
    <w:p w:rsidR="00F207BE" w:rsidRPr="00BF0980" w:rsidRDefault="00F207BE" w:rsidP="00F207BE">
      <w:pPr>
        <w:numPr>
          <w:ilvl w:val="0"/>
          <w:numId w:val="1"/>
        </w:numPr>
        <w:rPr>
          <w:rFonts w:ascii="Times New Roman" w:hAnsi="Times New Roman"/>
          <w:szCs w:val="24"/>
        </w:rPr>
      </w:pPr>
      <w:r w:rsidRPr="00BF0980">
        <w:rPr>
          <w:rFonts w:ascii="Times New Roman" w:hAnsi="Times New Roman"/>
          <w:b/>
          <w:szCs w:val="24"/>
        </w:rPr>
        <w:t>Date of adoption of the resolution:</w:t>
      </w:r>
      <w:r w:rsidRPr="00BF0980">
        <w:rPr>
          <w:rFonts w:ascii="Times New Roman" w:hAnsi="Times New Roman"/>
          <w:szCs w:val="24"/>
        </w:rPr>
        <w:t xml:space="preserve"> 1</w:t>
      </w:r>
      <w:r>
        <w:rPr>
          <w:rFonts w:ascii="Times New Roman" w:hAnsi="Times New Roman"/>
          <w:szCs w:val="24"/>
        </w:rPr>
        <w:t>0</w:t>
      </w:r>
      <w:r w:rsidRPr="00BF0980">
        <w:rPr>
          <w:rFonts w:ascii="Times New Roman" w:hAnsi="Times New Roman"/>
          <w:szCs w:val="24"/>
        </w:rPr>
        <w:t xml:space="preserve"> Ju</w:t>
      </w:r>
      <w:r>
        <w:rPr>
          <w:rFonts w:ascii="Times New Roman" w:hAnsi="Times New Roman"/>
          <w:szCs w:val="24"/>
        </w:rPr>
        <w:t>ly</w:t>
      </w:r>
      <w:r w:rsidRPr="00BF0980">
        <w:rPr>
          <w:rFonts w:ascii="Times New Roman" w:hAnsi="Times New Roman"/>
          <w:szCs w:val="24"/>
        </w:rPr>
        <w:t xml:space="preserve"> 2020</w:t>
      </w:r>
    </w:p>
    <w:p w:rsidR="00F207BE" w:rsidRPr="00BF0980" w:rsidRDefault="00F207BE" w:rsidP="00F207BE">
      <w:pPr>
        <w:pStyle w:val="ListParagraph"/>
        <w:numPr>
          <w:ilvl w:val="0"/>
          <w:numId w:val="1"/>
        </w:numPr>
        <w:spacing w:after="240"/>
        <w:jc w:val="both"/>
        <w:rPr>
          <w:rFonts w:ascii="Times New Roman" w:hAnsi="Times New Roman"/>
          <w:sz w:val="24"/>
          <w:szCs w:val="24"/>
          <w:lang w:val="en-GB"/>
        </w:rPr>
      </w:pPr>
      <w:r w:rsidRPr="00BF0980">
        <w:rPr>
          <w:rFonts w:ascii="Times New Roman" w:hAnsi="Times New Roman"/>
          <w:b/>
          <w:sz w:val="24"/>
          <w:szCs w:val="24"/>
          <w:lang w:val="en-GB"/>
        </w:rPr>
        <w:t xml:space="preserve">Competent Parliamentary Committee: </w:t>
      </w:r>
      <w:r>
        <w:rPr>
          <w:rFonts w:ascii="Times New Roman" w:hAnsi="Times New Roman"/>
          <w:sz w:val="24"/>
          <w:szCs w:val="24"/>
          <w:lang w:val="en-GB"/>
        </w:rPr>
        <w:t>Committee on Industry, Research and Energy (ITRE)</w:t>
      </w:r>
    </w:p>
    <w:p w:rsidR="00F207BE" w:rsidRPr="00E654B0" w:rsidRDefault="00F207BE" w:rsidP="00F207BE">
      <w:pPr>
        <w:widowControl w:val="0"/>
        <w:numPr>
          <w:ilvl w:val="0"/>
          <w:numId w:val="1"/>
        </w:numPr>
        <w:rPr>
          <w:rFonts w:ascii="Times New Roman" w:hAnsi="Times New Roman"/>
          <w:szCs w:val="24"/>
        </w:rPr>
      </w:pPr>
      <w:r w:rsidRPr="00BF0980">
        <w:rPr>
          <w:rFonts w:ascii="Times New Roman" w:hAnsi="Times New Roman"/>
          <w:b/>
          <w:szCs w:val="24"/>
        </w:rPr>
        <w:t>Brief analysis/assessment of the resolution and requests made in it:</w:t>
      </w:r>
    </w:p>
    <w:p w:rsidR="00F207BE" w:rsidRPr="00ED17DA" w:rsidRDefault="00F207BE" w:rsidP="00F207BE">
      <w:pPr>
        <w:spacing w:after="120"/>
        <w:rPr>
          <w:rFonts w:ascii="Times New Roman" w:hAnsi="Times New Roman"/>
          <w:szCs w:val="24"/>
        </w:rPr>
      </w:pPr>
      <w:r w:rsidRPr="00ED17DA">
        <w:rPr>
          <w:rFonts w:ascii="Times New Roman" w:hAnsi="Times New Roman"/>
          <w:szCs w:val="24"/>
        </w:rPr>
        <w:t xml:space="preserve">The resolution of the European Parliament stresses the important role of energy storage in addressing the flexibility needs of the energy system to reach our climate neutrality target. It makes a number of recommendations, many for the European Commission, </w:t>
      </w:r>
      <w:proofErr w:type="gramStart"/>
      <w:r w:rsidRPr="00ED17DA">
        <w:rPr>
          <w:rFonts w:ascii="Times New Roman" w:hAnsi="Times New Roman"/>
          <w:szCs w:val="24"/>
        </w:rPr>
        <w:t>to fully unlock</w:t>
      </w:r>
      <w:proofErr w:type="gramEnd"/>
      <w:r w:rsidRPr="00ED17DA">
        <w:rPr>
          <w:rFonts w:ascii="Times New Roman" w:hAnsi="Times New Roman"/>
          <w:szCs w:val="24"/>
        </w:rPr>
        <w:t xml:space="preserve"> the untapped potenti</w:t>
      </w:r>
      <w:r>
        <w:rPr>
          <w:rFonts w:ascii="Times New Roman" w:hAnsi="Times New Roman"/>
          <w:szCs w:val="24"/>
        </w:rPr>
        <w:t>al of energy storage in the EU.</w:t>
      </w:r>
    </w:p>
    <w:p w:rsidR="00F207BE" w:rsidRPr="00ED17DA" w:rsidRDefault="00F207BE" w:rsidP="00F207BE">
      <w:pPr>
        <w:spacing w:after="120"/>
        <w:rPr>
          <w:rFonts w:ascii="Times New Roman" w:hAnsi="Times New Roman"/>
          <w:szCs w:val="24"/>
        </w:rPr>
      </w:pPr>
      <w:r w:rsidRPr="00ED17DA">
        <w:rPr>
          <w:rFonts w:ascii="Times New Roman" w:hAnsi="Times New Roman"/>
          <w:szCs w:val="24"/>
        </w:rPr>
        <w:t xml:space="preserve">The recommendations are largely in line with the findings of a recent study of the Commission on the role of energy storage in security of supply (“Study on energy storage – Contribution to the security of the electricity supply in Europe”). While several of them </w:t>
      </w:r>
      <w:proofErr w:type="gramStart"/>
      <w:r w:rsidRPr="00ED17DA">
        <w:rPr>
          <w:rFonts w:ascii="Times New Roman" w:hAnsi="Times New Roman"/>
          <w:szCs w:val="24"/>
        </w:rPr>
        <w:t>are already taken</w:t>
      </w:r>
      <w:proofErr w:type="gramEnd"/>
      <w:r w:rsidRPr="00ED17DA">
        <w:rPr>
          <w:rFonts w:ascii="Times New Roman" w:hAnsi="Times New Roman"/>
          <w:szCs w:val="24"/>
        </w:rPr>
        <w:t xml:space="preserve"> into account in existing EU legislation and strategies, the Commission is considering integrating the others when developing future new initiatives.</w:t>
      </w:r>
    </w:p>
    <w:p w:rsidR="00F207BE" w:rsidRPr="00ED17DA" w:rsidRDefault="00F207BE" w:rsidP="00F207BE">
      <w:pPr>
        <w:spacing w:after="120"/>
        <w:rPr>
          <w:rFonts w:ascii="Times New Roman" w:hAnsi="Times New Roman"/>
          <w:szCs w:val="24"/>
        </w:rPr>
      </w:pPr>
      <w:r w:rsidRPr="00ED17DA">
        <w:rPr>
          <w:rFonts w:ascii="Times New Roman" w:hAnsi="Times New Roman"/>
          <w:szCs w:val="24"/>
        </w:rPr>
        <w:t xml:space="preserve">In particular, further work to address current barriers and future needs is required in order to ensure a level playing field, provide adequate economic signals and support the correct development of energy storage in the EU. A comprehensive approach on storage could help coordinate the different actions across sectors and technologies while improving certainty for investors. </w:t>
      </w:r>
    </w:p>
    <w:p w:rsidR="00F207BE" w:rsidRPr="00ED17DA" w:rsidRDefault="00F207BE" w:rsidP="00F207BE">
      <w:pPr>
        <w:spacing w:after="120"/>
        <w:rPr>
          <w:rFonts w:ascii="Times New Roman" w:hAnsi="Times New Roman"/>
          <w:szCs w:val="24"/>
        </w:rPr>
      </w:pPr>
      <w:r w:rsidRPr="00ED17DA">
        <w:rPr>
          <w:rFonts w:ascii="Times New Roman" w:hAnsi="Times New Roman"/>
          <w:szCs w:val="24"/>
        </w:rPr>
        <w:t xml:space="preserve">The Commission will therefore consider the recommendation of the European Parliament to adopt a strategy on energy storage. The work to develop this possible strategy will take into account the results of the </w:t>
      </w:r>
      <w:proofErr w:type="gramStart"/>
      <w:r w:rsidRPr="00ED17DA">
        <w:rPr>
          <w:rFonts w:ascii="Times New Roman" w:hAnsi="Times New Roman"/>
          <w:szCs w:val="24"/>
        </w:rPr>
        <w:t>above mentioned</w:t>
      </w:r>
      <w:proofErr w:type="gramEnd"/>
      <w:r w:rsidRPr="00ED17DA">
        <w:rPr>
          <w:rFonts w:ascii="Times New Roman" w:hAnsi="Times New Roman"/>
          <w:szCs w:val="24"/>
        </w:rPr>
        <w:t xml:space="preserve"> study as well as the existing initiatives on batteries and the recent ones on hydrogen and energy system integration.</w:t>
      </w:r>
    </w:p>
    <w:p w:rsidR="00F207BE" w:rsidRPr="00E654B0" w:rsidRDefault="00F207BE" w:rsidP="00F207BE">
      <w:pPr>
        <w:pStyle w:val="ListParagraph"/>
        <w:widowControl w:val="0"/>
        <w:numPr>
          <w:ilvl w:val="0"/>
          <w:numId w:val="1"/>
        </w:numPr>
        <w:spacing w:after="240" w:line="240" w:lineRule="auto"/>
        <w:jc w:val="both"/>
        <w:rPr>
          <w:rFonts w:ascii="Times New Roman" w:hAnsi="Times New Roman"/>
          <w:b/>
          <w:i/>
          <w:sz w:val="24"/>
          <w:szCs w:val="24"/>
        </w:rPr>
      </w:pPr>
      <w:r w:rsidRPr="00BF0980">
        <w:rPr>
          <w:rFonts w:ascii="Times New Roman" w:hAnsi="Times New Roman"/>
          <w:b/>
          <w:sz w:val="24"/>
          <w:szCs w:val="24"/>
        </w:rPr>
        <w:t>Response to the requests and overview of the action taken, or intended to be taken, by the Commission:</w:t>
      </w:r>
    </w:p>
    <w:p w:rsidR="00F207BE" w:rsidRDefault="00F207BE" w:rsidP="00F207BE">
      <w:pPr>
        <w:spacing w:after="120"/>
        <w:rPr>
          <w:rFonts w:ascii="Times New Roman" w:hAnsi="Times New Roman"/>
          <w:szCs w:val="24"/>
        </w:rPr>
      </w:pPr>
      <w:r w:rsidRPr="008519A7">
        <w:rPr>
          <w:rFonts w:ascii="Times New Roman" w:hAnsi="Times New Roman"/>
          <w:szCs w:val="24"/>
        </w:rPr>
        <w:t xml:space="preserve">The Commission welcomes the </w:t>
      </w:r>
      <w:r>
        <w:rPr>
          <w:rFonts w:ascii="Times New Roman" w:hAnsi="Times New Roman"/>
          <w:szCs w:val="24"/>
        </w:rPr>
        <w:t xml:space="preserve">European </w:t>
      </w:r>
      <w:r w:rsidRPr="008519A7">
        <w:rPr>
          <w:rFonts w:ascii="Times New Roman" w:hAnsi="Times New Roman"/>
          <w:szCs w:val="24"/>
        </w:rPr>
        <w:t>Parliament’s resolution on a comprehensive European approach to energy storage</w:t>
      </w:r>
      <w:r>
        <w:rPr>
          <w:rFonts w:ascii="Times New Roman" w:hAnsi="Times New Roman"/>
          <w:szCs w:val="24"/>
        </w:rPr>
        <w:t>.</w:t>
      </w:r>
    </w:p>
    <w:p w:rsidR="00F207BE" w:rsidRDefault="00F207BE" w:rsidP="00F207BE">
      <w:pPr>
        <w:spacing w:after="120"/>
        <w:rPr>
          <w:rFonts w:ascii="Times New Roman" w:hAnsi="Times New Roman"/>
          <w:szCs w:val="24"/>
        </w:rPr>
      </w:pPr>
      <w:r>
        <w:rPr>
          <w:rFonts w:ascii="Times New Roman" w:hAnsi="Times New Roman"/>
          <w:szCs w:val="24"/>
        </w:rPr>
        <w:t xml:space="preserve">The importance of storage </w:t>
      </w:r>
      <w:proofErr w:type="gramStart"/>
      <w:r>
        <w:rPr>
          <w:rFonts w:ascii="Times New Roman" w:hAnsi="Times New Roman"/>
          <w:szCs w:val="24"/>
        </w:rPr>
        <w:t>is already taken</w:t>
      </w:r>
      <w:proofErr w:type="gramEnd"/>
      <w:r>
        <w:rPr>
          <w:rFonts w:ascii="Times New Roman" w:hAnsi="Times New Roman"/>
          <w:szCs w:val="24"/>
        </w:rPr>
        <w:t xml:space="preserve"> into account in several Commission actions and proposals already made: </w:t>
      </w:r>
    </w:p>
    <w:p w:rsidR="00F207BE" w:rsidRDefault="00F207BE" w:rsidP="00F207BE">
      <w:pPr>
        <w:numPr>
          <w:ilvl w:val="0"/>
          <w:numId w:val="2"/>
        </w:numPr>
        <w:spacing w:after="120"/>
        <w:ind w:left="643"/>
        <w:rPr>
          <w:rFonts w:ascii="Times New Roman" w:hAnsi="Times New Roman"/>
          <w:szCs w:val="24"/>
        </w:rPr>
      </w:pPr>
      <w:r>
        <w:rPr>
          <w:rFonts w:ascii="Times New Roman" w:hAnsi="Times New Roman"/>
          <w:szCs w:val="24"/>
        </w:rPr>
        <w:t>T</w:t>
      </w:r>
      <w:r w:rsidRPr="00121C72">
        <w:rPr>
          <w:rFonts w:ascii="Times New Roman" w:hAnsi="Times New Roman"/>
          <w:szCs w:val="24"/>
        </w:rPr>
        <w:t>he Commission’s economic recovery plan ‘Next Generation EU’</w:t>
      </w:r>
      <w:r>
        <w:rPr>
          <w:rFonts w:ascii="Times New Roman" w:hAnsi="Times New Roman"/>
          <w:szCs w:val="24"/>
        </w:rPr>
        <w:t xml:space="preserve"> </w:t>
      </w:r>
      <w:r w:rsidRPr="00121C72">
        <w:rPr>
          <w:rFonts w:ascii="Times New Roman" w:hAnsi="Times New Roman"/>
          <w:szCs w:val="24"/>
        </w:rPr>
        <w:t>includes storage as one of the investment priorities to boost economic growth and resilience in the EU.</w:t>
      </w:r>
    </w:p>
    <w:p w:rsidR="00F207BE" w:rsidRDefault="00F207BE" w:rsidP="00F207BE">
      <w:pPr>
        <w:numPr>
          <w:ilvl w:val="0"/>
          <w:numId w:val="2"/>
        </w:numPr>
        <w:spacing w:after="120"/>
        <w:ind w:left="643"/>
        <w:rPr>
          <w:rFonts w:ascii="Times New Roman" w:hAnsi="Times New Roman"/>
          <w:szCs w:val="24"/>
        </w:rPr>
      </w:pPr>
      <w:r w:rsidRPr="00121C72">
        <w:rPr>
          <w:rFonts w:ascii="Times New Roman" w:hAnsi="Times New Roman"/>
          <w:szCs w:val="24"/>
        </w:rPr>
        <w:t>The recent Communication on an EU Strategy for Energy System Integration</w:t>
      </w:r>
      <w:r>
        <w:rPr>
          <w:rStyle w:val="FootnoteReference"/>
          <w:rFonts w:ascii="Times New Roman" w:hAnsi="Times New Roman"/>
          <w:szCs w:val="24"/>
        </w:rPr>
        <w:footnoteReference w:id="1"/>
      </w:r>
      <w:r w:rsidRPr="00121C72">
        <w:rPr>
          <w:rFonts w:ascii="Times New Roman" w:hAnsi="Times New Roman"/>
          <w:szCs w:val="24"/>
        </w:rPr>
        <w:t xml:space="preserve"> confirms the Commission pledge to support the uptake of energy storage to achieve the EU decarbonisation objectives. This Strategy </w:t>
      </w:r>
      <w:proofErr w:type="gramStart"/>
      <w:r w:rsidRPr="00121C72">
        <w:rPr>
          <w:rFonts w:ascii="Times New Roman" w:hAnsi="Times New Roman"/>
          <w:szCs w:val="24"/>
        </w:rPr>
        <w:t>is complemented</w:t>
      </w:r>
      <w:proofErr w:type="gramEnd"/>
      <w:r w:rsidRPr="00121C72">
        <w:rPr>
          <w:rFonts w:ascii="Times New Roman" w:hAnsi="Times New Roman"/>
          <w:szCs w:val="24"/>
        </w:rPr>
        <w:t xml:space="preserve"> with the Hydrogen </w:t>
      </w:r>
      <w:r w:rsidRPr="00121C72">
        <w:rPr>
          <w:rFonts w:ascii="Times New Roman" w:hAnsi="Times New Roman"/>
          <w:szCs w:val="24"/>
        </w:rPr>
        <w:lastRenderedPageBreak/>
        <w:t>Strategy</w:t>
      </w:r>
      <w:r>
        <w:rPr>
          <w:rStyle w:val="FootnoteReference"/>
          <w:rFonts w:ascii="Times New Roman" w:hAnsi="Times New Roman"/>
          <w:szCs w:val="24"/>
        </w:rPr>
        <w:footnoteReference w:id="2"/>
      </w:r>
      <w:r w:rsidRPr="00121C72">
        <w:rPr>
          <w:rFonts w:ascii="Times New Roman" w:hAnsi="Times New Roman"/>
          <w:szCs w:val="24"/>
        </w:rPr>
        <w:t xml:space="preserve"> for a climate-neutral Europe, which is particularly focused on hydrogen as key energy storage for the decarbonisation of the EU economy.</w:t>
      </w:r>
    </w:p>
    <w:p w:rsidR="00F207BE" w:rsidRDefault="00F207BE" w:rsidP="00F207BE">
      <w:pPr>
        <w:numPr>
          <w:ilvl w:val="0"/>
          <w:numId w:val="2"/>
        </w:numPr>
        <w:spacing w:after="120"/>
        <w:ind w:left="643"/>
        <w:rPr>
          <w:rFonts w:ascii="Times New Roman" w:hAnsi="Times New Roman"/>
          <w:szCs w:val="24"/>
        </w:rPr>
      </w:pPr>
      <w:r>
        <w:rPr>
          <w:rFonts w:ascii="Times New Roman" w:hAnsi="Times New Roman"/>
          <w:szCs w:val="24"/>
        </w:rPr>
        <w:t>T</w:t>
      </w:r>
      <w:r w:rsidRPr="00121C72">
        <w:rPr>
          <w:rFonts w:ascii="Times New Roman" w:hAnsi="Times New Roman"/>
          <w:szCs w:val="24"/>
        </w:rPr>
        <w:t xml:space="preserve">he new Horizon Europe increases the relevance of energy storage, continuing to provide support for research on storage and for the development of new energy storage technologies. </w:t>
      </w:r>
    </w:p>
    <w:p w:rsidR="00F207BE" w:rsidRPr="00121C72" w:rsidRDefault="00F207BE" w:rsidP="00F207BE">
      <w:pPr>
        <w:numPr>
          <w:ilvl w:val="0"/>
          <w:numId w:val="2"/>
        </w:numPr>
        <w:spacing w:after="120"/>
        <w:ind w:left="643"/>
        <w:rPr>
          <w:rFonts w:ascii="Times New Roman" w:hAnsi="Times New Roman"/>
          <w:szCs w:val="24"/>
        </w:rPr>
      </w:pPr>
      <w:r w:rsidRPr="007D19C6">
        <w:rPr>
          <w:rFonts w:ascii="Times New Roman" w:hAnsi="Times New Roman"/>
          <w:szCs w:val="24"/>
        </w:rPr>
        <w:t xml:space="preserve">A number of ongoing EU innovation and industrial initiatives are relevant for certain storage technologies, such as </w:t>
      </w:r>
      <w:r w:rsidRPr="00DC4BE9">
        <w:rPr>
          <w:rFonts w:ascii="Times New Roman" w:hAnsi="Times New Roman"/>
          <w:szCs w:val="24"/>
        </w:rPr>
        <w:t xml:space="preserve">thermal storage, batteries or hydrogen, with initiatives like </w:t>
      </w:r>
      <w:r w:rsidRPr="007D19C6">
        <w:rPr>
          <w:rFonts w:ascii="Times New Roman" w:hAnsi="Times New Roman"/>
          <w:szCs w:val="24"/>
        </w:rPr>
        <w:t xml:space="preserve">the European Battery Alliance, the Batteries Europe Platform, the Hydrogen Energy Network, the European Clean Hydrogen Alliance, and the Fuel Cells </w:t>
      </w:r>
      <w:r>
        <w:rPr>
          <w:rFonts w:ascii="Times New Roman" w:hAnsi="Times New Roman"/>
          <w:szCs w:val="24"/>
        </w:rPr>
        <w:t>and Hydrogen Joint Undertaking.</w:t>
      </w:r>
    </w:p>
    <w:p w:rsidR="00F207BE" w:rsidRDefault="00F207BE" w:rsidP="00F207BE">
      <w:pPr>
        <w:numPr>
          <w:ilvl w:val="0"/>
          <w:numId w:val="2"/>
        </w:numPr>
        <w:spacing w:after="120"/>
        <w:ind w:left="643"/>
        <w:rPr>
          <w:rFonts w:ascii="Times New Roman" w:hAnsi="Times New Roman"/>
          <w:szCs w:val="24"/>
        </w:rPr>
      </w:pPr>
      <w:r>
        <w:rPr>
          <w:rFonts w:ascii="Times New Roman" w:hAnsi="Times New Roman"/>
          <w:szCs w:val="24"/>
        </w:rPr>
        <w:t>The cohesion policy in the next financing period will support investments in smart energy systems, grids and storage at local level.</w:t>
      </w:r>
      <w:r>
        <w:rPr>
          <w:rStyle w:val="FootnoteReference"/>
          <w:rFonts w:ascii="Times New Roman" w:hAnsi="Times New Roman"/>
          <w:szCs w:val="24"/>
        </w:rPr>
        <w:footnoteReference w:id="3"/>
      </w:r>
      <w:r>
        <w:rPr>
          <w:rFonts w:ascii="Times New Roman" w:hAnsi="Times New Roman"/>
          <w:szCs w:val="24"/>
        </w:rPr>
        <w:t xml:space="preserve"> The Commission will also work with Member States, regional and local authorities, the industry and other stakeholders so that these funds contribute to support energy innovation and collaboration along the European value chains.</w:t>
      </w:r>
    </w:p>
    <w:p w:rsidR="00F207BE" w:rsidRDefault="00F207BE" w:rsidP="00F207BE">
      <w:pPr>
        <w:spacing w:after="120"/>
        <w:rPr>
          <w:rFonts w:ascii="Times New Roman" w:hAnsi="Times New Roman"/>
          <w:szCs w:val="24"/>
        </w:rPr>
      </w:pPr>
      <w:r>
        <w:rPr>
          <w:rFonts w:ascii="Times New Roman" w:hAnsi="Times New Roman"/>
          <w:szCs w:val="24"/>
        </w:rPr>
        <w:t>The Commission will also:</w:t>
      </w:r>
    </w:p>
    <w:p w:rsidR="00F207BE" w:rsidRDefault="00F207BE" w:rsidP="00F207BE">
      <w:pPr>
        <w:numPr>
          <w:ilvl w:val="0"/>
          <w:numId w:val="3"/>
        </w:numPr>
        <w:spacing w:after="120"/>
        <w:ind w:left="640" w:hanging="357"/>
        <w:rPr>
          <w:rFonts w:ascii="Times New Roman" w:hAnsi="Times New Roman"/>
          <w:szCs w:val="24"/>
        </w:rPr>
      </w:pPr>
      <w:r w:rsidRPr="00121C72">
        <w:rPr>
          <w:rFonts w:ascii="Times New Roman" w:hAnsi="Times New Roman"/>
          <w:szCs w:val="24"/>
        </w:rPr>
        <w:t>Take into account energy storage and the need to foster its deployment when preparing future initiatives like the Renovation Wave and the revision of the Energy Taxation Directive, State Aid Guidelines or the review of the regulation on the trans-European energy network</w:t>
      </w:r>
      <w:r>
        <w:rPr>
          <w:rStyle w:val="FootnoteReference"/>
          <w:rFonts w:ascii="Times New Roman" w:hAnsi="Times New Roman"/>
          <w:szCs w:val="24"/>
        </w:rPr>
        <w:footnoteReference w:id="4"/>
      </w:r>
      <w:r>
        <w:rPr>
          <w:rFonts w:ascii="Times New Roman" w:hAnsi="Times New Roman"/>
          <w:szCs w:val="24"/>
        </w:rPr>
        <w:t xml:space="preserve"> (TEN-E).</w:t>
      </w:r>
    </w:p>
    <w:p w:rsidR="00F207BE" w:rsidRDefault="00F207BE" w:rsidP="00F207BE">
      <w:pPr>
        <w:numPr>
          <w:ilvl w:val="0"/>
          <w:numId w:val="3"/>
        </w:numPr>
        <w:spacing w:after="120"/>
        <w:ind w:left="640" w:hanging="357"/>
        <w:rPr>
          <w:rFonts w:ascii="Times New Roman" w:hAnsi="Times New Roman"/>
          <w:szCs w:val="24"/>
        </w:rPr>
      </w:pPr>
      <w:r>
        <w:rPr>
          <w:rFonts w:ascii="Times New Roman" w:hAnsi="Times New Roman"/>
          <w:szCs w:val="24"/>
        </w:rPr>
        <w:t>E</w:t>
      </w:r>
      <w:r w:rsidRPr="00121C72">
        <w:rPr>
          <w:rFonts w:ascii="Times New Roman" w:hAnsi="Times New Roman"/>
          <w:szCs w:val="24"/>
        </w:rPr>
        <w:t xml:space="preserve">nsure the full implementation of the Clean Energy </w:t>
      </w:r>
      <w:r>
        <w:rPr>
          <w:rFonts w:ascii="Times New Roman" w:hAnsi="Times New Roman"/>
          <w:szCs w:val="24"/>
        </w:rPr>
        <w:t xml:space="preserve">for All Europeans </w:t>
      </w:r>
      <w:r w:rsidRPr="00121C72">
        <w:rPr>
          <w:rFonts w:ascii="Times New Roman" w:hAnsi="Times New Roman"/>
          <w:szCs w:val="24"/>
        </w:rPr>
        <w:t>Package, which will be a first key step to level the playing field for e</w:t>
      </w:r>
      <w:r>
        <w:rPr>
          <w:rFonts w:ascii="Times New Roman" w:hAnsi="Times New Roman"/>
          <w:szCs w:val="24"/>
        </w:rPr>
        <w:t>nergy storage.</w:t>
      </w:r>
    </w:p>
    <w:p w:rsidR="00F207BE" w:rsidRDefault="00F207BE" w:rsidP="00F207BE">
      <w:pPr>
        <w:numPr>
          <w:ilvl w:val="0"/>
          <w:numId w:val="3"/>
        </w:numPr>
        <w:spacing w:after="120"/>
        <w:ind w:left="640" w:hanging="357"/>
        <w:rPr>
          <w:rFonts w:ascii="Times New Roman" w:hAnsi="Times New Roman"/>
          <w:szCs w:val="24"/>
        </w:rPr>
      </w:pPr>
      <w:r>
        <w:rPr>
          <w:rFonts w:ascii="Times New Roman" w:hAnsi="Times New Roman"/>
          <w:szCs w:val="24"/>
        </w:rPr>
        <w:t>C</w:t>
      </w:r>
      <w:r w:rsidRPr="00121C72">
        <w:rPr>
          <w:rFonts w:ascii="Times New Roman" w:hAnsi="Times New Roman"/>
          <w:szCs w:val="24"/>
        </w:rPr>
        <w:t xml:space="preserve">ontinue to provide support to the technical development </w:t>
      </w:r>
      <w:r w:rsidRPr="00CF00F8">
        <w:rPr>
          <w:rFonts w:ascii="Times New Roman" w:hAnsi="Times New Roman"/>
          <w:szCs w:val="24"/>
        </w:rPr>
        <w:t>of energy system modelling tools to provide for a holistic ass</w:t>
      </w:r>
      <w:r>
        <w:rPr>
          <w:rFonts w:ascii="Times New Roman" w:hAnsi="Times New Roman"/>
          <w:szCs w:val="24"/>
        </w:rPr>
        <w:t>essment of flexibility options.</w:t>
      </w:r>
    </w:p>
    <w:p w:rsidR="00F207BE" w:rsidRDefault="00F207BE" w:rsidP="00F207BE">
      <w:pPr>
        <w:numPr>
          <w:ilvl w:val="0"/>
          <w:numId w:val="3"/>
        </w:numPr>
        <w:spacing w:after="120"/>
        <w:ind w:left="640" w:hanging="357"/>
        <w:rPr>
          <w:rFonts w:ascii="Times New Roman" w:hAnsi="Times New Roman"/>
          <w:szCs w:val="24"/>
        </w:rPr>
      </w:pPr>
      <w:r>
        <w:rPr>
          <w:rFonts w:ascii="Times New Roman" w:hAnsi="Times New Roman"/>
          <w:szCs w:val="24"/>
        </w:rPr>
        <w:t>R</w:t>
      </w:r>
      <w:r w:rsidRPr="008519A7">
        <w:rPr>
          <w:rFonts w:ascii="Times New Roman" w:hAnsi="Times New Roman"/>
          <w:szCs w:val="24"/>
        </w:rPr>
        <w:t>emain fully determined to</w:t>
      </w:r>
      <w:r>
        <w:rPr>
          <w:rFonts w:ascii="Times New Roman" w:hAnsi="Times New Roman"/>
          <w:szCs w:val="24"/>
        </w:rPr>
        <w:t xml:space="preserve"> ensure the development of energy storage,</w:t>
      </w:r>
      <w:r w:rsidRPr="00E906BB">
        <w:rPr>
          <w:rFonts w:ascii="Times New Roman" w:hAnsi="Times New Roman"/>
          <w:szCs w:val="24"/>
        </w:rPr>
        <w:t xml:space="preserve"> while applying the energy-efficiency-first principle</w:t>
      </w:r>
      <w:r>
        <w:rPr>
          <w:rFonts w:ascii="Times New Roman" w:hAnsi="Times New Roman"/>
          <w:szCs w:val="24"/>
        </w:rPr>
        <w:t>.</w:t>
      </w:r>
    </w:p>
    <w:p w:rsidR="00F207BE" w:rsidRDefault="00F207BE" w:rsidP="00F207BE">
      <w:pPr>
        <w:spacing w:after="120"/>
        <w:rPr>
          <w:rFonts w:ascii="Times New Roman" w:hAnsi="Times New Roman"/>
          <w:szCs w:val="24"/>
        </w:rPr>
      </w:pPr>
      <w:r>
        <w:rPr>
          <w:rFonts w:ascii="Times New Roman" w:hAnsi="Times New Roman"/>
          <w:szCs w:val="24"/>
        </w:rPr>
        <w:t xml:space="preserve">Finally, the Commission recognises that a comprehensive approach covering all technologies as indicated by the European Parliament could be valuable to coordinate the different actions, keep a technology-neutral approach and ensure a genuine level playing field. To ensure such a comprehensive approach, the Commission will therefore consider the recommendation of </w:t>
      </w:r>
      <w:r w:rsidRPr="00066353">
        <w:rPr>
          <w:rFonts w:ascii="Times New Roman" w:hAnsi="Times New Roman"/>
          <w:szCs w:val="24"/>
        </w:rPr>
        <w:t>the European Parliament</w:t>
      </w:r>
      <w:r>
        <w:rPr>
          <w:rFonts w:ascii="Times New Roman" w:hAnsi="Times New Roman"/>
          <w:szCs w:val="24"/>
        </w:rPr>
        <w:t xml:space="preserve"> to adopt a strategy on energy storage.</w:t>
      </w:r>
    </w:p>
    <w:p w:rsidR="00F207BE" w:rsidRDefault="00F207BE" w:rsidP="00F207BE">
      <w:pPr>
        <w:spacing w:after="120"/>
        <w:rPr>
          <w:rFonts w:ascii="Times New Roman" w:hAnsi="Times New Roman"/>
          <w:b/>
          <w:szCs w:val="24"/>
        </w:rPr>
      </w:pPr>
      <w:r w:rsidRPr="00883255">
        <w:rPr>
          <w:rFonts w:ascii="Times New Roman" w:hAnsi="Times New Roman"/>
          <w:b/>
          <w:szCs w:val="24"/>
        </w:rPr>
        <w:t>Regulatory barriers</w:t>
      </w:r>
      <w:r>
        <w:rPr>
          <w:rFonts w:ascii="Times New Roman" w:hAnsi="Times New Roman"/>
          <w:b/>
          <w:szCs w:val="24"/>
        </w:rPr>
        <w:t xml:space="preserve"> (paragraphs 13-24)</w:t>
      </w:r>
      <w:r w:rsidRPr="00883255">
        <w:rPr>
          <w:rFonts w:ascii="Times New Roman" w:hAnsi="Times New Roman"/>
          <w:b/>
          <w:szCs w:val="24"/>
        </w:rPr>
        <w:t>:</w:t>
      </w:r>
    </w:p>
    <w:p w:rsidR="00F207BE" w:rsidRDefault="00F207BE" w:rsidP="00F207BE">
      <w:pPr>
        <w:spacing w:after="120"/>
        <w:rPr>
          <w:rFonts w:ascii="Times New Roman" w:hAnsi="Times New Roman"/>
          <w:szCs w:val="24"/>
        </w:rPr>
      </w:pPr>
      <w:r>
        <w:rPr>
          <w:rFonts w:ascii="Times New Roman" w:hAnsi="Times New Roman"/>
          <w:szCs w:val="24"/>
        </w:rPr>
        <w:t xml:space="preserve">The Commissions shares the view that energy storage can play a </w:t>
      </w:r>
      <w:r w:rsidRPr="00B12038">
        <w:rPr>
          <w:rFonts w:ascii="Times New Roman" w:hAnsi="Times New Roman"/>
          <w:szCs w:val="24"/>
        </w:rPr>
        <w:t xml:space="preserve">crucial role </w:t>
      </w:r>
      <w:r>
        <w:rPr>
          <w:rFonts w:ascii="Times New Roman" w:hAnsi="Times New Roman"/>
          <w:szCs w:val="24"/>
        </w:rPr>
        <w:t>in</w:t>
      </w:r>
      <w:r w:rsidRPr="00B12038">
        <w:rPr>
          <w:rFonts w:ascii="Times New Roman" w:hAnsi="Times New Roman"/>
          <w:szCs w:val="24"/>
        </w:rPr>
        <w:t xml:space="preserve"> </w:t>
      </w:r>
      <w:r>
        <w:rPr>
          <w:rFonts w:ascii="Times New Roman" w:hAnsi="Times New Roman"/>
          <w:szCs w:val="24"/>
        </w:rPr>
        <w:t xml:space="preserve">the energy transition and </w:t>
      </w:r>
      <w:r w:rsidRPr="00B12038">
        <w:rPr>
          <w:rFonts w:ascii="Times New Roman" w:hAnsi="Times New Roman"/>
          <w:szCs w:val="24"/>
        </w:rPr>
        <w:t>further provide high levels of security</w:t>
      </w:r>
      <w:r>
        <w:rPr>
          <w:rFonts w:ascii="Times New Roman" w:hAnsi="Times New Roman"/>
          <w:szCs w:val="24"/>
        </w:rPr>
        <w:t xml:space="preserve"> of supply and system stability.</w:t>
      </w:r>
    </w:p>
    <w:p w:rsidR="00F207BE" w:rsidRDefault="00F207BE" w:rsidP="00F207BE">
      <w:pPr>
        <w:spacing w:after="120"/>
        <w:rPr>
          <w:rFonts w:ascii="Times New Roman" w:hAnsi="Times New Roman"/>
          <w:szCs w:val="24"/>
        </w:rPr>
      </w:pPr>
      <w:r w:rsidRPr="00961915">
        <w:rPr>
          <w:rFonts w:ascii="Times New Roman" w:hAnsi="Times New Roman"/>
          <w:szCs w:val="24"/>
        </w:rPr>
        <w:lastRenderedPageBreak/>
        <w:t xml:space="preserve">Energy storage should be considered a competitive activity and market-driven. Therefore, the promotion of liquid and </w:t>
      </w:r>
      <w:r>
        <w:rPr>
          <w:rFonts w:ascii="Times New Roman" w:hAnsi="Times New Roman"/>
          <w:szCs w:val="24"/>
        </w:rPr>
        <w:t xml:space="preserve">truly </w:t>
      </w:r>
      <w:proofErr w:type="gramStart"/>
      <w:r>
        <w:rPr>
          <w:rFonts w:ascii="Times New Roman" w:hAnsi="Times New Roman"/>
          <w:szCs w:val="24"/>
        </w:rPr>
        <w:t>w</w:t>
      </w:r>
      <w:r w:rsidRPr="00961915">
        <w:rPr>
          <w:rFonts w:ascii="Times New Roman" w:hAnsi="Times New Roman"/>
          <w:szCs w:val="24"/>
        </w:rPr>
        <w:t>ell-functioning</w:t>
      </w:r>
      <w:proofErr w:type="gramEnd"/>
      <w:r w:rsidRPr="00961915">
        <w:rPr>
          <w:rFonts w:ascii="Times New Roman" w:hAnsi="Times New Roman"/>
          <w:szCs w:val="24"/>
        </w:rPr>
        <w:t xml:space="preserve"> markets</w:t>
      </w:r>
      <w:r>
        <w:rPr>
          <w:rFonts w:ascii="Times New Roman" w:hAnsi="Times New Roman"/>
          <w:szCs w:val="24"/>
        </w:rPr>
        <w:t xml:space="preserve"> for energy should remain a priority. In these markets, storage should be able to participate in ancillary services</w:t>
      </w:r>
      <w:r w:rsidRPr="00961915">
        <w:rPr>
          <w:rFonts w:ascii="Times New Roman" w:hAnsi="Times New Roman"/>
          <w:szCs w:val="24"/>
        </w:rPr>
        <w:t xml:space="preserve"> </w:t>
      </w:r>
      <w:r>
        <w:rPr>
          <w:rFonts w:ascii="Times New Roman" w:hAnsi="Times New Roman"/>
          <w:szCs w:val="24"/>
        </w:rPr>
        <w:t>and the promotion of harmonis</w:t>
      </w:r>
      <w:r w:rsidRPr="00961915">
        <w:rPr>
          <w:rFonts w:ascii="Times New Roman" w:hAnsi="Times New Roman"/>
          <w:szCs w:val="24"/>
        </w:rPr>
        <w:t xml:space="preserve">ed energy market products to enhance </w:t>
      </w:r>
      <w:r>
        <w:rPr>
          <w:rFonts w:ascii="Times New Roman" w:hAnsi="Times New Roman"/>
          <w:szCs w:val="24"/>
        </w:rPr>
        <w:t xml:space="preserve">the </w:t>
      </w:r>
      <w:r w:rsidRPr="00961915">
        <w:rPr>
          <w:rFonts w:ascii="Times New Roman" w:hAnsi="Times New Roman"/>
          <w:szCs w:val="24"/>
        </w:rPr>
        <w:t>cross-border participation of storage</w:t>
      </w:r>
      <w:r>
        <w:rPr>
          <w:rFonts w:ascii="Times New Roman" w:hAnsi="Times New Roman"/>
          <w:szCs w:val="24"/>
        </w:rPr>
        <w:t xml:space="preserve"> </w:t>
      </w:r>
      <w:proofErr w:type="gramStart"/>
      <w:r>
        <w:rPr>
          <w:rFonts w:ascii="Times New Roman" w:hAnsi="Times New Roman"/>
          <w:szCs w:val="24"/>
        </w:rPr>
        <w:t>should also</w:t>
      </w:r>
      <w:proofErr w:type="gramEnd"/>
      <w:r>
        <w:rPr>
          <w:rFonts w:ascii="Times New Roman" w:hAnsi="Times New Roman"/>
          <w:szCs w:val="24"/>
        </w:rPr>
        <w:t xml:space="preserve"> be considered</w:t>
      </w:r>
      <w:r w:rsidRPr="00961915">
        <w:rPr>
          <w:rFonts w:ascii="Times New Roman" w:hAnsi="Times New Roman"/>
          <w:szCs w:val="24"/>
        </w:rPr>
        <w:t>.</w:t>
      </w:r>
    </w:p>
    <w:p w:rsidR="00F207BE" w:rsidRDefault="00F207BE" w:rsidP="00F207BE">
      <w:pPr>
        <w:spacing w:after="120"/>
        <w:rPr>
          <w:rFonts w:ascii="Times New Roman" w:hAnsi="Times New Roman"/>
          <w:szCs w:val="24"/>
        </w:rPr>
      </w:pPr>
      <w:r>
        <w:rPr>
          <w:rFonts w:ascii="Times New Roman" w:hAnsi="Times New Roman"/>
          <w:szCs w:val="24"/>
        </w:rPr>
        <w:t>T</w:t>
      </w:r>
      <w:r w:rsidRPr="00961915">
        <w:rPr>
          <w:rFonts w:ascii="Times New Roman" w:hAnsi="Times New Roman"/>
          <w:szCs w:val="24"/>
        </w:rPr>
        <w:t xml:space="preserve">he Clean Energy </w:t>
      </w:r>
      <w:r>
        <w:rPr>
          <w:rFonts w:ascii="Times New Roman" w:hAnsi="Times New Roman"/>
          <w:szCs w:val="24"/>
        </w:rPr>
        <w:t xml:space="preserve">for All Europeans </w:t>
      </w:r>
      <w:r w:rsidRPr="00961915">
        <w:rPr>
          <w:rFonts w:ascii="Times New Roman" w:hAnsi="Times New Roman"/>
          <w:szCs w:val="24"/>
        </w:rPr>
        <w:t xml:space="preserve">Package </w:t>
      </w:r>
      <w:r>
        <w:rPr>
          <w:rFonts w:ascii="Times New Roman" w:hAnsi="Times New Roman"/>
          <w:szCs w:val="24"/>
        </w:rPr>
        <w:t xml:space="preserve">(CEAP) already </w:t>
      </w:r>
      <w:r w:rsidRPr="00961915">
        <w:rPr>
          <w:rFonts w:ascii="Times New Roman" w:hAnsi="Times New Roman"/>
          <w:szCs w:val="24"/>
        </w:rPr>
        <w:t>sets the legal basis for the development of energy storage and addresses a large number of the existing barriers</w:t>
      </w:r>
      <w:r>
        <w:rPr>
          <w:rFonts w:ascii="Times New Roman" w:hAnsi="Times New Roman"/>
          <w:szCs w:val="24"/>
        </w:rPr>
        <w:t>. Therefore, the implementation of the CEAP will remain a priority to remove regulatory barriers, as suggested in the study carried out for the Commission: “</w:t>
      </w:r>
      <w:r w:rsidRPr="00961915">
        <w:rPr>
          <w:rFonts w:ascii="Times New Roman" w:hAnsi="Times New Roman"/>
          <w:szCs w:val="24"/>
        </w:rPr>
        <w:t>Study on energy storage – Contribution to the security of the electricity supply in Europe</w:t>
      </w:r>
      <w:r>
        <w:rPr>
          <w:rFonts w:ascii="Times New Roman" w:hAnsi="Times New Roman"/>
          <w:szCs w:val="24"/>
        </w:rPr>
        <w:t>”.</w:t>
      </w:r>
    </w:p>
    <w:p w:rsidR="00F207BE" w:rsidRDefault="00F207BE" w:rsidP="00F207BE">
      <w:pPr>
        <w:spacing w:after="120"/>
        <w:rPr>
          <w:rFonts w:ascii="Times New Roman" w:hAnsi="Times New Roman"/>
          <w:szCs w:val="24"/>
        </w:rPr>
      </w:pPr>
      <w:r>
        <w:rPr>
          <w:rFonts w:ascii="Times New Roman" w:hAnsi="Times New Roman"/>
          <w:szCs w:val="24"/>
        </w:rPr>
        <w:t xml:space="preserve">In addition, several actions will be required </w:t>
      </w:r>
      <w:r w:rsidRPr="00961915">
        <w:rPr>
          <w:rFonts w:ascii="Times New Roman" w:hAnsi="Times New Roman"/>
          <w:szCs w:val="24"/>
        </w:rPr>
        <w:t>to ensure the proper</w:t>
      </w:r>
      <w:r>
        <w:rPr>
          <w:rFonts w:ascii="Times New Roman" w:hAnsi="Times New Roman"/>
          <w:szCs w:val="24"/>
        </w:rPr>
        <w:t xml:space="preserve"> and coherent</w:t>
      </w:r>
      <w:r w:rsidRPr="00961915">
        <w:rPr>
          <w:rFonts w:ascii="Times New Roman" w:hAnsi="Times New Roman"/>
          <w:szCs w:val="24"/>
        </w:rPr>
        <w:t xml:space="preserve"> development of stor</w:t>
      </w:r>
      <w:r>
        <w:rPr>
          <w:rFonts w:ascii="Times New Roman" w:hAnsi="Times New Roman"/>
          <w:szCs w:val="24"/>
        </w:rPr>
        <w:t xml:space="preserve">age in the EU. First, the Commission has already indicated in the Energy System Integration Strategy its intention to align </w:t>
      </w:r>
      <w:r w:rsidRPr="00613D0A">
        <w:rPr>
          <w:rFonts w:ascii="Times New Roman" w:hAnsi="Times New Roman"/>
          <w:szCs w:val="24"/>
        </w:rPr>
        <w:t>taxation with EU environment and climate policies</w:t>
      </w:r>
      <w:r>
        <w:rPr>
          <w:rFonts w:ascii="Times New Roman" w:hAnsi="Times New Roman"/>
          <w:szCs w:val="24"/>
        </w:rPr>
        <w:t xml:space="preserve">, </w:t>
      </w:r>
      <w:r w:rsidRPr="00FC2A2F">
        <w:rPr>
          <w:rFonts w:ascii="Times New Roman" w:hAnsi="Times New Roman"/>
          <w:szCs w:val="24"/>
        </w:rPr>
        <w:t>ensure the consistency of non-energy price components across energy carriers</w:t>
      </w:r>
      <w:r w:rsidRPr="00613D0A">
        <w:rPr>
          <w:rFonts w:ascii="Times New Roman" w:hAnsi="Times New Roman"/>
          <w:szCs w:val="24"/>
        </w:rPr>
        <w:t xml:space="preserve">, and ensure a harmonised taxation of storage and hydrogen production, avoiding double taxation, through the revision of </w:t>
      </w:r>
      <w:r>
        <w:rPr>
          <w:rFonts w:ascii="Times New Roman" w:hAnsi="Times New Roman"/>
          <w:szCs w:val="24"/>
        </w:rPr>
        <w:t>the Energy Taxation Directive. T</w:t>
      </w:r>
      <w:r w:rsidRPr="00613D0A">
        <w:rPr>
          <w:rFonts w:ascii="Times New Roman" w:hAnsi="Times New Roman"/>
          <w:szCs w:val="24"/>
        </w:rPr>
        <w:t xml:space="preserve">he revision of the TEN-E regulation </w:t>
      </w:r>
      <w:r>
        <w:rPr>
          <w:rFonts w:ascii="Times New Roman" w:hAnsi="Times New Roman"/>
          <w:szCs w:val="24"/>
        </w:rPr>
        <w:t xml:space="preserve">and </w:t>
      </w:r>
      <w:r w:rsidRPr="00B12038">
        <w:rPr>
          <w:rFonts w:ascii="Times New Roman" w:hAnsi="Times New Roman"/>
          <w:szCs w:val="24"/>
        </w:rPr>
        <w:t>the</w:t>
      </w:r>
      <w:r>
        <w:rPr>
          <w:rFonts w:ascii="Times New Roman" w:hAnsi="Times New Roman"/>
          <w:szCs w:val="24"/>
        </w:rPr>
        <w:t xml:space="preserve"> review of the scope and governance of the</w:t>
      </w:r>
      <w:r w:rsidRPr="00B12038">
        <w:rPr>
          <w:rFonts w:ascii="Times New Roman" w:hAnsi="Times New Roman"/>
          <w:szCs w:val="24"/>
        </w:rPr>
        <w:t xml:space="preserve"> Ten Year N</w:t>
      </w:r>
      <w:r>
        <w:rPr>
          <w:rFonts w:ascii="Times New Roman" w:hAnsi="Times New Roman"/>
          <w:szCs w:val="24"/>
        </w:rPr>
        <w:t xml:space="preserve">etwork Development Plan (TYNDP) will </w:t>
      </w:r>
      <w:r w:rsidRPr="00613D0A">
        <w:rPr>
          <w:rFonts w:ascii="Times New Roman" w:hAnsi="Times New Roman"/>
          <w:szCs w:val="24"/>
        </w:rPr>
        <w:t>fully support a more integrated energy system</w:t>
      </w:r>
      <w:r>
        <w:rPr>
          <w:rFonts w:ascii="Times New Roman" w:hAnsi="Times New Roman"/>
          <w:szCs w:val="24"/>
        </w:rPr>
        <w:t xml:space="preserve">. The Commission will consider the requests of the European Parliament within the review process. Moreover, the Commission has announced its intention </w:t>
      </w:r>
      <w:proofErr w:type="gramStart"/>
      <w:r>
        <w:rPr>
          <w:rFonts w:ascii="Times New Roman" w:hAnsi="Times New Roman"/>
          <w:szCs w:val="24"/>
        </w:rPr>
        <w:t>to further promote</w:t>
      </w:r>
      <w:proofErr w:type="gramEnd"/>
      <w:r>
        <w:rPr>
          <w:rFonts w:ascii="Times New Roman" w:hAnsi="Times New Roman"/>
          <w:szCs w:val="24"/>
        </w:rPr>
        <w:t xml:space="preserve"> the energy-efficiency-first principle in all upcoming relevant methodologies and legislative revisions.</w:t>
      </w:r>
    </w:p>
    <w:p w:rsidR="00F207BE" w:rsidRDefault="00F207BE" w:rsidP="00F207BE">
      <w:pPr>
        <w:spacing w:after="120"/>
        <w:rPr>
          <w:rFonts w:ascii="Times New Roman" w:hAnsi="Times New Roman"/>
          <w:szCs w:val="24"/>
        </w:rPr>
      </w:pPr>
      <w:r>
        <w:rPr>
          <w:rFonts w:ascii="Times New Roman" w:hAnsi="Times New Roman"/>
          <w:szCs w:val="24"/>
        </w:rPr>
        <w:t xml:space="preserve">Furthermore, the importance of flexibility, and consequently storage, </w:t>
      </w:r>
      <w:proofErr w:type="gramStart"/>
      <w:r>
        <w:rPr>
          <w:rFonts w:ascii="Times New Roman" w:hAnsi="Times New Roman"/>
          <w:szCs w:val="24"/>
        </w:rPr>
        <w:t>will be particularly reflected</w:t>
      </w:r>
      <w:proofErr w:type="gramEnd"/>
      <w:r>
        <w:rPr>
          <w:rFonts w:ascii="Times New Roman" w:hAnsi="Times New Roman"/>
          <w:szCs w:val="24"/>
        </w:rPr>
        <w:t xml:space="preserve"> in the announced</w:t>
      </w:r>
      <w:r w:rsidRPr="00613D0A">
        <w:rPr>
          <w:rFonts w:ascii="Times New Roman" w:hAnsi="Times New Roman"/>
          <w:szCs w:val="24"/>
        </w:rPr>
        <w:t xml:space="preserve"> Network Code on Demand Side Flexibility</w:t>
      </w:r>
      <w:r>
        <w:rPr>
          <w:rFonts w:ascii="Times New Roman" w:hAnsi="Times New Roman"/>
          <w:szCs w:val="24"/>
        </w:rPr>
        <w:t xml:space="preserve">, including the </w:t>
      </w:r>
      <w:r w:rsidRPr="00613D0A">
        <w:rPr>
          <w:rFonts w:ascii="Times New Roman" w:hAnsi="Times New Roman"/>
          <w:szCs w:val="24"/>
        </w:rPr>
        <w:t>potential of electric vehicles</w:t>
      </w:r>
      <w:r>
        <w:rPr>
          <w:rFonts w:ascii="Times New Roman" w:hAnsi="Times New Roman"/>
          <w:szCs w:val="24"/>
        </w:rPr>
        <w:t>.</w:t>
      </w:r>
    </w:p>
    <w:p w:rsidR="00F207BE" w:rsidRDefault="00F207BE" w:rsidP="00F207BE">
      <w:pPr>
        <w:spacing w:after="120"/>
        <w:rPr>
          <w:rFonts w:ascii="Times New Roman" w:hAnsi="Times New Roman"/>
          <w:szCs w:val="24"/>
        </w:rPr>
      </w:pPr>
      <w:r w:rsidRPr="000C2932">
        <w:rPr>
          <w:rFonts w:ascii="Times New Roman" w:hAnsi="Times New Roman"/>
          <w:szCs w:val="24"/>
        </w:rPr>
        <w:t xml:space="preserve">Support for storage </w:t>
      </w:r>
      <w:proofErr w:type="gramStart"/>
      <w:r w:rsidRPr="000C2932">
        <w:rPr>
          <w:rFonts w:ascii="Times New Roman" w:hAnsi="Times New Roman"/>
          <w:szCs w:val="24"/>
        </w:rPr>
        <w:t>is allowed</w:t>
      </w:r>
      <w:proofErr w:type="gramEnd"/>
      <w:r w:rsidRPr="000C2932">
        <w:rPr>
          <w:rFonts w:ascii="Times New Roman" w:hAnsi="Times New Roman"/>
          <w:szCs w:val="24"/>
        </w:rPr>
        <w:t xml:space="preserve"> under the current State aid framework, in particular for research into improving storage technologies and for investments into storage needed for generation adequacy or linked to renewable energy provided the market cannot deliver on its own. The State aid framework is under review. The Commission will revise the rules with the aim to provide a fitted and clear framework to support cost-effective decarbonisation of the economy, including when necessary storage.</w:t>
      </w:r>
    </w:p>
    <w:p w:rsidR="00F207BE" w:rsidRDefault="00F207BE" w:rsidP="00F207BE">
      <w:pPr>
        <w:spacing w:after="120"/>
        <w:rPr>
          <w:rFonts w:ascii="Times New Roman" w:hAnsi="Times New Roman"/>
          <w:szCs w:val="24"/>
        </w:rPr>
      </w:pPr>
      <w:r>
        <w:rPr>
          <w:rFonts w:ascii="Times New Roman" w:hAnsi="Times New Roman"/>
          <w:szCs w:val="24"/>
        </w:rPr>
        <w:t>Additionally, the Commission will consider possible ways to facilitate the work on establishing common requirements for grid connection.</w:t>
      </w:r>
    </w:p>
    <w:p w:rsidR="00F207BE" w:rsidRDefault="00F207BE" w:rsidP="00F207BE">
      <w:pPr>
        <w:spacing w:after="120"/>
        <w:rPr>
          <w:rFonts w:ascii="Times New Roman" w:hAnsi="Times New Roman"/>
          <w:szCs w:val="24"/>
        </w:rPr>
      </w:pPr>
      <w:r>
        <w:rPr>
          <w:rFonts w:ascii="Times New Roman" w:hAnsi="Times New Roman"/>
          <w:szCs w:val="24"/>
        </w:rPr>
        <w:t>In addition, t</w:t>
      </w:r>
      <w:r w:rsidRPr="00C54255">
        <w:rPr>
          <w:rFonts w:ascii="Times New Roman" w:hAnsi="Times New Roman"/>
          <w:szCs w:val="24"/>
        </w:rPr>
        <w:t xml:space="preserve">he EU sustainable finance taxonomy will guide investments towards environmentally sustainable economic activities – first, to those that significantly contribute to climate change objectives, while not harming the other environmental objectives as defined in Regulation </w:t>
      </w:r>
      <w:r>
        <w:rPr>
          <w:rFonts w:ascii="Times New Roman" w:hAnsi="Times New Roman"/>
          <w:szCs w:val="24"/>
        </w:rPr>
        <w:t xml:space="preserve">(EU) </w:t>
      </w:r>
      <w:r w:rsidRPr="00C54255">
        <w:rPr>
          <w:rFonts w:ascii="Times New Roman" w:hAnsi="Times New Roman"/>
          <w:szCs w:val="24"/>
        </w:rPr>
        <w:t>2020/852.</w:t>
      </w:r>
    </w:p>
    <w:p w:rsidR="00F207BE" w:rsidRDefault="00F207BE" w:rsidP="00F207BE">
      <w:pPr>
        <w:tabs>
          <w:tab w:val="left" w:pos="2388"/>
        </w:tabs>
        <w:spacing w:after="120"/>
        <w:rPr>
          <w:rFonts w:ascii="Times New Roman" w:hAnsi="Times New Roman"/>
          <w:b/>
          <w:szCs w:val="24"/>
        </w:rPr>
      </w:pPr>
      <w:r>
        <w:rPr>
          <w:rFonts w:ascii="Times New Roman" w:hAnsi="Times New Roman"/>
          <w:b/>
          <w:szCs w:val="24"/>
        </w:rPr>
        <w:t>Storage technologies (paragraphs 25-60)</w:t>
      </w:r>
    </w:p>
    <w:p w:rsidR="00F207BE" w:rsidRDefault="00F207BE" w:rsidP="00F207BE">
      <w:pPr>
        <w:spacing w:after="120"/>
        <w:rPr>
          <w:rFonts w:ascii="Times New Roman" w:hAnsi="Times New Roman"/>
          <w:szCs w:val="24"/>
        </w:rPr>
      </w:pPr>
      <w:r>
        <w:rPr>
          <w:rFonts w:ascii="Times New Roman" w:hAnsi="Times New Roman"/>
          <w:szCs w:val="24"/>
        </w:rPr>
        <w:t>S</w:t>
      </w:r>
      <w:r w:rsidRPr="003E569A">
        <w:rPr>
          <w:rFonts w:ascii="Times New Roman" w:hAnsi="Times New Roman"/>
          <w:szCs w:val="24"/>
        </w:rPr>
        <w:t xml:space="preserve">torage technologies </w:t>
      </w:r>
      <w:r>
        <w:rPr>
          <w:rFonts w:ascii="Times New Roman" w:hAnsi="Times New Roman"/>
          <w:szCs w:val="24"/>
        </w:rPr>
        <w:t xml:space="preserve">have </w:t>
      </w:r>
      <w:r w:rsidRPr="003E569A">
        <w:rPr>
          <w:rFonts w:ascii="Times New Roman" w:hAnsi="Times New Roman"/>
          <w:szCs w:val="24"/>
        </w:rPr>
        <w:t xml:space="preserve">different </w:t>
      </w:r>
      <w:r>
        <w:rPr>
          <w:rFonts w:ascii="Times New Roman" w:hAnsi="Times New Roman"/>
          <w:szCs w:val="24"/>
        </w:rPr>
        <w:t>maturity levels a</w:t>
      </w:r>
      <w:r w:rsidRPr="003E569A">
        <w:rPr>
          <w:rFonts w:ascii="Times New Roman" w:hAnsi="Times New Roman"/>
          <w:szCs w:val="24"/>
        </w:rPr>
        <w:t>nd characteristics</w:t>
      </w:r>
      <w:r>
        <w:rPr>
          <w:rFonts w:ascii="Times New Roman" w:hAnsi="Times New Roman"/>
          <w:szCs w:val="24"/>
        </w:rPr>
        <w:t xml:space="preserve">. These diverse technical </w:t>
      </w:r>
      <w:r w:rsidRPr="003E569A">
        <w:rPr>
          <w:rFonts w:ascii="Times New Roman" w:hAnsi="Times New Roman"/>
          <w:szCs w:val="24"/>
        </w:rPr>
        <w:t>characteristics, especially regarding energy and discharge capacity rates, as well as the rate of self-discharge</w:t>
      </w:r>
      <w:r>
        <w:rPr>
          <w:rFonts w:ascii="Times New Roman" w:hAnsi="Times New Roman"/>
          <w:szCs w:val="24"/>
        </w:rPr>
        <w:t>, can</w:t>
      </w:r>
      <w:r w:rsidRPr="003E569A">
        <w:rPr>
          <w:rFonts w:ascii="Times New Roman" w:hAnsi="Times New Roman"/>
          <w:szCs w:val="24"/>
        </w:rPr>
        <w:t xml:space="preserve"> provide significant value </w:t>
      </w:r>
      <w:r>
        <w:rPr>
          <w:rFonts w:ascii="Times New Roman" w:hAnsi="Times New Roman"/>
          <w:szCs w:val="24"/>
        </w:rPr>
        <w:t xml:space="preserve">to and strongly influence their </w:t>
      </w:r>
      <w:r w:rsidRPr="003E569A">
        <w:rPr>
          <w:rFonts w:ascii="Times New Roman" w:hAnsi="Times New Roman"/>
          <w:szCs w:val="24"/>
        </w:rPr>
        <w:t xml:space="preserve">effective participation </w:t>
      </w:r>
      <w:r>
        <w:rPr>
          <w:rFonts w:ascii="Times New Roman" w:hAnsi="Times New Roman"/>
          <w:szCs w:val="24"/>
        </w:rPr>
        <w:t>in</w:t>
      </w:r>
      <w:r w:rsidRPr="003E569A">
        <w:rPr>
          <w:rFonts w:ascii="Times New Roman" w:hAnsi="Times New Roman"/>
          <w:szCs w:val="24"/>
        </w:rPr>
        <w:t xml:space="preserve"> energy markets and capacity mechanisms</w:t>
      </w:r>
      <w:r>
        <w:rPr>
          <w:rFonts w:ascii="Times New Roman" w:hAnsi="Times New Roman"/>
          <w:szCs w:val="24"/>
        </w:rPr>
        <w:t>.</w:t>
      </w:r>
    </w:p>
    <w:p w:rsidR="00F207BE" w:rsidRDefault="00F207BE" w:rsidP="00F207BE">
      <w:pPr>
        <w:spacing w:after="120"/>
        <w:rPr>
          <w:rFonts w:ascii="Times New Roman" w:hAnsi="Times New Roman"/>
          <w:szCs w:val="24"/>
        </w:rPr>
      </w:pPr>
      <w:r w:rsidRPr="003E569A">
        <w:rPr>
          <w:rFonts w:ascii="Times New Roman" w:hAnsi="Times New Roman"/>
          <w:szCs w:val="24"/>
        </w:rPr>
        <w:t>Considering the relevance of storage for the energy sector, the Commission has already developed some initiatives to support certain storage technologies, particularly for batteries and hydrogen. However, keep</w:t>
      </w:r>
      <w:r>
        <w:rPr>
          <w:rFonts w:ascii="Times New Roman" w:hAnsi="Times New Roman"/>
          <w:szCs w:val="24"/>
        </w:rPr>
        <w:t>ing</w:t>
      </w:r>
      <w:r w:rsidRPr="003E569A">
        <w:rPr>
          <w:rFonts w:ascii="Times New Roman" w:hAnsi="Times New Roman"/>
          <w:szCs w:val="24"/>
        </w:rPr>
        <w:t xml:space="preserve"> a holistic view for the deployment of storage in the electricity sector</w:t>
      </w:r>
      <w:r>
        <w:rPr>
          <w:rFonts w:ascii="Times New Roman" w:hAnsi="Times New Roman"/>
          <w:szCs w:val="24"/>
        </w:rPr>
        <w:t xml:space="preserve"> is important </w:t>
      </w:r>
      <w:r w:rsidRPr="003E569A">
        <w:rPr>
          <w:rFonts w:ascii="Times New Roman" w:hAnsi="Times New Roman"/>
          <w:szCs w:val="24"/>
        </w:rPr>
        <w:t xml:space="preserve">in order to ensure the compliance with </w:t>
      </w:r>
      <w:r>
        <w:rPr>
          <w:rFonts w:ascii="Times New Roman" w:hAnsi="Times New Roman"/>
          <w:szCs w:val="24"/>
        </w:rPr>
        <w:t xml:space="preserve">the </w:t>
      </w:r>
      <w:r w:rsidRPr="003E569A">
        <w:rPr>
          <w:rFonts w:ascii="Times New Roman" w:hAnsi="Times New Roman"/>
          <w:szCs w:val="24"/>
        </w:rPr>
        <w:t>technology neutrality principle and to avoid hampering the development of pos</w:t>
      </w:r>
      <w:r>
        <w:rPr>
          <w:rFonts w:ascii="Times New Roman" w:hAnsi="Times New Roman"/>
          <w:szCs w:val="24"/>
        </w:rPr>
        <w:t>sible new storage technologies.</w:t>
      </w:r>
    </w:p>
    <w:p w:rsidR="00F207BE" w:rsidRDefault="00F207BE" w:rsidP="00F207BE">
      <w:pPr>
        <w:spacing w:after="120"/>
        <w:rPr>
          <w:rFonts w:ascii="Times New Roman" w:hAnsi="Times New Roman"/>
          <w:szCs w:val="24"/>
        </w:rPr>
      </w:pPr>
      <w:r>
        <w:rPr>
          <w:rFonts w:ascii="Times New Roman" w:hAnsi="Times New Roman"/>
          <w:szCs w:val="24"/>
        </w:rPr>
        <w:lastRenderedPageBreak/>
        <w:t xml:space="preserve">Regarding </w:t>
      </w:r>
      <w:r w:rsidRPr="007A09F2">
        <w:rPr>
          <w:rFonts w:ascii="Times New Roman" w:hAnsi="Times New Roman"/>
          <w:b/>
          <w:szCs w:val="24"/>
        </w:rPr>
        <w:t>chemical storage</w:t>
      </w:r>
      <w:r>
        <w:rPr>
          <w:rFonts w:ascii="Times New Roman" w:hAnsi="Times New Roman"/>
          <w:szCs w:val="24"/>
        </w:rPr>
        <w:t xml:space="preserve"> (paragraphs 25-35), in particular hydrogen, the above mentioned Commission’s Hydrogen Strategy</w:t>
      </w:r>
      <w:r w:rsidRPr="00FD3F4D">
        <w:rPr>
          <w:rFonts w:ascii="Times New Roman" w:hAnsi="Times New Roman"/>
          <w:szCs w:val="24"/>
        </w:rPr>
        <w:t xml:space="preserve"> for a climate-neutral Europe</w:t>
      </w:r>
      <w:r>
        <w:rPr>
          <w:rFonts w:ascii="Times New Roman" w:hAnsi="Times New Roman"/>
          <w:szCs w:val="24"/>
        </w:rPr>
        <w:t xml:space="preserve"> aims to </w:t>
      </w:r>
      <w:r w:rsidRPr="003E569A">
        <w:rPr>
          <w:rFonts w:ascii="Times New Roman" w:hAnsi="Times New Roman"/>
          <w:szCs w:val="24"/>
        </w:rPr>
        <w:t xml:space="preserve">boost </w:t>
      </w:r>
      <w:r>
        <w:rPr>
          <w:rFonts w:ascii="Times New Roman" w:hAnsi="Times New Roman"/>
          <w:szCs w:val="24"/>
        </w:rPr>
        <w:t>the</w:t>
      </w:r>
      <w:r w:rsidRPr="003E569A">
        <w:rPr>
          <w:rFonts w:ascii="Times New Roman" w:hAnsi="Times New Roman"/>
          <w:szCs w:val="24"/>
        </w:rPr>
        <w:t xml:space="preserve"> clean hydrogen production</w:t>
      </w:r>
      <w:r>
        <w:rPr>
          <w:rFonts w:ascii="Times New Roman" w:hAnsi="Times New Roman"/>
          <w:szCs w:val="24"/>
        </w:rPr>
        <w:t xml:space="preserve"> </w:t>
      </w:r>
      <w:r w:rsidRPr="003E569A">
        <w:rPr>
          <w:rFonts w:ascii="Times New Roman" w:hAnsi="Times New Roman"/>
          <w:szCs w:val="24"/>
        </w:rPr>
        <w:t>in Europe</w:t>
      </w:r>
      <w:r>
        <w:rPr>
          <w:rFonts w:ascii="Times New Roman" w:hAnsi="Times New Roman"/>
          <w:szCs w:val="24"/>
        </w:rPr>
        <w:t xml:space="preserve">, creating a sustainable industrial value chain and supporting markets and innovation </w:t>
      </w:r>
      <w:r w:rsidRPr="003E569A">
        <w:rPr>
          <w:rFonts w:ascii="Times New Roman" w:hAnsi="Times New Roman"/>
          <w:szCs w:val="24"/>
        </w:rPr>
        <w:t xml:space="preserve">to </w:t>
      </w:r>
      <w:r>
        <w:rPr>
          <w:rFonts w:ascii="Times New Roman" w:hAnsi="Times New Roman"/>
          <w:szCs w:val="24"/>
        </w:rPr>
        <w:t>promote</w:t>
      </w:r>
      <w:r w:rsidRPr="003E569A">
        <w:rPr>
          <w:rFonts w:ascii="Times New Roman" w:hAnsi="Times New Roman"/>
          <w:szCs w:val="24"/>
        </w:rPr>
        <w:t xml:space="preserve"> further scaling up of Power</w:t>
      </w:r>
      <w:r>
        <w:rPr>
          <w:rFonts w:ascii="Times New Roman" w:hAnsi="Times New Roman"/>
          <w:szCs w:val="24"/>
        </w:rPr>
        <w:t>-</w:t>
      </w:r>
      <w:r w:rsidRPr="003E569A">
        <w:rPr>
          <w:rFonts w:ascii="Times New Roman" w:hAnsi="Times New Roman"/>
          <w:szCs w:val="24"/>
        </w:rPr>
        <w:t>to</w:t>
      </w:r>
      <w:r>
        <w:rPr>
          <w:rFonts w:ascii="Times New Roman" w:hAnsi="Times New Roman"/>
          <w:szCs w:val="24"/>
        </w:rPr>
        <w:t>-</w:t>
      </w:r>
      <w:r w:rsidRPr="003E569A">
        <w:rPr>
          <w:rFonts w:ascii="Times New Roman" w:hAnsi="Times New Roman"/>
          <w:szCs w:val="24"/>
        </w:rPr>
        <w:t>X technology</w:t>
      </w:r>
      <w:r>
        <w:rPr>
          <w:rFonts w:ascii="Times New Roman" w:hAnsi="Times New Roman"/>
          <w:szCs w:val="24"/>
        </w:rPr>
        <w:t xml:space="preserve">. Cohesion policy will provide necessary support to scale up, commercialisation and deployment of innovative solutions related to renewable and low-carbon hydrogen technology responding to specific regional challenges and needs. The possibilities offered to carbon intensive regions under the Just Transition Mechanism </w:t>
      </w:r>
      <w:proofErr w:type="gramStart"/>
      <w:r>
        <w:rPr>
          <w:rFonts w:ascii="Times New Roman" w:hAnsi="Times New Roman"/>
          <w:szCs w:val="24"/>
        </w:rPr>
        <w:t>should also be fully explored</w:t>
      </w:r>
      <w:proofErr w:type="gramEnd"/>
      <w:r>
        <w:rPr>
          <w:rFonts w:ascii="Times New Roman" w:hAnsi="Times New Roman"/>
          <w:szCs w:val="24"/>
        </w:rPr>
        <w:t>.</w:t>
      </w:r>
    </w:p>
    <w:p w:rsidR="00F207BE" w:rsidRDefault="00F207BE" w:rsidP="00F207BE">
      <w:pPr>
        <w:spacing w:after="120"/>
        <w:rPr>
          <w:rFonts w:ascii="Times New Roman" w:hAnsi="Times New Roman"/>
          <w:szCs w:val="24"/>
        </w:rPr>
      </w:pPr>
      <w:r w:rsidRPr="00285F0F">
        <w:rPr>
          <w:rFonts w:ascii="Times New Roman" w:hAnsi="Times New Roman"/>
          <w:szCs w:val="24"/>
        </w:rPr>
        <w:t xml:space="preserve">As announced in the </w:t>
      </w:r>
      <w:r>
        <w:rPr>
          <w:rFonts w:ascii="Times New Roman" w:hAnsi="Times New Roman"/>
          <w:szCs w:val="24"/>
        </w:rPr>
        <w:t>Energy System Integration Strategy and the Hydrogen Strategy</w:t>
      </w:r>
      <w:r w:rsidRPr="00285F0F">
        <w:rPr>
          <w:rFonts w:ascii="Times New Roman" w:hAnsi="Times New Roman"/>
          <w:szCs w:val="24"/>
        </w:rPr>
        <w:t xml:space="preserve"> the Commission will follow-up</w:t>
      </w:r>
      <w:r>
        <w:rPr>
          <w:rFonts w:ascii="Times New Roman" w:hAnsi="Times New Roman"/>
          <w:szCs w:val="24"/>
        </w:rPr>
        <w:t xml:space="preserve"> o</w:t>
      </w:r>
      <w:r w:rsidRPr="00881A6C">
        <w:rPr>
          <w:rFonts w:ascii="Times New Roman" w:hAnsi="Times New Roman"/>
          <w:szCs w:val="24"/>
        </w:rPr>
        <w:t>n the recommendations for Important Projects of Common European Interest (IPCEI</w:t>
      </w:r>
      <w:r>
        <w:rPr>
          <w:rFonts w:ascii="Times New Roman" w:hAnsi="Times New Roman"/>
          <w:szCs w:val="24"/>
        </w:rPr>
        <w:t>)</w:t>
      </w:r>
      <w:r w:rsidRPr="00881A6C">
        <w:rPr>
          <w:rFonts w:ascii="Times New Roman" w:hAnsi="Times New Roman"/>
          <w:szCs w:val="24"/>
        </w:rPr>
        <w:t xml:space="preserve"> to promote supporting a hydrogen supply chain</w:t>
      </w:r>
      <w:r>
        <w:rPr>
          <w:rFonts w:ascii="Times New Roman" w:hAnsi="Times New Roman"/>
          <w:szCs w:val="24"/>
        </w:rPr>
        <w:t>. The Commission recognises that the r</w:t>
      </w:r>
      <w:r w:rsidRPr="008A142C">
        <w:rPr>
          <w:rFonts w:ascii="Times New Roman" w:hAnsi="Times New Roman"/>
          <w:szCs w:val="24"/>
        </w:rPr>
        <w:t>epurposing of existing gas infrastructure may provide an opportunity for a cost-effective energy transition</w:t>
      </w:r>
      <w:r>
        <w:rPr>
          <w:rFonts w:ascii="Times New Roman" w:hAnsi="Times New Roman"/>
          <w:szCs w:val="24"/>
        </w:rPr>
        <w:t>.</w:t>
      </w:r>
      <w:r w:rsidRPr="008A142C">
        <w:rPr>
          <w:rFonts w:ascii="Times New Roman" w:hAnsi="Times New Roman"/>
          <w:szCs w:val="24"/>
        </w:rPr>
        <w:t xml:space="preserve"> </w:t>
      </w:r>
      <w:r>
        <w:rPr>
          <w:rFonts w:ascii="Times New Roman" w:hAnsi="Times New Roman"/>
          <w:szCs w:val="24"/>
        </w:rPr>
        <w:t xml:space="preserve">However, and in order not to distort the level playing field for market-based activities, </w:t>
      </w:r>
      <w:r w:rsidRPr="007700F9">
        <w:rPr>
          <w:rFonts w:ascii="Times New Roman" w:hAnsi="Times New Roman"/>
          <w:szCs w:val="24"/>
        </w:rPr>
        <w:t>hydrogen infrastructure should be accessible to all on a non</w:t>
      </w:r>
      <w:r>
        <w:rPr>
          <w:rFonts w:ascii="Times New Roman" w:hAnsi="Times New Roman"/>
          <w:szCs w:val="24"/>
        </w:rPr>
        <w:t>-</w:t>
      </w:r>
      <w:r w:rsidRPr="007700F9">
        <w:rPr>
          <w:rFonts w:ascii="Times New Roman" w:hAnsi="Times New Roman"/>
          <w:szCs w:val="24"/>
        </w:rPr>
        <w:t>discriminatory basis</w:t>
      </w:r>
      <w:r>
        <w:rPr>
          <w:rFonts w:ascii="Times New Roman" w:hAnsi="Times New Roman"/>
          <w:szCs w:val="24"/>
        </w:rPr>
        <w:t xml:space="preserve"> and</w:t>
      </w:r>
      <w:r w:rsidRPr="007700F9">
        <w:rPr>
          <w:rFonts w:ascii="Times New Roman" w:hAnsi="Times New Roman"/>
          <w:szCs w:val="24"/>
        </w:rPr>
        <w:t xml:space="preserve"> </w:t>
      </w:r>
      <w:r w:rsidRPr="003E569A">
        <w:rPr>
          <w:rFonts w:ascii="Times New Roman" w:hAnsi="Times New Roman"/>
          <w:szCs w:val="24"/>
        </w:rPr>
        <w:t>network operators must remain neutral</w:t>
      </w:r>
      <w:r>
        <w:rPr>
          <w:rFonts w:ascii="Times New Roman" w:hAnsi="Times New Roman"/>
          <w:szCs w:val="24"/>
        </w:rPr>
        <w:t>.</w:t>
      </w:r>
    </w:p>
    <w:p w:rsidR="00F207BE" w:rsidRDefault="00F207BE" w:rsidP="00F207BE">
      <w:pPr>
        <w:spacing w:after="120"/>
        <w:rPr>
          <w:rFonts w:ascii="Times New Roman" w:hAnsi="Times New Roman"/>
          <w:szCs w:val="24"/>
        </w:rPr>
      </w:pPr>
      <w:r>
        <w:rPr>
          <w:rFonts w:ascii="Times New Roman" w:hAnsi="Times New Roman"/>
          <w:szCs w:val="24"/>
        </w:rPr>
        <w:t>The Commission will consider</w:t>
      </w:r>
      <w:r w:rsidRPr="00CF2600">
        <w:rPr>
          <w:rFonts w:ascii="Times New Roman" w:hAnsi="Times New Roman"/>
          <w:szCs w:val="24"/>
        </w:rPr>
        <w:t xml:space="preserve"> </w:t>
      </w:r>
      <w:r w:rsidRPr="008A142C">
        <w:rPr>
          <w:rFonts w:ascii="Times New Roman" w:hAnsi="Times New Roman"/>
          <w:szCs w:val="24"/>
        </w:rPr>
        <w:t xml:space="preserve">common quality standards or cross-border operational rules </w:t>
      </w:r>
      <w:r>
        <w:rPr>
          <w:rFonts w:ascii="Times New Roman" w:hAnsi="Times New Roman"/>
          <w:szCs w:val="24"/>
        </w:rPr>
        <w:t>t</w:t>
      </w:r>
      <w:r w:rsidRPr="008A142C">
        <w:rPr>
          <w:rFonts w:ascii="Times New Roman" w:hAnsi="Times New Roman"/>
          <w:szCs w:val="24"/>
        </w:rPr>
        <w:t>o ensure interoperabili</w:t>
      </w:r>
      <w:r>
        <w:rPr>
          <w:rFonts w:ascii="Times New Roman" w:hAnsi="Times New Roman"/>
          <w:szCs w:val="24"/>
        </w:rPr>
        <w:t xml:space="preserve">ty of markets for pure hydrogen, as well as a comprehensive terminology for all renewable and low-carbon fuels and </w:t>
      </w:r>
      <w:r w:rsidRPr="00C81FFA">
        <w:rPr>
          <w:rFonts w:ascii="Times New Roman" w:hAnsi="Times New Roman"/>
          <w:szCs w:val="24"/>
        </w:rPr>
        <w:t xml:space="preserve">the certification of </w:t>
      </w:r>
      <w:r>
        <w:rPr>
          <w:rFonts w:ascii="Times New Roman" w:hAnsi="Times New Roman"/>
          <w:szCs w:val="24"/>
        </w:rPr>
        <w:t xml:space="preserve">such fuels. Guarantees of origin for gas </w:t>
      </w:r>
      <w:proofErr w:type="gramStart"/>
      <w:r>
        <w:rPr>
          <w:rFonts w:ascii="Times New Roman" w:hAnsi="Times New Roman"/>
          <w:szCs w:val="24"/>
        </w:rPr>
        <w:t>are already regulated</w:t>
      </w:r>
      <w:proofErr w:type="gramEnd"/>
      <w:r>
        <w:rPr>
          <w:rFonts w:ascii="Times New Roman" w:hAnsi="Times New Roman"/>
          <w:szCs w:val="24"/>
        </w:rPr>
        <w:t xml:space="preserve"> in European legislation and will be mutually recognised.</w:t>
      </w:r>
    </w:p>
    <w:p w:rsidR="00F207BE" w:rsidRDefault="00F207BE" w:rsidP="00F207BE">
      <w:pPr>
        <w:spacing w:after="120"/>
        <w:rPr>
          <w:rFonts w:ascii="Times New Roman" w:hAnsi="Times New Roman"/>
          <w:szCs w:val="24"/>
        </w:rPr>
      </w:pPr>
      <w:r>
        <w:rPr>
          <w:rFonts w:ascii="Times New Roman" w:hAnsi="Times New Roman"/>
          <w:szCs w:val="24"/>
        </w:rPr>
        <w:t xml:space="preserve">Regarding </w:t>
      </w:r>
      <w:r w:rsidRPr="007A09F2">
        <w:rPr>
          <w:rFonts w:ascii="Times New Roman" w:hAnsi="Times New Roman"/>
          <w:b/>
          <w:szCs w:val="24"/>
        </w:rPr>
        <w:t>electrochemical storage</w:t>
      </w:r>
      <w:r>
        <w:rPr>
          <w:rFonts w:ascii="Times New Roman" w:hAnsi="Times New Roman"/>
          <w:szCs w:val="24"/>
        </w:rPr>
        <w:t xml:space="preserve"> (paragraphs 36-48), as recognised by the resolution, the Commission’s strong commitment to batteries is already reflected in the European Battery Alliance </w:t>
      </w:r>
      <w:r w:rsidRPr="00FB1F27">
        <w:rPr>
          <w:rFonts w:ascii="Times New Roman" w:hAnsi="Times New Roman"/>
          <w:szCs w:val="24"/>
        </w:rPr>
        <w:t>and the Batteries Europe Platform</w:t>
      </w:r>
      <w:r>
        <w:rPr>
          <w:rFonts w:ascii="Times New Roman" w:hAnsi="Times New Roman"/>
          <w:szCs w:val="24"/>
        </w:rPr>
        <w:t>, which the Commission will continue to support.</w:t>
      </w:r>
    </w:p>
    <w:p w:rsidR="00F207BE" w:rsidRDefault="00F207BE" w:rsidP="00F207BE">
      <w:pPr>
        <w:spacing w:after="120"/>
        <w:rPr>
          <w:rFonts w:ascii="Times New Roman" w:hAnsi="Times New Roman"/>
          <w:szCs w:val="24"/>
        </w:rPr>
      </w:pPr>
      <w:r>
        <w:rPr>
          <w:rFonts w:ascii="Times New Roman" w:hAnsi="Times New Roman"/>
          <w:szCs w:val="24"/>
        </w:rPr>
        <w:t xml:space="preserve">The strategic imperative for batteries remains the creation of competitive and sustainable industrial value chain in Europe. </w:t>
      </w:r>
      <w:r w:rsidRPr="001C63DC">
        <w:rPr>
          <w:rFonts w:ascii="Times New Roman" w:hAnsi="Times New Roman"/>
          <w:szCs w:val="24"/>
        </w:rPr>
        <w:t>Within Horizon Europe, the Commission is planning</w:t>
      </w:r>
      <w:r w:rsidRPr="005F1E67">
        <w:rPr>
          <w:rFonts w:ascii="Times New Roman" w:hAnsi="Times New Roman"/>
          <w:szCs w:val="24"/>
        </w:rPr>
        <w:t xml:space="preserve"> a Strategic action</w:t>
      </w:r>
      <w:r>
        <w:rPr>
          <w:rFonts w:ascii="Times New Roman" w:hAnsi="Times New Roman"/>
          <w:szCs w:val="24"/>
        </w:rPr>
        <w:t xml:space="preserve"> plan</w:t>
      </w:r>
      <w:r w:rsidRPr="001C63DC">
        <w:rPr>
          <w:rFonts w:ascii="Times New Roman" w:hAnsi="Times New Roman"/>
          <w:szCs w:val="24"/>
        </w:rPr>
        <w:t xml:space="preserve"> to set up a co-programmed R&amp;I partnership on batteries that will cover the entire battery value chain.</w:t>
      </w:r>
      <w:r>
        <w:rPr>
          <w:rFonts w:ascii="Times New Roman" w:hAnsi="Times New Roman"/>
          <w:szCs w:val="24"/>
        </w:rPr>
        <w:t xml:space="preserve"> Batteries R&amp;I Partnership is to establish the world best sustainable and circular European battery value chain to drive the transformation towards a carbon-neutral society. The Partnership ambition is to prepare and equip Europe to manufacture and commercialise by 2030 the next-generation of battery technologies, through results-oriented innovation programme, which will enable the rollout of the zero-emission mobility and renewable energy storage, thus directly contributing to the success of the European Green Deal. For example, the first IPCEI package on t</w:t>
      </w:r>
      <w:r w:rsidRPr="008D070A">
        <w:rPr>
          <w:rFonts w:ascii="Times New Roman" w:hAnsi="Times New Roman"/>
          <w:szCs w:val="24"/>
        </w:rPr>
        <w:t>he battery value chain</w:t>
      </w:r>
      <w:r>
        <w:rPr>
          <w:rFonts w:ascii="Times New Roman" w:hAnsi="Times New Roman"/>
          <w:szCs w:val="24"/>
        </w:rPr>
        <w:t xml:space="preserve"> already involved 7 Member States and 17 companies.</w:t>
      </w:r>
    </w:p>
    <w:p w:rsidR="00F207BE" w:rsidRDefault="00F207BE" w:rsidP="00F207BE">
      <w:pPr>
        <w:spacing w:after="120"/>
        <w:rPr>
          <w:rFonts w:ascii="Times New Roman" w:hAnsi="Times New Roman"/>
          <w:szCs w:val="24"/>
        </w:rPr>
      </w:pPr>
      <w:r w:rsidRPr="007A09F2">
        <w:rPr>
          <w:rFonts w:ascii="Times New Roman" w:hAnsi="Times New Roman"/>
          <w:szCs w:val="24"/>
        </w:rPr>
        <w:t xml:space="preserve">The deployment of energy storage </w:t>
      </w:r>
      <w:r>
        <w:rPr>
          <w:rFonts w:ascii="Times New Roman" w:hAnsi="Times New Roman"/>
          <w:szCs w:val="24"/>
        </w:rPr>
        <w:t>requires analysing the possible</w:t>
      </w:r>
      <w:r w:rsidRPr="007A09F2">
        <w:rPr>
          <w:rFonts w:ascii="Times New Roman" w:hAnsi="Times New Roman"/>
          <w:szCs w:val="24"/>
        </w:rPr>
        <w:t xml:space="preserve"> new dependencies for the EU, in particular regarding the supply of raw materials. Recent EU initiatives to address the dependency on raw materials include the 2017 list of critical raw materials for the EU and the</w:t>
      </w:r>
      <w:r>
        <w:rPr>
          <w:rFonts w:ascii="Times New Roman" w:hAnsi="Times New Roman"/>
          <w:szCs w:val="24"/>
        </w:rPr>
        <w:t xml:space="preserve"> </w:t>
      </w:r>
      <w:proofErr w:type="gramStart"/>
      <w:r>
        <w:rPr>
          <w:rFonts w:ascii="Times New Roman" w:hAnsi="Times New Roman"/>
          <w:szCs w:val="24"/>
        </w:rPr>
        <w:t xml:space="preserve">abovementioned </w:t>
      </w:r>
      <w:r w:rsidRPr="00FB1F27">
        <w:rPr>
          <w:rFonts w:ascii="Times New Roman" w:hAnsi="Times New Roman"/>
          <w:szCs w:val="24"/>
        </w:rPr>
        <w:t>Strategic action plan</w:t>
      </w:r>
      <w:proofErr w:type="gramEnd"/>
      <w:r w:rsidRPr="00FB1F27">
        <w:rPr>
          <w:rFonts w:ascii="Times New Roman" w:hAnsi="Times New Roman"/>
          <w:szCs w:val="24"/>
        </w:rPr>
        <w:t xml:space="preserve"> on batteries</w:t>
      </w:r>
      <w:r>
        <w:rPr>
          <w:rFonts w:ascii="Times New Roman" w:hAnsi="Times New Roman"/>
          <w:szCs w:val="24"/>
        </w:rPr>
        <w:t>, currently under implementation</w:t>
      </w:r>
      <w:r w:rsidRPr="007A09F2">
        <w:rPr>
          <w:rFonts w:ascii="Times New Roman" w:hAnsi="Times New Roman"/>
          <w:szCs w:val="24"/>
        </w:rPr>
        <w:t xml:space="preserve">. Furthermore, the resilience of the supply chains in the energy sector, and in particular the storage industry, </w:t>
      </w:r>
      <w:proofErr w:type="gramStart"/>
      <w:r w:rsidRPr="007A09F2">
        <w:rPr>
          <w:rFonts w:ascii="Times New Roman" w:hAnsi="Times New Roman"/>
          <w:szCs w:val="24"/>
        </w:rPr>
        <w:t>should be assessed</w:t>
      </w:r>
      <w:proofErr w:type="gramEnd"/>
      <w:r w:rsidRPr="007A09F2">
        <w:rPr>
          <w:rFonts w:ascii="Times New Roman" w:hAnsi="Times New Roman"/>
          <w:szCs w:val="24"/>
        </w:rPr>
        <w:t xml:space="preserve">. </w:t>
      </w:r>
      <w:r>
        <w:rPr>
          <w:rFonts w:ascii="Times New Roman" w:hAnsi="Times New Roman"/>
          <w:szCs w:val="24"/>
        </w:rPr>
        <w:t>I</w:t>
      </w:r>
      <w:r w:rsidRPr="007A09F2">
        <w:rPr>
          <w:rFonts w:ascii="Times New Roman" w:hAnsi="Times New Roman"/>
          <w:szCs w:val="24"/>
        </w:rPr>
        <w:t>n this regard, the Commission has also launched a study on the resilience of the critical supply chains for equipment (covering renewable energy sources and grid technologies).</w:t>
      </w:r>
    </w:p>
    <w:p w:rsidR="00F207BE" w:rsidRDefault="00F207BE" w:rsidP="00F207BE">
      <w:pPr>
        <w:spacing w:after="120"/>
        <w:rPr>
          <w:rFonts w:ascii="Times New Roman" w:hAnsi="Times New Roman"/>
          <w:szCs w:val="24"/>
        </w:rPr>
      </w:pPr>
      <w:proofErr w:type="gramStart"/>
      <w:r>
        <w:rPr>
          <w:rFonts w:ascii="Times New Roman" w:hAnsi="Times New Roman"/>
          <w:szCs w:val="24"/>
        </w:rPr>
        <w:t>As expressed in the Energy System Integration Strategy, f</w:t>
      </w:r>
      <w:r w:rsidRPr="00613D0A">
        <w:rPr>
          <w:rFonts w:ascii="Times New Roman" w:hAnsi="Times New Roman"/>
          <w:szCs w:val="24"/>
        </w:rPr>
        <w:t>urther measures are needed to ensure that customers’ decisions to save, switch or share energy properly reflect the life cycle energy use and footprint of the different energy carriers, including extraction, production and reuse or recycling of raw materials, conversion, transformation, transportation and storage of energy, and the growing share of renewables in electricity suppl</w:t>
      </w:r>
      <w:r>
        <w:rPr>
          <w:rFonts w:ascii="Times New Roman" w:hAnsi="Times New Roman"/>
          <w:szCs w:val="24"/>
        </w:rPr>
        <w:t>y.</w:t>
      </w:r>
      <w:proofErr w:type="gramEnd"/>
    </w:p>
    <w:p w:rsidR="00F207BE" w:rsidRPr="00883255" w:rsidRDefault="00F207BE" w:rsidP="00F207BE">
      <w:pPr>
        <w:spacing w:after="120"/>
        <w:rPr>
          <w:rFonts w:ascii="Times New Roman" w:hAnsi="Times New Roman"/>
          <w:szCs w:val="24"/>
        </w:rPr>
      </w:pPr>
      <w:r>
        <w:rPr>
          <w:rFonts w:ascii="Times New Roman" w:hAnsi="Times New Roman"/>
          <w:szCs w:val="24"/>
        </w:rPr>
        <w:lastRenderedPageBreak/>
        <w:t xml:space="preserve">Regarding </w:t>
      </w:r>
      <w:r>
        <w:rPr>
          <w:rFonts w:ascii="Times New Roman" w:hAnsi="Times New Roman"/>
          <w:b/>
          <w:szCs w:val="24"/>
        </w:rPr>
        <w:t>mechanical</w:t>
      </w:r>
      <w:r w:rsidRPr="007A09F2">
        <w:rPr>
          <w:rFonts w:ascii="Times New Roman" w:hAnsi="Times New Roman"/>
          <w:b/>
          <w:szCs w:val="24"/>
        </w:rPr>
        <w:t xml:space="preserve"> storage</w:t>
      </w:r>
      <w:r>
        <w:rPr>
          <w:rFonts w:ascii="Times New Roman" w:hAnsi="Times New Roman"/>
          <w:szCs w:val="24"/>
        </w:rPr>
        <w:t xml:space="preserve"> (paragraphs 49-52)</w:t>
      </w:r>
      <w:proofErr w:type="gramStart"/>
      <w:r>
        <w:rPr>
          <w:rFonts w:ascii="Times New Roman" w:hAnsi="Times New Roman"/>
          <w:szCs w:val="24"/>
        </w:rPr>
        <w:t>,</w:t>
      </w:r>
      <w:proofErr w:type="gramEnd"/>
      <w:r>
        <w:rPr>
          <w:rFonts w:ascii="Times New Roman" w:hAnsi="Times New Roman"/>
          <w:szCs w:val="24"/>
        </w:rPr>
        <w:t xml:space="preserve"> pumped hydro storage is a key storage technology for the energy system, which amounts to more than 90% of the installed storage capacity in the EU</w:t>
      </w:r>
      <w:r w:rsidRPr="007A09F2">
        <w:rPr>
          <w:rFonts w:ascii="Times New Roman" w:hAnsi="Times New Roman"/>
          <w:szCs w:val="24"/>
        </w:rPr>
        <w:t xml:space="preserve">. </w:t>
      </w:r>
      <w:r>
        <w:rPr>
          <w:rFonts w:ascii="Times New Roman" w:hAnsi="Times New Roman"/>
          <w:szCs w:val="24"/>
        </w:rPr>
        <w:t>A possible strategy on energy storage could look at the</w:t>
      </w:r>
      <w:r w:rsidRPr="008A142C">
        <w:rPr>
          <w:rFonts w:ascii="Times New Roman" w:hAnsi="Times New Roman"/>
          <w:szCs w:val="24"/>
        </w:rPr>
        <w:t xml:space="preserve"> relevant legislation and </w:t>
      </w:r>
      <w:r>
        <w:rPr>
          <w:rFonts w:ascii="Times New Roman" w:hAnsi="Times New Roman"/>
          <w:szCs w:val="24"/>
        </w:rPr>
        <w:t>consider the need for</w:t>
      </w:r>
      <w:r w:rsidRPr="008A142C">
        <w:rPr>
          <w:rFonts w:ascii="Times New Roman" w:hAnsi="Times New Roman"/>
          <w:szCs w:val="24"/>
        </w:rPr>
        <w:t xml:space="preserve"> changes</w:t>
      </w:r>
      <w:r>
        <w:rPr>
          <w:rFonts w:ascii="Times New Roman" w:hAnsi="Times New Roman"/>
          <w:szCs w:val="24"/>
        </w:rPr>
        <w:t xml:space="preserve"> while ensuring,</w:t>
      </w:r>
      <w:r w:rsidRPr="008A142C">
        <w:rPr>
          <w:rFonts w:ascii="Times New Roman" w:hAnsi="Times New Roman"/>
          <w:szCs w:val="24"/>
        </w:rPr>
        <w:t xml:space="preserve"> where necessary, </w:t>
      </w:r>
      <w:r>
        <w:rPr>
          <w:rFonts w:ascii="Times New Roman" w:hAnsi="Times New Roman"/>
          <w:szCs w:val="24"/>
        </w:rPr>
        <w:t>that negative</w:t>
      </w:r>
      <w:r w:rsidRPr="008A142C">
        <w:rPr>
          <w:rFonts w:ascii="Times New Roman" w:hAnsi="Times New Roman"/>
          <w:szCs w:val="24"/>
        </w:rPr>
        <w:t xml:space="preserve"> environmental impact</w:t>
      </w:r>
      <w:r>
        <w:rPr>
          <w:rFonts w:ascii="Times New Roman" w:hAnsi="Times New Roman"/>
          <w:szCs w:val="24"/>
        </w:rPr>
        <w:t>s are minimised.</w:t>
      </w:r>
    </w:p>
    <w:p w:rsidR="00F207BE" w:rsidRPr="00C54255" w:rsidRDefault="00F207BE" w:rsidP="00F207BE">
      <w:pPr>
        <w:spacing w:after="120"/>
        <w:rPr>
          <w:rFonts w:ascii="Times New Roman" w:hAnsi="Times New Roman"/>
          <w:szCs w:val="24"/>
        </w:rPr>
      </w:pPr>
      <w:proofErr w:type="gramStart"/>
      <w:r>
        <w:rPr>
          <w:rFonts w:ascii="Times New Roman" w:hAnsi="Times New Roman"/>
          <w:szCs w:val="24"/>
        </w:rPr>
        <w:t xml:space="preserve">Regarding </w:t>
      </w:r>
      <w:r>
        <w:rPr>
          <w:rFonts w:ascii="Times New Roman" w:hAnsi="Times New Roman"/>
          <w:b/>
          <w:szCs w:val="24"/>
        </w:rPr>
        <w:t>thermal</w:t>
      </w:r>
      <w:r w:rsidRPr="007A09F2">
        <w:rPr>
          <w:rFonts w:ascii="Times New Roman" w:hAnsi="Times New Roman"/>
          <w:b/>
          <w:szCs w:val="24"/>
        </w:rPr>
        <w:t xml:space="preserve"> storage</w:t>
      </w:r>
      <w:r>
        <w:rPr>
          <w:rFonts w:ascii="Times New Roman" w:hAnsi="Times New Roman"/>
          <w:szCs w:val="24"/>
        </w:rPr>
        <w:t xml:space="preserve"> (paragraphs 53-60), the Commission will </w:t>
      </w:r>
      <w:r w:rsidRPr="00E37328">
        <w:rPr>
          <w:rFonts w:ascii="Times New Roman" w:hAnsi="Times New Roman"/>
          <w:szCs w:val="24"/>
        </w:rPr>
        <w:t>promote</w:t>
      </w:r>
      <w:r>
        <w:rPr>
          <w:rFonts w:ascii="Times New Roman" w:hAnsi="Times New Roman"/>
          <w:szCs w:val="24"/>
        </w:rPr>
        <w:t xml:space="preserve"> the development of: 1) </w:t>
      </w:r>
      <w:r w:rsidRPr="00C54255">
        <w:rPr>
          <w:rFonts w:ascii="Times New Roman" w:hAnsi="Times New Roman"/>
          <w:szCs w:val="24"/>
        </w:rPr>
        <w:t xml:space="preserve">Thermal energy storage </w:t>
      </w:r>
      <w:r>
        <w:rPr>
          <w:rFonts w:ascii="Times New Roman" w:hAnsi="Times New Roman"/>
          <w:szCs w:val="24"/>
        </w:rPr>
        <w:t xml:space="preserve">(for space heating, hot tap water, cooling) </w:t>
      </w:r>
      <w:r w:rsidRPr="00C54255">
        <w:rPr>
          <w:rFonts w:ascii="Times New Roman" w:hAnsi="Times New Roman"/>
          <w:szCs w:val="24"/>
        </w:rPr>
        <w:t>for electricity load shifting</w:t>
      </w:r>
      <w:r>
        <w:rPr>
          <w:rFonts w:ascii="Times New Roman" w:hAnsi="Times New Roman"/>
          <w:szCs w:val="24"/>
        </w:rPr>
        <w:t>, which</w:t>
      </w:r>
      <w:r w:rsidRPr="00C54255">
        <w:rPr>
          <w:rFonts w:ascii="Times New Roman" w:hAnsi="Times New Roman"/>
          <w:szCs w:val="24"/>
        </w:rPr>
        <w:t xml:space="preserve"> reduces the demand for electricity from the grid at peak times</w:t>
      </w:r>
      <w:r>
        <w:rPr>
          <w:rFonts w:ascii="Times New Roman" w:hAnsi="Times New Roman"/>
          <w:szCs w:val="24"/>
        </w:rPr>
        <w:t xml:space="preserve">; 2) </w:t>
      </w:r>
      <w:r w:rsidRPr="00C54255">
        <w:rPr>
          <w:rFonts w:ascii="Times New Roman" w:hAnsi="Times New Roman"/>
          <w:szCs w:val="24"/>
        </w:rPr>
        <w:t>Intermediate period compact thermal energy storage in buildings</w:t>
      </w:r>
      <w:r>
        <w:rPr>
          <w:rFonts w:ascii="Times New Roman" w:hAnsi="Times New Roman"/>
          <w:szCs w:val="24"/>
        </w:rPr>
        <w:t>, which</w:t>
      </w:r>
      <w:r w:rsidRPr="00C54255">
        <w:rPr>
          <w:rFonts w:ascii="Times New Roman" w:hAnsi="Times New Roman"/>
          <w:szCs w:val="24"/>
        </w:rPr>
        <w:t xml:space="preserve"> optimi</w:t>
      </w:r>
      <w:r>
        <w:rPr>
          <w:rFonts w:ascii="Times New Roman" w:hAnsi="Times New Roman"/>
          <w:szCs w:val="24"/>
        </w:rPr>
        <w:t>s</w:t>
      </w:r>
      <w:r w:rsidRPr="00C54255">
        <w:rPr>
          <w:rFonts w:ascii="Times New Roman" w:hAnsi="Times New Roman"/>
          <w:szCs w:val="24"/>
        </w:rPr>
        <w:t xml:space="preserve">e and increase the use of varying solar and wind sources in buildings </w:t>
      </w:r>
      <w:r>
        <w:rPr>
          <w:rFonts w:ascii="Times New Roman" w:hAnsi="Times New Roman"/>
          <w:szCs w:val="24"/>
        </w:rPr>
        <w:t>that</w:t>
      </w:r>
      <w:r w:rsidRPr="00C54255">
        <w:rPr>
          <w:rFonts w:ascii="Times New Roman" w:hAnsi="Times New Roman"/>
          <w:szCs w:val="24"/>
        </w:rPr>
        <w:t xml:space="preserve"> do not have district heating and cooling network connectio</w:t>
      </w:r>
      <w:r>
        <w:rPr>
          <w:rFonts w:ascii="Times New Roman" w:hAnsi="Times New Roman"/>
          <w:szCs w:val="24"/>
        </w:rPr>
        <w:t xml:space="preserve">ns; 3) </w:t>
      </w:r>
      <w:r w:rsidRPr="00C54255">
        <w:rPr>
          <w:rFonts w:ascii="Times New Roman" w:hAnsi="Times New Roman"/>
          <w:szCs w:val="24"/>
        </w:rPr>
        <w:t xml:space="preserve">Large scale </w:t>
      </w:r>
      <w:r>
        <w:rPr>
          <w:rFonts w:ascii="Times New Roman" w:hAnsi="Times New Roman"/>
          <w:szCs w:val="24"/>
        </w:rPr>
        <w:t>Thermal Energy Storage</w:t>
      </w:r>
      <w:r w:rsidRPr="00C54255">
        <w:rPr>
          <w:rFonts w:ascii="Times New Roman" w:hAnsi="Times New Roman"/>
          <w:szCs w:val="24"/>
        </w:rPr>
        <w:t xml:space="preserve"> for district heating and cooling by incorporating/connecting also heat pumps and </w:t>
      </w:r>
      <w:r>
        <w:rPr>
          <w:rFonts w:ascii="Times New Roman" w:hAnsi="Times New Roman"/>
          <w:szCs w:val="24"/>
        </w:rPr>
        <w:t>c</w:t>
      </w:r>
      <w:r w:rsidRPr="00C54255">
        <w:rPr>
          <w:rFonts w:ascii="Times New Roman" w:hAnsi="Times New Roman"/>
          <w:szCs w:val="24"/>
        </w:rPr>
        <w:t>ogeneration units.</w:t>
      </w:r>
      <w:proofErr w:type="gramEnd"/>
    </w:p>
    <w:p w:rsidR="00F207BE" w:rsidRPr="00613D0A" w:rsidRDefault="00F207BE" w:rsidP="00F207BE">
      <w:pPr>
        <w:spacing w:after="120"/>
        <w:rPr>
          <w:rFonts w:ascii="Times New Roman" w:hAnsi="Times New Roman"/>
          <w:szCs w:val="24"/>
        </w:rPr>
      </w:pPr>
      <w:r>
        <w:rPr>
          <w:rFonts w:ascii="Times New Roman" w:hAnsi="Times New Roman"/>
          <w:szCs w:val="24"/>
        </w:rPr>
        <w:t>As expressed in the Energy System Integration Strategy, the Commission will f</w:t>
      </w:r>
      <w:r w:rsidRPr="00E37328">
        <w:rPr>
          <w:rFonts w:ascii="Times New Roman" w:hAnsi="Times New Roman"/>
          <w:szCs w:val="24"/>
        </w:rPr>
        <w:t>acilitate the reuse of waste heat from in</w:t>
      </w:r>
      <w:r>
        <w:rPr>
          <w:rFonts w:ascii="Times New Roman" w:hAnsi="Times New Roman"/>
          <w:szCs w:val="24"/>
        </w:rPr>
        <w:t>dustrial sites and a</w:t>
      </w:r>
      <w:r w:rsidRPr="00E37328">
        <w:rPr>
          <w:rFonts w:ascii="Times New Roman" w:hAnsi="Times New Roman"/>
          <w:szCs w:val="24"/>
        </w:rPr>
        <w:t xml:space="preserve">ccelerate investment in smart, highly-efficient, renewables-based district heating and cooling networks, </w:t>
      </w:r>
      <w:r>
        <w:rPr>
          <w:rFonts w:ascii="Times New Roman" w:hAnsi="Times New Roman"/>
          <w:szCs w:val="24"/>
        </w:rPr>
        <w:t xml:space="preserve">including through the application of the </w:t>
      </w:r>
      <w:r w:rsidRPr="00E906BB">
        <w:rPr>
          <w:rFonts w:ascii="Times New Roman" w:hAnsi="Times New Roman"/>
          <w:szCs w:val="24"/>
        </w:rPr>
        <w:t>energy-efficiency-first</w:t>
      </w:r>
      <w:r>
        <w:rPr>
          <w:rFonts w:ascii="Times New Roman" w:hAnsi="Times New Roman"/>
          <w:szCs w:val="24"/>
        </w:rPr>
        <w:t xml:space="preserve"> principle and, </w:t>
      </w:r>
      <w:r w:rsidRPr="00E37328">
        <w:rPr>
          <w:rFonts w:ascii="Times New Roman" w:hAnsi="Times New Roman"/>
          <w:szCs w:val="24"/>
        </w:rPr>
        <w:t>if appropriate</w:t>
      </w:r>
      <w:r>
        <w:rPr>
          <w:rFonts w:ascii="Times New Roman" w:hAnsi="Times New Roman"/>
          <w:szCs w:val="24"/>
        </w:rPr>
        <w:t>,</w:t>
      </w:r>
      <w:r w:rsidRPr="00E37328">
        <w:rPr>
          <w:rFonts w:ascii="Times New Roman" w:hAnsi="Times New Roman"/>
          <w:szCs w:val="24"/>
        </w:rPr>
        <w:t xml:space="preserve"> by proposing stronger obligations through the revision of the Renewable Energy Directive and </w:t>
      </w:r>
      <w:r>
        <w:rPr>
          <w:rFonts w:ascii="Times New Roman" w:hAnsi="Times New Roman"/>
          <w:szCs w:val="24"/>
        </w:rPr>
        <w:t>the Energy Efficiency Directive.</w:t>
      </w:r>
    </w:p>
    <w:p w:rsidR="00F207BE" w:rsidRPr="00A43BC3" w:rsidRDefault="00F207BE" w:rsidP="00F207BE">
      <w:pPr>
        <w:spacing w:after="120"/>
        <w:rPr>
          <w:rFonts w:ascii="Times New Roman" w:hAnsi="Times New Roman"/>
          <w:szCs w:val="24"/>
        </w:rPr>
      </w:pPr>
      <w:r w:rsidRPr="008D070A">
        <w:rPr>
          <w:rFonts w:ascii="Times New Roman" w:hAnsi="Times New Roman"/>
          <w:szCs w:val="24"/>
        </w:rPr>
        <w:t xml:space="preserve">In addition, the European Commission </w:t>
      </w:r>
      <w:r>
        <w:rPr>
          <w:rFonts w:ascii="Times New Roman" w:hAnsi="Times New Roman"/>
          <w:szCs w:val="24"/>
        </w:rPr>
        <w:t>will</w:t>
      </w:r>
      <w:r w:rsidRPr="008D070A">
        <w:rPr>
          <w:rFonts w:ascii="Times New Roman" w:hAnsi="Times New Roman"/>
          <w:szCs w:val="24"/>
        </w:rPr>
        <w:t xml:space="preserve"> explore the potential of storing energy in data processing very </w:t>
      </w:r>
      <w:r>
        <w:rPr>
          <w:rFonts w:ascii="Times New Roman" w:hAnsi="Times New Roman"/>
          <w:szCs w:val="24"/>
        </w:rPr>
        <w:t>similar to</w:t>
      </w:r>
      <w:r w:rsidRPr="008D070A">
        <w:rPr>
          <w:rFonts w:ascii="Times New Roman" w:hAnsi="Times New Roman"/>
          <w:szCs w:val="24"/>
        </w:rPr>
        <w:t xml:space="preserve"> the thermal storage in boilers. The </w:t>
      </w:r>
      <w:r>
        <w:rPr>
          <w:rFonts w:ascii="Times New Roman" w:hAnsi="Times New Roman"/>
          <w:szCs w:val="24"/>
        </w:rPr>
        <w:t>large</w:t>
      </w:r>
      <w:r w:rsidRPr="008D070A">
        <w:rPr>
          <w:rFonts w:ascii="Times New Roman" w:hAnsi="Times New Roman"/>
          <w:szCs w:val="24"/>
        </w:rPr>
        <w:t xml:space="preserve"> flexibility potential of the exponentially increasing digital sector</w:t>
      </w:r>
      <w:r>
        <w:rPr>
          <w:rFonts w:ascii="Times New Roman" w:hAnsi="Times New Roman"/>
          <w:szCs w:val="24"/>
        </w:rPr>
        <w:t>,</w:t>
      </w:r>
      <w:r w:rsidRPr="008D070A">
        <w:rPr>
          <w:rFonts w:ascii="Times New Roman" w:hAnsi="Times New Roman"/>
          <w:szCs w:val="24"/>
        </w:rPr>
        <w:t xml:space="preserve"> and more specifically the data centres</w:t>
      </w:r>
      <w:r>
        <w:rPr>
          <w:rFonts w:ascii="Times New Roman" w:hAnsi="Times New Roman"/>
          <w:szCs w:val="24"/>
        </w:rPr>
        <w:t>,</w:t>
      </w:r>
      <w:r w:rsidRPr="008D070A">
        <w:rPr>
          <w:rFonts w:ascii="Times New Roman" w:hAnsi="Times New Roman"/>
          <w:szCs w:val="24"/>
        </w:rPr>
        <w:t xml:space="preserve"> as well as the potential grid storage use of the integrated data centre back-up storage </w:t>
      </w:r>
      <w:proofErr w:type="gramStart"/>
      <w:r w:rsidRPr="008D070A">
        <w:rPr>
          <w:rFonts w:ascii="Times New Roman" w:hAnsi="Times New Roman"/>
          <w:szCs w:val="24"/>
        </w:rPr>
        <w:t>would be thoroughly investigated</w:t>
      </w:r>
      <w:proofErr w:type="gramEnd"/>
      <w:r w:rsidRPr="008D070A">
        <w:rPr>
          <w:rFonts w:ascii="Times New Roman" w:hAnsi="Times New Roman"/>
          <w:szCs w:val="24"/>
        </w:rPr>
        <w:t>.</w:t>
      </w:r>
    </w:p>
    <w:p w:rsidR="00F207BE" w:rsidRDefault="00F207BE" w:rsidP="00F207BE">
      <w:pPr>
        <w:spacing w:after="120"/>
        <w:rPr>
          <w:rFonts w:ascii="Times New Roman" w:hAnsi="Times New Roman"/>
          <w:b/>
          <w:szCs w:val="24"/>
        </w:rPr>
      </w:pPr>
      <w:r w:rsidRPr="00CD292E">
        <w:rPr>
          <w:rFonts w:ascii="Times New Roman" w:hAnsi="Times New Roman"/>
          <w:b/>
          <w:szCs w:val="24"/>
        </w:rPr>
        <w:t xml:space="preserve">Decentralised Storage </w:t>
      </w:r>
      <w:r>
        <w:rPr>
          <w:rFonts w:ascii="Times New Roman" w:hAnsi="Times New Roman"/>
          <w:b/>
          <w:szCs w:val="24"/>
        </w:rPr>
        <w:t>and</w:t>
      </w:r>
      <w:r w:rsidRPr="00CD292E">
        <w:rPr>
          <w:rFonts w:ascii="Times New Roman" w:hAnsi="Times New Roman"/>
          <w:b/>
          <w:szCs w:val="24"/>
        </w:rPr>
        <w:t xml:space="preserve"> active consumers </w:t>
      </w:r>
      <w:r>
        <w:rPr>
          <w:rFonts w:ascii="Times New Roman" w:hAnsi="Times New Roman"/>
          <w:b/>
          <w:szCs w:val="24"/>
        </w:rPr>
        <w:t>(paragraphs 61-64)</w:t>
      </w:r>
    </w:p>
    <w:p w:rsidR="00F207BE" w:rsidRPr="00A43BC3" w:rsidRDefault="00F207BE" w:rsidP="00F207BE">
      <w:pPr>
        <w:spacing w:after="120"/>
        <w:rPr>
          <w:rFonts w:ascii="Times New Roman" w:hAnsi="Times New Roman"/>
          <w:szCs w:val="24"/>
        </w:rPr>
      </w:pPr>
      <w:r w:rsidRPr="00A43BC3">
        <w:rPr>
          <w:rFonts w:ascii="Times New Roman" w:hAnsi="Times New Roman"/>
          <w:szCs w:val="24"/>
        </w:rPr>
        <w:t>Behind-the-meter storage is becoming a key element for flexibility and security of supply of the system. In order to support its development, the Commission will ensure the correct implementation of the CE</w:t>
      </w:r>
      <w:r>
        <w:rPr>
          <w:rFonts w:ascii="Times New Roman" w:hAnsi="Times New Roman"/>
          <w:szCs w:val="24"/>
        </w:rPr>
        <w:t>A</w:t>
      </w:r>
      <w:r w:rsidRPr="00A43BC3">
        <w:rPr>
          <w:rFonts w:ascii="Times New Roman" w:hAnsi="Times New Roman"/>
          <w:szCs w:val="24"/>
        </w:rPr>
        <w:t>P as well as the future development of a Network Code on Demand Side Flexibility, including the potential of electric vehicles</w:t>
      </w:r>
      <w:r>
        <w:rPr>
          <w:rFonts w:ascii="Times New Roman" w:hAnsi="Times New Roman"/>
          <w:szCs w:val="24"/>
        </w:rPr>
        <w:t xml:space="preserve"> and the digitalisation of t</w:t>
      </w:r>
      <w:r w:rsidRPr="00FC2A2F">
        <w:rPr>
          <w:rFonts w:ascii="Times New Roman" w:hAnsi="Times New Roman"/>
          <w:szCs w:val="24"/>
        </w:rPr>
        <w:t xml:space="preserve">he front-end of the storage </w:t>
      </w:r>
      <w:r>
        <w:rPr>
          <w:rFonts w:ascii="Times New Roman" w:hAnsi="Times New Roman"/>
          <w:szCs w:val="24"/>
        </w:rPr>
        <w:t xml:space="preserve">facilities </w:t>
      </w:r>
      <w:r w:rsidRPr="008D070A">
        <w:rPr>
          <w:rFonts w:ascii="Times New Roman" w:hAnsi="Times New Roman"/>
          <w:szCs w:val="24"/>
        </w:rPr>
        <w:t>as well as the end</w:t>
      </w:r>
      <w:r>
        <w:rPr>
          <w:rFonts w:ascii="Times New Roman" w:hAnsi="Times New Roman"/>
          <w:szCs w:val="24"/>
        </w:rPr>
        <w:t>-to-</w:t>
      </w:r>
      <w:r w:rsidRPr="008D070A">
        <w:rPr>
          <w:rFonts w:ascii="Times New Roman" w:hAnsi="Times New Roman"/>
          <w:szCs w:val="24"/>
        </w:rPr>
        <w:t>end demand-side flexibility chain. This digitalisation would comply with commonly agreed standards aligned among the standards developing organisations</w:t>
      </w:r>
      <w:r w:rsidRPr="00A43BC3">
        <w:rPr>
          <w:rFonts w:ascii="Times New Roman" w:hAnsi="Times New Roman"/>
          <w:szCs w:val="24"/>
        </w:rPr>
        <w:t>.</w:t>
      </w:r>
    </w:p>
    <w:p w:rsidR="00A05781" w:rsidRDefault="00F207BE" w:rsidP="00F207BE">
      <w:proofErr w:type="gramStart"/>
      <w:r w:rsidRPr="00A43BC3">
        <w:rPr>
          <w:rFonts w:ascii="Times New Roman" w:hAnsi="Times New Roman"/>
          <w:szCs w:val="24"/>
        </w:rPr>
        <w:t xml:space="preserve">As indicated in the Energy System Integration </w:t>
      </w:r>
      <w:r>
        <w:rPr>
          <w:rFonts w:ascii="Times New Roman" w:hAnsi="Times New Roman"/>
          <w:szCs w:val="24"/>
        </w:rPr>
        <w:t>S</w:t>
      </w:r>
      <w:r w:rsidRPr="00A43BC3">
        <w:rPr>
          <w:rFonts w:ascii="Times New Roman" w:hAnsi="Times New Roman"/>
          <w:szCs w:val="24"/>
        </w:rPr>
        <w:t xml:space="preserve">trategy, the revision of the Alternative Fuels Infrastructure Directive will serve to accelerate the roll-out of </w:t>
      </w:r>
      <w:r>
        <w:rPr>
          <w:rFonts w:ascii="Times New Roman" w:hAnsi="Times New Roman"/>
          <w:szCs w:val="24"/>
        </w:rPr>
        <w:t xml:space="preserve">zero-emission vehicles, including </w:t>
      </w:r>
      <w:r w:rsidRPr="00A43BC3">
        <w:rPr>
          <w:rFonts w:ascii="Times New Roman" w:hAnsi="Times New Roman"/>
          <w:szCs w:val="24"/>
        </w:rPr>
        <w:t xml:space="preserve">electric </w:t>
      </w:r>
      <w:r>
        <w:rPr>
          <w:rFonts w:ascii="Times New Roman" w:hAnsi="Times New Roman"/>
          <w:szCs w:val="24"/>
        </w:rPr>
        <w:t>ones</w:t>
      </w:r>
      <w:r w:rsidRPr="00A43BC3">
        <w:rPr>
          <w:rFonts w:ascii="Times New Roman" w:hAnsi="Times New Roman"/>
          <w:szCs w:val="24"/>
        </w:rPr>
        <w:t>, strengthen interoperability requirements, ensure adequate customer information, cross-border usability of charging infrastructure, and the efficient integration of electric vehicles in the electricity system</w:t>
      </w:r>
      <w:r>
        <w:rPr>
          <w:rFonts w:ascii="Times New Roman" w:hAnsi="Times New Roman"/>
          <w:szCs w:val="24"/>
        </w:rPr>
        <w:t>, including, where appropriate, the facilitation of smart charging and development of vehicle-to-grid potential</w:t>
      </w:r>
      <w:r w:rsidRPr="00A43BC3">
        <w:rPr>
          <w:rFonts w:ascii="Times New Roman" w:hAnsi="Times New Roman"/>
          <w:szCs w:val="24"/>
        </w:rPr>
        <w:t>.</w:t>
      </w:r>
      <w:proofErr w:type="gramEnd"/>
      <w:r w:rsidRPr="00A43BC3">
        <w:rPr>
          <w:rFonts w:ascii="Times New Roman" w:hAnsi="Times New Roman"/>
          <w:szCs w:val="24"/>
        </w:rPr>
        <w:t xml:space="preserve"> </w:t>
      </w:r>
      <w:r>
        <w:rPr>
          <w:rFonts w:ascii="Times New Roman" w:hAnsi="Times New Roman"/>
          <w:szCs w:val="24"/>
        </w:rPr>
        <w:t xml:space="preserve">In the same Strategy, the crucial role of digitalisation for the management of decentralised energy solutions and flexible energy consumption </w:t>
      </w:r>
      <w:proofErr w:type="gramStart"/>
      <w:r>
        <w:rPr>
          <w:rFonts w:ascii="Times New Roman" w:hAnsi="Times New Roman"/>
          <w:szCs w:val="24"/>
        </w:rPr>
        <w:t>has been highlighted</w:t>
      </w:r>
      <w:proofErr w:type="gramEnd"/>
      <w:r>
        <w:rPr>
          <w:rFonts w:ascii="Times New Roman" w:hAnsi="Times New Roman"/>
          <w:szCs w:val="24"/>
        </w:rPr>
        <w:t xml:space="preserve">. </w:t>
      </w:r>
      <w:r w:rsidRPr="00A43BC3">
        <w:rPr>
          <w:rFonts w:ascii="Times New Roman" w:hAnsi="Times New Roman"/>
          <w:szCs w:val="24"/>
        </w:rPr>
        <w:t>In addition, as part of the Renovation Wave initiative, several actions will promote the further electrification of buildings</w:t>
      </w:r>
      <w:r>
        <w:rPr>
          <w:rFonts w:ascii="Times New Roman" w:hAnsi="Times New Roman"/>
          <w:szCs w:val="24"/>
        </w:rPr>
        <w:t xml:space="preserve">, </w:t>
      </w:r>
      <w:r w:rsidRPr="00E37328">
        <w:rPr>
          <w:rFonts w:ascii="Times New Roman" w:hAnsi="Times New Roman"/>
          <w:szCs w:val="24"/>
        </w:rPr>
        <w:t>the deployment o</w:t>
      </w:r>
      <w:r>
        <w:rPr>
          <w:rFonts w:ascii="Times New Roman" w:hAnsi="Times New Roman"/>
          <w:szCs w:val="24"/>
        </w:rPr>
        <w:t xml:space="preserve">f on-buildings renewable energy and </w:t>
      </w:r>
      <w:r w:rsidRPr="00A43BC3">
        <w:rPr>
          <w:rFonts w:ascii="Times New Roman" w:hAnsi="Times New Roman"/>
          <w:szCs w:val="24"/>
        </w:rPr>
        <w:t>the roll-out of electric vehicle charging points.</w:t>
      </w:r>
      <w:bookmarkStart w:id="0" w:name="_GoBack"/>
      <w:bookmarkEnd w:id="0"/>
    </w:p>
    <w:sectPr w:rsidR="00A057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7BE" w:rsidRDefault="00F207BE" w:rsidP="00F207BE">
      <w:pPr>
        <w:spacing w:after="0"/>
      </w:pPr>
      <w:r>
        <w:separator/>
      </w:r>
    </w:p>
  </w:endnote>
  <w:endnote w:type="continuationSeparator" w:id="0">
    <w:p w:rsidR="00F207BE" w:rsidRDefault="00F207BE" w:rsidP="00F207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7BE" w:rsidRDefault="00F207BE" w:rsidP="00F207BE">
      <w:pPr>
        <w:spacing w:after="0"/>
      </w:pPr>
      <w:r>
        <w:separator/>
      </w:r>
    </w:p>
  </w:footnote>
  <w:footnote w:type="continuationSeparator" w:id="0">
    <w:p w:rsidR="00F207BE" w:rsidRDefault="00F207BE" w:rsidP="00F207BE">
      <w:pPr>
        <w:spacing w:after="0"/>
      </w:pPr>
      <w:r>
        <w:continuationSeparator/>
      </w:r>
    </w:p>
  </w:footnote>
  <w:footnote w:id="1">
    <w:p w:rsidR="00F207BE" w:rsidRPr="00140D91" w:rsidRDefault="00F207BE" w:rsidP="00F207BE">
      <w:pPr>
        <w:pStyle w:val="FootnoteText"/>
        <w:spacing w:after="0"/>
      </w:pPr>
      <w:r>
        <w:rPr>
          <w:rStyle w:val="FootnoteReference"/>
        </w:rPr>
        <w:footnoteRef/>
      </w:r>
      <w:r>
        <w:t xml:space="preserve"> </w:t>
      </w:r>
      <w:r>
        <w:tab/>
      </w:r>
      <w:r>
        <w:rPr>
          <w:rFonts w:ascii="Times New Roman" w:hAnsi="Times New Roman"/>
        </w:rPr>
        <w:t>COM(2020) 299 final</w:t>
      </w:r>
    </w:p>
  </w:footnote>
  <w:footnote w:id="2">
    <w:p w:rsidR="00F207BE" w:rsidRPr="00140D91" w:rsidRDefault="00F207BE" w:rsidP="00F207BE">
      <w:pPr>
        <w:pStyle w:val="FootnoteText"/>
        <w:spacing w:after="120"/>
        <w:rPr>
          <w:rFonts w:ascii="Times New Roman" w:hAnsi="Times New Roman"/>
        </w:rPr>
      </w:pPr>
      <w:r>
        <w:rPr>
          <w:rStyle w:val="FootnoteReference"/>
        </w:rPr>
        <w:footnoteRef/>
      </w:r>
      <w:r>
        <w:t xml:space="preserve"> </w:t>
      </w:r>
      <w:r>
        <w:tab/>
      </w:r>
      <w:r w:rsidRPr="00140D91">
        <w:rPr>
          <w:rFonts w:ascii="Times New Roman" w:hAnsi="Times New Roman"/>
        </w:rPr>
        <w:t>COM(2020) 301 final</w:t>
      </w:r>
    </w:p>
  </w:footnote>
  <w:footnote w:id="3">
    <w:p w:rsidR="00F207BE" w:rsidRDefault="00F207BE" w:rsidP="00F207BE">
      <w:pPr>
        <w:pStyle w:val="FootnoteText"/>
        <w:spacing w:after="120"/>
      </w:pPr>
      <w:r>
        <w:rPr>
          <w:rStyle w:val="FootnoteReference"/>
        </w:rPr>
        <w:footnoteRef/>
      </w:r>
      <w:r>
        <w:t xml:space="preserve"> </w:t>
      </w:r>
      <w:r>
        <w:tab/>
      </w:r>
      <w:r>
        <w:rPr>
          <w:rFonts w:ascii="Times New Roman" w:hAnsi="Times New Roman"/>
        </w:rPr>
        <w:t xml:space="preserve">According to the European Commission proposal, investment to achieve the reduction of greenhouse gas emissions from activities listed in Annex I to Directive 2003/87/EC (ETS Directive) </w:t>
      </w:r>
      <w:proofErr w:type="gramStart"/>
      <w:r>
        <w:rPr>
          <w:rFonts w:ascii="Times New Roman" w:hAnsi="Times New Roman"/>
        </w:rPr>
        <w:t>is excluded</w:t>
      </w:r>
      <w:proofErr w:type="gramEnd"/>
      <w:r>
        <w:rPr>
          <w:rFonts w:ascii="Times New Roman" w:hAnsi="Times New Roman"/>
        </w:rPr>
        <w:t xml:space="preserve"> from Cohesion Fund and European Regional Development Fund support. Investment related to production, processing, distribution, storage or combustion of fossil fuels is excluded from ERDF, Cohesion Fund and Just Transition Fund support</w:t>
      </w:r>
    </w:p>
  </w:footnote>
  <w:footnote w:id="4">
    <w:p w:rsidR="00F207BE" w:rsidRPr="001C4BE6" w:rsidRDefault="00F207BE" w:rsidP="00F207BE">
      <w:pPr>
        <w:pStyle w:val="FootnoteText"/>
        <w:spacing w:after="120"/>
        <w:rPr>
          <w:lang w:val="en-IE"/>
        </w:rPr>
      </w:pPr>
      <w:r>
        <w:rPr>
          <w:rStyle w:val="FootnoteReference"/>
        </w:rPr>
        <w:footnoteRef/>
      </w:r>
      <w:r>
        <w:t xml:space="preserve"> </w:t>
      </w:r>
      <w:r>
        <w:rPr>
          <w:lang w:val="en-IE"/>
        </w:rPr>
        <w:tab/>
        <w:t>R</w:t>
      </w:r>
      <w:proofErr w:type="spellStart"/>
      <w:r w:rsidRPr="001C4BE6">
        <w:rPr>
          <w:rFonts w:ascii="Times New Roman" w:hAnsi="Times New Roman"/>
        </w:rPr>
        <w:t>egulation</w:t>
      </w:r>
      <w:proofErr w:type="spellEnd"/>
      <w:r w:rsidRPr="001C4BE6">
        <w:rPr>
          <w:rFonts w:ascii="Times New Roman" w:hAnsi="Times New Roman"/>
        </w:rPr>
        <w:t xml:space="preserve"> (EU) No 347/2013 on guidelines for trans-European ene</w:t>
      </w:r>
      <w:r>
        <w:rPr>
          <w:rFonts w:ascii="Times New Roman" w:hAnsi="Times New Roman"/>
        </w:rPr>
        <w:t>rgy infrastructure, OJ L115, 25.4.2013,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74C"/>
    <w:multiLevelType w:val="hybridMultilevel"/>
    <w:tmpl w:val="73365108"/>
    <w:lvl w:ilvl="0" w:tplc="D1CADBF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16F307E"/>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2" w15:restartNumberingAfterBreak="0">
    <w:nsid w:val="31890FFA"/>
    <w:multiLevelType w:val="hybridMultilevel"/>
    <w:tmpl w:val="41D88E30"/>
    <w:lvl w:ilvl="0" w:tplc="D1CADBF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BE"/>
    <w:rsid w:val="00006CB5"/>
    <w:rsid w:val="00023E86"/>
    <w:rsid w:val="00030D43"/>
    <w:rsid w:val="0004625B"/>
    <w:rsid w:val="0006161D"/>
    <w:rsid w:val="000667FA"/>
    <w:rsid w:val="000867D7"/>
    <w:rsid w:val="000927AA"/>
    <w:rsid w:val="000A15C3"/>
    <w:rsid w:val="000B1051"/>
    <w:rsid w:val="000C032D"/>
    <w:rsid w:val="000F6D42"/>
    <w:rsid w:val="0011022A"/>
    <w:rsid w:val="0013325B"/>
    <w:rsid w:val="00183960"/>
    <w:rsid w:val="001F4E25"/>
    <w:rsid w:val="002039DE"/>
    <w:rsid w:val="00221A97"/>
    <w:rsid w:val="002240A0"/>
    <w:rsid w:val="00247686"/>
    <w:rsid w:val="00265D8D"/>
    <w:rsid w:val="0027439D"/>
    <w:rsid w:val="002C6C21"/>
    <w:rsid w:val="002F561A"/>
    <w:rsid w:val="00340D7E"/>
    <w:rsid w:val="003C180C"/>
    <w:rsid w:val="003C725B"/>
    <w:rsid w:val="004037C8"/>
    <w:rsid w:val="0042138E"/>
    <w:rsid w:val="00440587"/>
    <w:rsid w:val="004A1C70"/>
    <w:rsid w:val="00502524"/>
    <w:rsid w:val="00531ABD"/>
    <w:rsid w:val="00562B7C"/>
    <w:rsid w:val="005F2126"/>
    <w:rsid w:val="00607073"/>
    <w:rsid w:val="00611114"/>
    <w:rsid w:val="00663973"/>
    <w:rsid w:val="00667EE5"/>
    <w:rsid w:val="00703176"/>
    <w:rsid w:val="0075523A"/>
    <w:rsid w:val="00764A5D"/>
    <w:rsid w:val="00770FC1"/>
    <w:rsid w:val="007A366F"/>
    <w:rsid w:val="007B7506"/>
    <w:rsid w:val="007F59D1"/>
    <w:rsid w:val="00806E75"/>
    <w:rsid w:val="008517AE"/>
    <w:rsid w:val="00861E0F"/>
    <w:rsid w:val="008716A6"/>
    <w:rsid w:val="00875267"/>
    <w:rsid w:val="00883902"/>
    <w:rsid w:val="008C0922"/>
    <w:rsid w:val="008C1BBD"/>
    <w:rsid w:val="008E6CC0"/>
    <w:rsid w:val="00972AB4"/>
    <w:rsid w:val="00985106"/>
    <w:rsid w:val="009B2A61"/>
    <w:rsid w:val="009D75F8"/>
    <w:rsid w:val="00A05781"/>
    <w:rsid w:val="00A06FBA"/>
    <w:rsid w:val="00A663D0"/>
    <w:rsid w:val="00AB3154"/>
    <w:rsid w:val="00AB3C88"/>
    <w:rsid w:val="00AE766E"/>
    <w:rsid w:val="00AF23EE"/>
    <w:rsid w:val="00B03741"/>
    <w:rsid w:val="00B21ECC"/>
    <w:rsid w:val="00B3458E"/>
    <w:rsid w:val="00B6693C"/>
    <w:rsid w:val="00B82573"/>
    <w:rsid w:val="00B969DD"/>
    <w:rsid w:val="00C00871"/>
    <w:rsid w:val="00C30D7E"/>
    <w:rsid w:val="00C369D4"/>
    <w:rsid w:val="00C6130B"/>
    <w:rsid w:val="00C66019"/>
    <w:rsid w:val="00CB0991"/>
    <w:rsid w:val="00CB142D"/>
    <w:rsid w:val="00CB7563"/>
    <w:rsid w:val="00CD5034"/>
    <w:rsid w:val="00CF3C75"/>
    <w:rsid w:val="00D3445D"/>
    <w:rsid w:val="00D53400"/>
    <w:rsid w:val="00D6508F"/>
    <w:rsid w:val="00DB06A5"/>
    <w:rsid w:val="00E171BE"/>
    <w:rsid w:val="00E44A6A"/>
    <w:rsid w:val="00F0617A"/>
    <w:rsid w:val="00F207BE"/>
    <w:rsid w:val="00F34F36"/>
    <w:rsid w:val="00F44EB7"/>
    <w:rsid w:val="00F519FC"/>
    <w:rsid w:val="00F52F9D"/>
    <w:rsid w:val="00F608A0"/>
    <w:rsid w:val="00F77D82"/>
    <w:rsid w:val="00F857A7"/>
    <w:rsid w:val="00F9124C"/>
    <w:rsid w:val="00F91AF0"/>
    <w:rsid w:val="00FA1E72"/>
    <w:rsid w:val="00FA3484"/>
    <w:rsid w:val="00FC6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A6FC9-877F-4700-88B6-8DEE2426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7BE"/>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
    <w:basedOn w:val="Normal"/>
    <w:link w:val="ListParagraphChar"/>
    <w:uiPriority w:val="34"/>
    <w:qFormat/>
    <w:rsid w:val="00F207BE"/>
    <w:pPr>
      <w:spacing w:after="200" w:line="276" w:lineRule="auto"/>
      <w:ind w:left="720"/>
      <w:contextualSpacing/>
      <w:jc w:val="left"/>
    </w:pPr>
    <w:rPr>
      <w:rFonts w:ascii="Calibri" w:eastAsia="Calibri" w:hAnsi="Calibri"/>
      <w:sz w:val="22"/>
      <w:szCs w:val="22"/>
      <w:lang w:val="en-US"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F207BE"/>
    <w:pPr>
      <w:ind w:left="357" w:hanging="357"/>
    </w:pPr>
    <w:rPr>
      <w:sz w:val="20"/>
    </w:rPr>
  </w:style>
  <w:style w:type="character" w:customStyle="1" w:styleId="FootnoteTextChar">
    <w:name w:val="Footnote Text Char"/>
    <w:basedOn w:val="DefaultParagraphFont"/>
    <w:uiPriority w:val="99"/>
    <w:semiHidden/>
    <w:rsid w:val="00F207BE"/>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F207BE"/>
    <w:rPr>
      <w:vertAlign w:val="superscript"/>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F207BE"/>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F207BE"/>
    <w:pPr>
      <w:spacing w:after="160" w:line="240" w:lineRule="exact"/>
      <w:jc w:val="left"/>
    </w:pPr>
    <w:rPr>
      <w:rFonts w:asciiTheme="minorHAnsi" w:eastAsiaTheme="minorHAnsi" w:hAnsiTheme="minorHAnsi" w:cstheme="minorBidi"/>
      <w:sz w:val="22"/>
      <w:szCs w:val="22"/>
      <w:vertAlign w:val="superscript"/>
      <w:lang w:eastAsia="en-US"/>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F207BE"/>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Maria Jose (SG)</dc:creator>
  <cp:keywords/>
  <dc:description/>
  <cp:lastModifiedBy>ALMEIDA Maria Jose (SG)</cp:lastModifiedBy>
  <cp:revision>1</cp:revision>
  <dcterms:created xsi:type="dcterms:W3CDTF">2020-10-02T12:55:00Z</dcterms:created>
  <dcterms:modified xsi:type="dcterms:W3CDTF">2020-10-02T12:55:00Z</dcterms:modified>
</cp:coreProperties>
</file>