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06" w:rsidRPr="00312106" w:rsidRDefault="00312106" w:rsidP="00312106">
      <w:pPr>
        <w:spacing w:after="240"/>
        <w:jc w:val="center"/>
        <w:rPr>
          <w:lang w:val="fr-FR"/>
        </w:rPr>
      </w:pPr>
      <w:r w:rsidRPr="00312106">
        <w:rPr>
          <w:b/>
          <w:lang w:val="fr-FR"/>
        </w:rPr>
        <w:t>PROCÉDURE LÉGISLATIVE ORDINAIRE – Première lecture</w:t>
      </w:r>
    </w:p>
    <w:p w:rsidR="00312106" w:rsidRPr="00312106" w:rsidRDefault="00312106" w:rsidP="00312106">
      <w:pPr>
        <w:spacing w:after="600"/>
        <w:jc w:val="center"/>
        <w:rPr>
          <w:b/>
          <w:bCs/>
          <w:lang w:val="fr-FR"/>
        </w:rPr>
      </w:pPr>
      <w:r w:rsidRPr="00312106">
        <w:rPr>
          <w:b/>
          <w:lang w:val="fr-FR"/>
        </w:rPr>
        <w:t xml:space="preserve">Suite donnée à la résolution législative du Parlement européen sur la proposition de décision du Parlement européen et du Conseil habilitant la France à négocier </w:t>
      </w:r>
      <w:r w:rsidRPr="00312106">
        <w:rPr>
          <w:b/>
          <w:lang w:val="fr-FR"/>
        </w:rPr>
        <w:br/>
        <w:t xml:space="preserve">un accord complétant le traité bilatéral existant entre la France et le </w:t>
      </w:r>
      <w:r w:rsidRPr="00312106">
        <w:rPr>
          <w:b/>
          <w:lang w:val="fr-FR"/>
        </w:rPr>
        <w:br/>
        <w:t xml:space="preserve">Royaume-Uni concernant la construction et l’exploitation par </w:t>
      </w:r>
      <w:r w:rsidRPr="00312106">
        <w:rPr>
          <w:b/>
          <w:lang w:val="fr-FR"/>
        </w:rPr>
        <w:br/>
        <w:t>des sociétés privées concessionnaires d’une liaison fixe transmanche</w:t>
      </w:r>
    </w:p>
    <w:p w:rsidR="00312106" w:rsidRPr="00312106" w:rsidRDefault="00312106" w:rsidP="00312106">
      <w:pPr>
        <w:spacing w:before="100" w:beforeAutospacing="1" w:after="100" w:afterAutospacing="1"/>
        <w:ind w:left="567" w:hanging="567"/>
        <w:rPr>
          <w:lang w:val="fr-FR"/>
        </w:rPr>
      </w:pPr>
      <w:r w:rsidRPr="00312106">
        <w:rPr>
          <w:b/>
          <w:lang w:val="fr-FR"/>
        </w:rPr>
        <w:t>1.</w:t>
      </w:r>
      <w:r w:rsidRPr="00312106">
        <w:rPr>
          <w:lang w:val="fr-FR"/>
        </w:rPr>
        <w:tab/>
      </w:r>
      <w:r w:rsidRPr="00312106">
        <w:rPr>
          <w:b/>
          <w:lang w:val="fr-FR"/>
        </w:rPr>
        <w:t xml:space="preserve">Rapporteur: </w:t>
      </w:r>
      <w:r w:rsidRPr="00312106">
        <w:rPr>
          <w:lang w:val="fr-FR"/>
        </w:rPr>
        <w:t>néant</w:t>
      </w:r>
    </w:p>
    <w:p w:rsidR="00312106" w:rsidRPr="00312106" w:rsidRDefault="00312106" w:rsidP="00312106">
      <w:pPr>
        <w:spacing w:before="100" w:beforeAutospacing="1" w:after="100" w:afterAutospacing="1"/>
        <w:ind w:left="567" w:hanging="567"/>
        <w:rPr>
          <w:lang w:val="fr-FR"/>
        </w:rPr>
      </w:pPr>
      <w:r w:rsidRPr="00312106">
        <w:rPr>
          <w:b/>
          <w:lang w:val="fr-FR"/>
        </w:rPr>
        <w:t>2.</w:t>
      </w:r>
      <w:r w:rsidRPr="00312106">
        <w:rPr>
          <w:lang w:val="fr-FR"/>
        </w:rPr>
        <w:tab/>
      </w:r>
      <w:r w:rsidRPr="00312106">
        <w:rPr>
          <w:b/>
          <w:lang w:val="fr-FR"/>
        </w:rPr>
        <w:t>Numéros de référence:</w:t>
      </w:r>
      <w:r w:rsidRPr="00312106">
        <w:rPr>
          <w:lang w:val="fr-FR"/>
        </w:rPr>
        <w:t xml:space="preserve"> 2020/0160 (COD) / P9_TA-</w:t>
      </w:r>
      <w:proofErr w:type="gramStart"/>
      <w:r w:rsidRPr="00312106">
        <w:rPr>
          <w:lang w:val="fr-FR"/>
        </w:rPr>
        <w:t>PROV(</w:t>
      </w:r>
      <w:proofErr w:type="gramEnd"/>
      <w:r w:rsidRPr="00312106">
        <w:rPr>
          <w:lang w:val="fr-FR"/>
        </w:rPr>
        <w:t>2020)0262</w:t>
      </w:r>
    </w:p>
    <w:p w:rsidR="00312106" w:rsidRPr="00312106" w:rsidRDefault="00312106" w:rsidP="00312106">
      <w:pPr>
        <w:spacing w:before="100" w:beforeAutospacing="1" w:after="100" w:afterAutospacing="1"/>
        <w:ind w:left="567" w:hanging="567"/>
        <w:rPr>
          <w:lang w:val="fr-FR"/>
        </w:rPr>
      </w:pPr>
      <w:r w:rsidRPr="00312106">
        <w:rPr>
          <w:b/>
          <w:lang w:val="fr-FR"/>
        </w:rPr>
        <w:t>3.</w:t>
      </w:r>
      <w:r w:rsidRPr="00312106">
        <w:rPr>
          <w:lang w:val="fr-FR"/>
        </w:rPr>
        <w:tab/>
      </w:r>
      <w:r w:rsidRPr="00312106">
        <w:rPr>
          <w:b/>
          <w:lang w:val="fr-FR"/>
        </w:rPr>
        <w:t xml:space="preserve">Date d'adoption de la résolution: </w:t>
      </w:r>
      <w:r w:rsidRPr="00312106">
        <w:rPr>
          <w:lang w:val="fr-FR"/>
        </w:rPr>
        <w:t>8 octobre 2020</w:t>
      </w:r>
    </w:p>
    <w:p w:rsidR="00312106" w:rsidRPr="00312106" w:rsidRDefault="00312106" w:rsidP="00312106">
      <w:pPr>
        <w:spacing w:before="100" w:beforeAutospacing="1" w:after="100" w:afterAutospacing="1"/>
        <w:ind w:left="567" w:hanging="567"/>
        <w:rPr>
          <w:lang w:val="fr-FR"/>
        </w:rPr>
      </w:pPr>
      <w:r w:rsidRPr="00312106">
        <w:rPr>
          <w:b/>
          <w:lang w:val="fr-FR"/>
        </w:rPr>
        <w:t>4.</w:t>
      </w:r>
      <w:r w:rsidRPr="00312106">
        <w:rPr>
          <w:lang w:val="fr-FR"/>
        </w:rPr>
        <w:tab/>
      </w:r>
      <w:r w:rsidRPr="00312106">
        <w:rPr>
          <w:b/>
          <w:lang w:val="fr-FR"/>
        </w:rPr>
        <w:t xml:space="preserve">Base juridique: </w:t>
      </w:r>
      <w:r w:rsidRPr="00312106">
        <w:rPr>
          <w:lang w:val="fr-FR"/>
        </w:rPr>
        <w:t>article 2, paragraphe 1, et article 91 du traité sur le fonctionnement de l’Union européenne</w:t>
      </w:r>
    </w:p>
    <w:p w:rsidR="00312106" w:rsidRPr="00312106" w:rsidRDefault="00312106" w:rsidP="00312106">
      <w:pPr>
        <w:spacing w:before="100" w:beforeAutospacing="1" w:after="100" w:afterAutospacing="1"/>
        <w:ind w:left="567" w:hanging="567"/>
        <w:rPr>
          <w:i/>
          <w:lang w:val="fr-FR"/>
        </w:rPr>
      </w:pPr>
      <w:r w:rsidRPr="00312106">
        <w:rPr>
          <w:b/>
          <w:lang w:val="fr-FR"/>
        </w:rPr>
        <w:t>5.</w:t>
      </w:r>
      <w:r w:rsidRPr="00312106">
        <w:rPr>
          <w:lang w:val="fr-FR"/>
        </w:rPr>
        <w:tab/>
      </w:r>
      <w:r w:rsidRPr="00312106">
        <w:rPr>
          <w:b/>
          <w:lang w:val="fr-FR"/>
        </w:rPr>
        <w:t xml:space="preserve">Commission parlementaire compétente: </w:t>
      </w:r>
      <w:r w:rsidRPr="00312106">
        <w:rPr>
          <w:lang w:val="fr-FR"/>
        </w:rPr>
        <w:t>commission des transports et du tourisme (TRAN)</w:t>
      </w:r>
    </w:p>
    <w:p w:rsidR="00312106" w:rsidRPr="00312106" w:rsidRDefault="00312106" w:rsidP="00312106">
      <w:pPr>
        <w:spacing w:before="100" w:beforeAutospacing="1" w:after="100" w:afterAutospacing="1"/>
        <w:ind w:left="567" w:hanging="567"/>
        <w:rPr>
          <w:color w:val="000000"/>
          <w:lang w:val="fr-FR"/>
        </w:rPr>
      </w:pPr>
      <w:r w:rsidRPr="00312106">
        <w:rPr>
          <w:b/>
          <w:lang w:val="fr-FR"/>
        </w:rPr>
        <w:t>6.</w:t>
      </w:r>
      <w:r w:rsidRPr="00312106">
        <w:rPr>
          <w:lang w:val="fr-FR"/>
        </w:rPr>
        <w:tab/>
      </w:r>
      <w:r w:rsidRPr="00312106">
        <w:rPr>
          <w:b/>
          <w:lang w:val="fr-FR"/>
        </w:rPr>
        <w:t>Position de la Commission:</w:t>
      </w:r>
      <w:r w:rsidRPr="00312106">
        <w:rPr>
          <w:color w:val="000000"/>
          <w:sz w:val="22"/>
          <w:szCs w:val="22"/>
          <w:lang w:val="fr-FR"/>
        </w:rPr>
        <w:t xml:space="preserve"> la Commission </w:t>
      </w:r>
      <w:r w:rsidRPr="00312106">
        <w:rPr>
          <w:color w:val="000000"/>
          <w:lang w:val="fr-FR"/>
        </w:rPr>
        <w:t>accepte tous les amendements, hormis l’omission de l’article 2, paragraphe 1, en tant que base juridique.</w:t>
      </w:r>
    </w:p>
    <w:p w:rsidR="00312106" w:rsidRPr="00312106" w:rsidRDefault="00312106" w:rsidP="00312106">
      <w:pPr>
        <w:spacing w:after="120"/>
        <w:rPr>
          <w:color w:val="000000"/>
          <w:lang w:val="fr-FR"/>
        </w:rPr>
      </w:pPr>
      <w:r w:rsidRPr="00312106">
        <w:rPr>
          <w:lang w:val="fr-FR"/>
        </w:rPr>
        <w:t>En ce qui concerne la suppression de l’article 2, paragraphe 1, du TFUE en tant que base juridique, la Commission a fait la déclaration suivante:</w:t>
      </w:r>
    </w:p>
    <w:p w:rsidR="00312106" w:rsidRPr="00312106" w:rsidRDefault="00312106" w:rsidP="00312106">
      <w:pPr>
        <w:spacing w:after="120"/>
        <w:rPr>
          <w:iCs/>
          <w:lang w:val="fr-FR"/>
        </w:rPr>
      </w:pPr>
      <w:proofErr w:type="gramStart"/>
      <w:r w:rsidRPr="00312106">
        <w:rPr>
          <w:lang w:val="fr-FR"/>
        </w:rPr>
        <w:t>«La</w:t>
      </w:r>
      <w:proofErr w:type="gramEnd"/>
      <w:r w:rsidRPr="00312106">
        <w:rPr>
          <w:lang w:val="fr-FR"/>
        </w:rPr>
        <w:t xml:space="preserve"> Commission n’approuve pas l’omission de l’article 2, paragraphe 1, du TFUE en tant que base juridique de la décision habilitant la France à négocier avec le Royaume-Uni.</w:t>
      </w:r>
    </w:p>
    <w:p w:rsidR="00312106" w:rsidRPr="00312106" w:rsidRDefault="00312106" w:rsidP="00312106">
      <w:pPr>
        <w:spacing w:after="120"/>
        <w:rPr>
          <w:iCs/>
          <w:lang w:val="fr-FR"/>
        </w:rPr>
      </w:pPr>
      <w:r w:rsidRPr="00312106">
        <w:rPr>
          <w:lang w:val="fr-FR"/>
        </w:rPr>
        <w:t>S'il est vrai que l'article 91 du TFUE habilite l'Union européenne à adopter des actes dans le domaine de la politique des transports, le législateur ne peut autoriser les États membres à agir à la place de l'Union dans un domaine relevant de la compétence exclusive de celle-ci qu'en vertu de l'article 2, paragraphe 1, du TFUE.</w:t>
      </w:r>
    </w:p>
    <w:p w:rsidR="00312106" w:rsidRPr="00312106" w:rsidRDefault="00312106" w:rsidP="00312106">
      <w:pPr>
        <w:spacing w:before="100" w:beforeAutospacing="1" w:after="100" w:afterAutospacing="1"/>
        <w:ind w:left="720" w:hanging="720"/>
        <w:rPr>
          <w:rFonts w:cs="Calibri"/>
          <w:lang w:val="fr-FR"/>
        </w:rPr>
      </w:pPr>
      <w:r w:rsidRPr="00312106">
        <w:rPr>
          <w:lang w:val="fr-FR"/>
        </w:rPr>
        <w:t>Par conséquent, la décision ne peut être adoptée que sur la base des deux dispositions</w:t>
      </w:r>
      <w:proofErr w:type="gramStart"/>
      <w:r w:rsidRPr="00312106">
        <w:rPr>
          <w:lang w:val="fr-FR"/>
        </w:rPr>
        <w:t>.»</w:t>
      </w:r>
      <w:proofErr w:type="gramEnd"/>
    </w:p>
    <w:p w:rsidR="008765BE" w:rsidRPr="00312106" w:rsidRDefault="008765BE">
      <w:pPr>
        <w:rPr>
          <w:lang w:val="fr-FR"/>
        </w:rPr>
      </w:pPr>
      <w:bookmarkStart w:id="0" w:name="_GoBack"/>
      <w:bookmarkEnd w:id="0"/>
    </w:p>
    <w:sectPr w:rsidR="008765BE" w:rsidRPr="0031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06"/>
    <w:rsid w:val="00312106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08595-6B06-42F4-AE2A-BB26905A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2020-11-06T09:30:00Z</dcterms:created>
  <dcterms:modified xsi:type="dcterms:W3CDTF">2020-11-06T09:31:00Z</dcterms:modified>
</cp:coreProperties>
</file>