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652" w:rsidRPr="00D00652" w:rsidRDefault="00D00652" w:rsidP="00D00652">
      <w:pPr>
        <w:spacing w:after="600"/>
        <w:jc w:val="center"/>
        <w:rPr>
          <w:rFonts w:ascii="Times New Roman" w:hAnsi="Times New Roman"/>
          <w:b/>
          <w:bCs/>
          <w:sz w:val="24"/>
          <w:szCs w:val="24"/>
          <w:lang w:val="fr-BE"/>
        </w:rPr>
      </w:pPr>
      <w:r w:rsidRPr="00D00652">
        <w:rPr>
          <w:rFonts w:ascii="Times New Roman" w:hAnsi="Times New Roman"/>
          <w:b/>
          <w:bCs/>
          <w:sz w:val="24"/>
          <w:szCs w:val="24"/>
          <w:lang w:val="fr-BE"/>
        </w:rPr>
        <w:t>Suite donnée</w:t>
      </w:r>
      <w:r w:rsidRPr="00D00652">
        <w:rPr>
          <w:rFonts w:ascii="Times New Roman" w:hAnsi="Times New Roman"/>
          <w:b/>
          <w:sz w:val="24"/>
          <w:szCs w:val="24"/>
          <w:lang w:val="fr-BE"/>
        </w:rPr>
        <w:t xml:space="preserve"> à la résolution non législative du Parlement européen </w:t>
      </w:r>
      <w:r w:rsidRPr="00D00652">
        <w:rPr>
          <w:rFonts w:ascii="Times New Roman" w:hAnsi="Times New Roman"/>
          <w:b/>
          <w:sz w:val="24"/>
          <w:szCs w:val="24"/>
          <w:lang w:val="fr-BE"/>
        </w:rPr>
        <w:br/>
      </w:r>
      <w:r w:rsidRPr="00D00652">
        <w:rPr>
          <w:rFonts w:ascii="Times New Roman" w:hAnsi="Times New Roman"/>
          <w:b/>
          <w:bCs/>
          <w:sz w:val="24"/>
          <w:szCs w:val="24"/>
          <w:lang w:val="fr-BE"/>
        </w:rPr>
        <w:t xml:space="preserve">sur </w:t>
      </w:r>
      <w:r w:rsidRPr="00D00652">
        <w:rPr>
          <w:rFonts w:ascii="Times New Roman" w:hAnsi="Times New Roman"/>
          <w:b/>
          <w:bCs/>
          <w:sz w:val="24"/>
          <w:szCs w:val="24"/>
          <w:shd w:val="clear" w:color="auto" w:fill="FFFFFF"/>
          <w:lang w:val="fr-BE"/>
        </w:rPr>
        <w:t>l’année européenne pour des villes plus vertes 2022</w:t>
      </w:r>
    </w:p>
    <w:p w:rsidR="00D00652" w:rsidRPr="00D00652" w:rsidRDefault="00D00652" w:rsidP="00D00652">
      <w:pPr>
        <w:numPr>
          <w:ilvl w:val="0"/>
          <w:numId w:val="1"/>
        </w:numPr>
        <w:spacing w:after="240" w:line="240" w:lineRule="auto"/>
        <w:ind w:left="567" w:hanging="567"/>
        <w:jc w:val="both"/>
        <w:rPr>
          <w:rFonts w:ascii="Times New Roman" w:hAnsi="Times New Roman"/>
          <w:b/>
          <w:bCs/>
          <w:sz w:val="24"/>
          <w:szCs w:val="24"/>
          <w:lang w:val="fr-BE"/>
        </w:rPr>
      </w:pPr>
      <w:r w:rsidRPr="00D00652">
        <w:rPr>
          <w:rFonts w:ascii="Times New Roman" w:hAnsi="Times New Roman"/>
          <w:b/>
          <w:bCs/>
          <w:sz w:val="24"/>
          <w:szCs w:val="24"/>
          <w:lang w:val="fr-BE"/>
        </w:rPr>
        <w:t>Résolution présentée conformément à l’article 136, paragraphe 5, du règlement du Parlement européen</w:t>
      </w:r>
    </w:p>
    <w:p w:rsidR="00D00652" w:rsidRPr="00D00652" w:rsidRDefault="00D00652" w:rsidP="00D00652">
      <w:pPr>
        <w:numPr>
          <w:ilvl w:val="0"/>
          <w:numId w:val="1"/>
        </w:numPr>
        <w:spacing w:after="240" w:line="240" w:lineRule="auto"/>
        <w:ind w:left="567" w:hanging="567"/>
        <w:jc w:val="both"/>
        <w:rPr>
          <w:rFonts w:ascii="Times New Roman" w:hAnsi="Times New Roman"/>
          <w:i/>
          <w:iCs/>
          <w:sz w:val="24"/>
          <w:szCs w:val="24"/>
          <w:lang w:val="fr-BE"/>
        </w:rPr>
      </w:pPr>
      <w:r w:rsidRPr="00D00652">
        <w:rPr>
          <w:rFonts w:ascii="Times New Roman" w:hAnsi="Times New Roman"/>
          <w:b/>
          <w:bCs/>
          <w:sz w:val="24"/>
          <w:szCs w:val="24"/>
          <w:lang w:val="fr-BE"/>
        </w:rPr>
        <w:t xml:space="preserve">Numéros de référence: </w:t>
      </w:r>
      <w:r w:rsidRPr="00D00652">
        <w:rPr>
          <w:rFonts w:ascii="Times New Roman" w:hAnsi="Times New Roman"/>
          <w:sz w:val="24"/>
          <w:szCs w:val="24"/>
          <w:lang w:val="fr-BE"/>
        </w:rPr>
        <w:t>2019/2805 (RSP) / </w:t>
      </w:r>
      <w:bookmarkStart w:id="0" w:name="_GoBack"/>
      <w:r w:rsidRPr="00D00652">
        <w:rPr>
          <w:rFonts w:ascii="Times New Roman" w:hAnsi="Times New Roman"/>
          <w:sz w:val="24"/>
          <w:szCs w:val="24"/>
          <w:lang w:val="fr-BE"/>
        </w:rPr>
        <w:t>B9-0243/2020 </w:t>
      </w:r>
      <w:bookmarkEnd w:id="0"/>
      <w:r w:rsidRPr="00D00652">
        <w:rPr>
          <w:rFonts w:ascii="Times New Roman" w:hAnsi="Times New Roman"/>
          <w:sz w:val="24"/>
          <w:szCs w:val="24"/>
          <w:lang w:val="fr-BE"/>
        </w:rPr>
        <w:t>/ P9_TA-PROV(2020)0241</w:t>
      </w:r>
    </w:p>
    <w:p w:rsidR="00D00652" w:rsidRPr="00D00652" w:rsidRDefault="00D00652" w:rsidP="00D00652">
      <w:pPr>
        <w:numPr>
          <w:ilvl w:val="0"/>
          <w:numId w:val="1"/>
        </w:numPr>
        <w:spacing w:after="240" w:line="240" w:lineRule="auto"/>
        <w:ind w:left="567" w:hanging="567"/>
        <w:jc w:val="both"/>
        <w:rPr>
          <w:rFonts w:ascii="Times New Roman" w:hAnsi="Times New Roman"/>
          <w:sz w:val="24"/>
          <w:szCs w:val="24"/>
          <w:lang w:val="fr-BE"/>
        </w:rPr>
      </w:pPr>
      <w:r w:rsidRPr="00D00652">
        <w:rPr>
          <w:rFonts w:ascii="Times New Roman" w:hAnsi="Times New Roman"/>
          <w:b/>
          <w:bCs/>
          <w:sz w:val="24"/>
          <w:szCs w:val="24"/>
          <w:lang w:val="fr-BE"/>
        </w:rPr>
        <w:t xml:space="preserve">Date d’adoption de la résolution: </w:t>
      </w:r>
      <w:r w:rsidRPr="00D00652">
        <w:rPr>
          <w:rFonts w:ascii="Times New Roman" w:hAnsi="Times New Roman"/>
          <w:sz w:val="24"/>
          <w:szCs w:val="24"/>
          <w:lang w:val="fr-BE"/>
        </w:rPr>
        <w:t>17 septembre 2020</w:t>
      </w:r>
    </w:p>
    <w:p w:rsidR="00D00652" w:rsidRPr="00D00652" w:rsidRDefault="00D00652" w:rsidP="00D00652">
      <w:pPr>
        <w:numPr>
          <w:ilvl w:val="0"/>
          <w:numId w:val="1"/>
        </w:numPr>
        <w:spacing w:after="240" w:line="240" w:lineRule="auto"/>
        <w:ind w:left="567" w:hanging="567"/>
        <w:jc w:val="both"/>
        <w:rPr>
          <w:rFonts w:ascii="Times New Roman" w:hAnsi="Times New Roman"/>
          <w:i/>
          <w:iCs/>
          <w:sz w:val="24"/>
          <w:szCs w:val="24"/>
          <w:lang w:val="fr-BE"/>
        </w:rPr>
      </w:pPr>
      <w:r w:rsidRPr="00D00652">
        <w:rPr>
          <w:rFonts w:ascii="Times New Roman" w:hAnsi="Times New Roman"/>
          <w:b/>
          <w:bCs/>
          <w:sz w:val="24"/>
          <w:szCs w:val="24"/>
          <w:lang w:val="fr-BE"/>
        </w:rPr>
        <w:t xml:space="preserve">Commission parlementaire compétente: </w:t>
      </w:r>
      <w:r w:rsidRPr="00D00652">
        <w:rPr>
          <w:rFonts w:ascii="Times New Roman" w:hAnsi="Times New Roman"/>
          <w:sz w:val="24"/>
          <w:szCs w:val="24"/>
          <w:lang w:val="fr-BE"/>
        </w:rPr>
        <w:t>commission de l’</w:t>
      </w:r>
      <w:r w:rsidRPr="00D00652">
        <w:rPr>
          <w:rStyle w:val="epname"/>
          <w:rFonts w:ascii="Times New Roman" w:hAnsi="Times New Roman"/>
          <w:sz w:val="24"/>
          <w:szCs w:val="24"/>
          <w:bdr w:val="none" w:sz="0" w:space="0" w:color="auto" w:frame="1"/>
          <w:lang w:val="fr-BE"/>
        </w:rPr>
        <w:t>environnement, de la santé publique et de la sécurité alimentaire</w:t>
      </w:r>
      <w:r w:rsidRPr="00D00652">
        <w:rPr>
          <w:rFonts w:ascii="Times New Roman" w:hAnsi="Times New Roman"/>
          <w:sz w:val="24"/>
          <w:szCs w:val="24"/>
          <w:lang w:val="fr-BE"/>
        </w:rPr>
        <w:t> (ENVI)</w:t>
      </w:r>
    </w:p>
    <w:p w:rsidR="00D00652" w:rsidRPr="00D00652" w:rsidRDefault="00D00652" w:rsidP="00D00652">
      <w:pPr>
        <w:widowControl w:val="0"/>
        <w:numPr>
          <w:ilvl w:val="0"/>
          <w:numId w:val="1"/>
        </w:numPr>
        <w:spacing w:after="240" w:line="240" w:lineRule="auto"/>
        <w:ind w:left="567" w:hanging="567"/>
        <w:jc w:val="both"/>
        <w:rPr>
          <w:rFonts w:ascii="Times New Roman" w:hAnsi="Times New Roman"/>
          <w:sz w:val="24"/>
          <w:szCs w:val="24"/>
          <w:lang w:val="fr-BE"/>
        </w:rPr>
      </w:pPr>
      <w:r w:rsidRPr="00D00652">
        <w:rPr>
          <w:rFonts w:ascii="Times New Roman" w:hAnsi="Times New Roman"/>
          <w:b/>
          <w:bCs/>
          <w:sz w:val="24"/>
          <w:szCs w:val="24"/>
          <w:lang w:val="fr-BE"/>
        </w:rPr>
        <w:t>Analyse/évaluation succincte de la résolution et des demandes qu’elle contient:</w:t>
      </w:r>
    </w:p>
    <w:p w:rsidR="00D00652" w:rsidRPr="00D00652" w:rsidRDefault="00D00652" w:rsidP="00D00652">
      <w:pPr>
        <w:widowControl w:val="0"/>
        <w:spacing w:after="120"/>
        <w:jc w:val="both"/>
        <w:rPr>
          <w:rFonts w:ascii="Times New Roman" w:hAnsi="Times New Roman"/>
          <w:sz w:val="24"/>
          <w:szCs w:val="24"/>
          <w:lang w:val="fr-BE"/>
        </w:rPr>
      </w:pPr>
      <w:r w:rsidRPr="00D00652">
        <w:rPr>
          <w:rFonts w:ascii="Times New Roman" w:hAnsi="Times New Roman"/>
          <w:sz w:val="24"/>
          <w:szCs w:val="24"/>
          <w:lang w:val="fr-BE"/>
        </w:rPr>
        <w:t>La résolution reconnaît l’importance du rôle des villes pour relever les grands défis sociétaux, économiques et environnementaux, ainsi que le potentiel de l’écologisation urbaine en pareil contexte. Elle met en évidence le potentiel des villes en matière de protection de la biodiversité et des services écosystémiques et d’atténuation du changement climatique et d’adaptation à celui-ci. Elle demande donc de renforcer l’écologisation urbaine, de multiplier les solutions fondées sur la nature dans les villes et d’accélérer le passage des infrastructures grises aux infrastructures vertes.</w:t>
      </w:r>
    </w:p>
    <w:p w:rsidR="00D00652" w:rsidRPr="00D00652" w:rsidRDefault="00D00652" w:rsidP="00D00652">
      <w:pPr>
        <w:widowControl w:val="0"/>
        <w:spacing w:after="120"/>
        <w:jc w:val="both"/>
        <w:rPr>
          <w:rFonts w:ascii="Times New Roman" w:hAnsi="Times New Roman"/>
          <w:sz w:val="24"/>
          <w:szCs w:val="24"/>
          <w:lang w:val="fr-BE"/>
        </w:rPr>
      </w:pPr>
      <w:r w:rsidRPr="00D00652">
        <w:rPr>
          <w:rFonts w:ascii="Times New Roman" w:hAnsi="Times New Roman"/>
          <w:sz w:val="24"/>
          <w:szCs w:val="24"/>
          <w:lang w:val="fr-BE"/>
        </w:rPr>
        <w:t>Plus spécifiquement, la résolution invite la Commission à concevoir et à appliquer une série de mesures (politiques, financières, promotionnelles et administratives) pour rendre les villes plus vertes. Ces mesures devraient, par exemple, comprendre une nouvelle stratégie européenne pour des villes plus vertes; des investissements dans les infrastructures vertes; une amélioration de la qualité de l’air et une utilisation plus efficace de l’énergie et des ressources dans les villes; un financement suffisant du développement urbain durable et des infrastructures vertes; un renforcement du pouvoir collectif des villes afin de développer rapidement des solutions efficaces; un soutien à la participation du secteur privé au moyen de partenariats public-privé, d’un programme de la Banque européenne d’investissement plus ambitieux et de mesures d’incitation en faveur des petites et moyennes entreprises (PME).</w:t>
      </w:r>
    </w:p>
    <w:p w:rsidR="00D00652" w:rsidRPr="00D00652" w:rsidRDefault="00D00652" w:rsidP="00D00652">
      <w:pPr>
        <w:widowControl w:val="0"/>
        <w:spacing w:after="120"/>
        <w:jc w:val="both"/>
        <w:rPr>
          <w:rFonts w:ascii="Times New Roman" w:hAnsi="Times New Roman"/>
          <w:sz w:val="24"/>
          <w:szCs w:val="24"/>
          <w:lang w:val="fr-BE"/>
        </w:rPr>
      </w:pPr>
      <w:r w:rsidRPr="00D00652">
        <w:rPr>
          <w:rFonts w:ascii="Times New Roman" w:hAnsi="Times New Roman"/>
          <w:sz w:val="24"/>
          <w:szCs w:val="24"/>
          <w:lang w:val="fr-BE"/>
        </w:rPr>
        <w:t>Dans sa résolution, le Parlement demande à la Commission de souligner l’importance des infrastructures vertes dans la stratégie en faveur de la biodiversité à l’horizon 2030. Il propose de faire de 2022 l’année européenne pour des villes plus vertes.</w:t>
      </w:r>
    </w:p>
    <w:p w:rsidR="00D00652" w:rsidRPr="00D00652" w:rsidRDefault="00D00652" w:rsidP="00D00652">
      <w:pPr>
        <w:widowControl w:val="0"/>
        <w:numPr>
          <w:ilvl w:val="0"/>
          <w:numId w:val="1"/>
        </w:numPr>
        <w:spacing w:after="240" w:line="240" w:lineRule="auto"/>
        <w:ind w:left="567" w:hanging="567"/>
        <w:jc w:val="both"/>
        <w:rPr>
          <w:rFonts w:ascii="Times New Roman" w:hAnsi="Times New Roman"/>
          <w:b/>
          <w:bCs/>
          <w:i/>
          <w:iCs/>
          <w:sz w:val="24"/>
          <w:szCs w:val="24"/>
          <w:lang w:val="fr-BE"/>
        </w:rPr>
      </w:pPr>
      <w:r w:rsidRPr="00D00652">
        <w:rPr>
          <w:rFonts w:ascii="Times New Roman" w:hAnsi="Times New Roman"/>
          <w:b/>
          <w:bCs/>
          <w:sz w:val="24"/>
          <w:szCs w:val="24"/>
          <w:lang w:val="fr-BE"/>
        </w:rPr>
        <w:t>Réponse à ces demandes et aperçu des mesures que la Commission a prises ou envisage de prendre:</w:t>
      </w:r>
    </w:p>
    <w:p w:rsidR="00D00652" w:rsidRPr="00D00652" w:rsidRDefault="00D00652" w:rsidP="00D00652">
      <w:pPr>
        <w:widowControl w:val="0"/>
        <w:spacing w:after="120"/>
        <w:jc w:val="both"/>
        <w:rPr>
          <w:rFonts w:ascii="Times New Roman" w:hAnsi="Times New Roman"/>
          <w:sz w:val="24"/>
          <w:szCs w:val="24"/>
          <w:lang w:val="fr-BE"/>
        </w:rPr>
      </w:pPr>
      <w:r w:rsidRPr="00D00652">
        <w:rPr>
          <w:rFonts w:ascii="Times New Roman" w:hAnsi="Times New Roman"/>
          <w:sz w:val="24"/>
          <w:szCs w:val="24"/>
          <w:lang w:val="fr-BE"/>
        </w:rPr>
        <w:t>La Commission accueille favorablement cette résolution et partage les points de vue du Parlement sur le rôle et le potentiel des villes pour relever les défis environnementaux actuels.</w:t>
      </w:r>
    </w:p>
    <w:p w:rsidR="00D00652" w:rsidRPr="00D00652" w:rsidRDefault="00D00652" w:rsidP="00D00652">
      <w:pPr>
        <w:widowControl w:val="0"/>
        <w:spacing w:after="120"/>
        <w:jc w:val="both"/>
        <w:rPr>
          <w:rFonts w:ascii="Times New Roman" w:hAnsi="Times New Roman"/>
          <w:sz w:val="24"/>
          <w:szCs w:val="24"/>
          <w:lang w:val="fr-BE"/>
        </w:rPr>
      </w:pPr>
      <w:r w:rsidRPr="00D00652">
        <w:rPr>
          <w:rFonts w:ascii="Times New Roman" w:hAnsi="Times New Roman"/>
          <w:sz w:val="24"/>
          <w:szCs w:val="24"/>
          <w:lang w:val="fr-BE"/>
        </w:rPr>
        <w:t>La Commission soutient et favorise le concept de villes plus vertes et plus durables au moyen d’un certain nombre d’actions et de politiques.</w:t>
      </w:r>
    </w:p>
    <w:p w:rsidR="00D00652" w:rsidRPr="00D00652" w:rsidRDefault="00D00652" w:rsidP="00D00652">
      <w:pPr>
        <w:widowControl w:val="0"/>
        <w:spacing w:after="120"/>
        <w:ind w:firstLine="11"/>
        <w:jc w:val="both"/>
        <w:rPr>
          <w:rFonts w:ascii="Times New Roman" w:hAnsi="Times New Roman"/>
          <w:sz w:val="24"/>
          <w:szCs w:val="24"/>
          <w:lang w:val="fr-BE"/>
        </w:rPr>
      </w:pPr>
      <w:r w:rsidRPr="00D00652">
        <w:rPr>
          <w:rFonts w:ascii="Times New Roman" w:hAnsi="Times New Roman"/>
          <w:sz w:val="24"/>
          <w:szCs w:val="24"/>
          <w:lang w:val="fr-BE"/>
        </w:rPr>
        <w:lastRenderedPageBreak/>
        <w:t>La nouvelle stratégie de l’UE en faveur de la biodiversité à l’horizon 2030</w:t>
      </w:r>
      <w:r w:rsidRPr="00D00652">
        <w:rPr>
          <w:rStyle w:val="FootnoteReference"/>
          <w:rFonts w:ascii="Times New Roman" w:hAnsi="Times New Roman"/>
          <w:sz w:val="24"/>
          <w:szCs w:val="24"/>
          <w:lang w:val="fr-BE"/>
        </w:rPr>
        <w:footnoteReference w:id="1"/>
      </w:r>
      <w:r w:rsidRPr="00D00652">
        <w:rPr>
          <w:rFonts w:ascii="Times New Roman" w:hAnsi="Times New Roman"/>
          <w:sz w:val="24"/>
          <w:szCs w:val="24"/>
          <w:lang w:val="fr-BE"/>
        </w:rPr>
        <w:t xml:space="preserve"> dispose que la promotion de la bonne santé des écosystèmes, des infrastructures vertes et des solutions fondées sur la nature devrait être systématiquement intégrée dans la planification urbaine, y compris dans les espaces publics, les infrastructures et la conception des bâtiments et de leurs abords. À cette fin, la stratégie appelle les villes européennes de 20 000 habitants ou plus à élaborer d’ici la fin 2021 des plans ambitieux d’écologisation de l’espace urbain. Ces plans devraient mobiliser des instruments stratégiques, réglementaires et financiers.</w:t>
      </w:r>
    </w:p>
    <w:p w:rsidR="00D00652" w:rsidRPr="00D00652" w:rsidRDefault="00D00652" w:rsidP="00D00652">
      <w:pPr>
        <w:widowControl w:val="0"/>
        <w:spacing w:after="120"/>
        <w:ind w:firstLine="11"/>
        <w:jc w:val="both"/>
        <w:rPr>
          <w:rFonts w:ascii="Times New Roman" w:hAnsi="Times New Roman"/>
          <w:sz w:val="24"/>
          <w:szCs w:val="24"/>
          <w:lang w:val="fr-BE"/>
        </w:rPr>
      </w:pPr>
      <w:r w:rsidRPr="00D00652">
        <w:rPr>
          <w:rFonts w:ascii="Times New Roman" w:hAnsi="Times New Roman"/>
          <w:sz w:val="24"/>
          <w:szCs w:val="24"/>
          <w:lang w:val="fr-BE"/>
        </w:rPr>
        <w:t>La Commission appuiera les États membres et les autorités locales et régionales en leur fournissant des orientations techniques et en les aidant à mobiliser des financements et à renforcer leurs capacités. La Commission traduira ces objectifs dans la mise en œuvre de l’accord de ville verte, ainsi que dans toutes les autres initiatives pertinentes, telles que le pacte européen pour le climat.</w:t>
      </w:r>
    </w:p>
    <w:p w:rsidR="00D00652" w:rsidRPr="00D00652" w:rsidRDefault="00D00652" w:rsidP="00D00652">
      <w:pPr>
        <w:widowControl w:val="0"/>
        <w:spacing w:after="120"/>
        <w:ind w:firstLine="11"/>
        <w:jc w:val="both"/>
        <w:rPr>
          <w:rFonts w:ascii="Times New Roman" w:hAnsi="Times New Roman"/>
          <w:sz w:val="24"/>
          <w:szCs w:val="24"/>
          <w:lang w:val="fr-BE"/>
        </w:rPr>
      </w:pPr>
      <w:r w:rsidRPr="00D00652">
        <w:rPr>
          <w:rFonts w:ascii="Times New Roman" w:hAnsi="Times New Roman"/>
          <w:sz w:val="24"/>
          <w:szCs w:val="24"/>
          <w:lang w:val="fr-BE"/>
        </w:rPr>
        <w:t>Le processus de préparation des plans d’écologisation urbaine sera facilité par la mise en place d’une plateforme européenne d’écologisation urbaine en 2021, en étroite collaboration avec les villes et les maires.</w:t>
      </w:r>
    </w:p>
    <w:p w:rsidR="00D00652" w:rsidRPr="00D00652" w:rsidRDefault="00D00652" w:rsidP="00D00652">
      <w:pPr>
        <w:widowControl w:val="0"/>
        <w:spacing w:after="120"/>
        <w:jc w:val="both"/>
        <w:rPr>
          <w:rFonts w:ascii="Times New Roman" w:hAnsi="Times New Roman"/>
          <w:sz w:val="24"/>
          <w:szCs w:val="24"/>
          <w:lang w:val="fr-BE"/>
        </w:rPr>
      </w:pPr>
      <w:r w:rsidRPr="00D00652">
        <w:rPr>
          <w:rFonts w:ascii="Times New Roman" w:hAnsi="Times New Roman"/>
          <w:sz w:val="24"/>
          <w:szCs w:val="24"/>
          <w:lang w:val="fr-BE"/>
        </w:rPr>
        <w:t>Le pacte vert pour l’Europe a également mis en évidence le besoin que les transports deviennent nettement moins polluants, en particulier dans les villes, grâce à un ensemble de mesures devant couvrir les émissions, la congestion en milieu urbain et l’amélioration des transports publics. C’est dans ce contexte que la stratégie pour une mobilité durable et intelligente sera annoncée.</w:t>
      </w:r>
    </w:p>
    <w:p w:rsidR="00D00652" w:rsidRPr="00D00652" w:rsidRDefault="00D00652" w:rsidP="00D00652">
      <w:pPr>
        <w:widowControl w:val="0"/>
        <w:spacing w:after="120"/>
        <w:jc w:val="both"/>
        <w:rPr>
          <w:rFonts w:ascii="Times New Roman" w:hAnsi="Times New Roman"/>
          <w:sz w:val="24"/>
          <w:szCs w:val="24"/>
          <w:lang w:val="fr-BE"/>
        </w:rPr>
      </w:pPr>
      <w:r w:rsidRPr="00D00652">
        <w:rPr>
          <w:rFonts w:ascii="Times New Roman" w:hAnsi="Times New Roman"/>
          <w:sz w:val="24"/>
          <w:szCs w:val="24"/>
          <w:lang w:val="fr-BE"/>
        </w:rPr>
        <w:t>Comme indiqué dans le plan cible en matière de climat à l’horizon 2030, l’augmentation de la part modale des transports collectifs, de la marche et du vélo, ainsi que de la mobilité automatisée, connectée et multimodale réduira considérablement la pollution et la congestion provoquées par les transports, en particulier dans les villes.</w:t>
      </w:r>
    </w:p>
    <w:p w:rsidR="00D00652" w:rsidRPr="00D00652" w:rsidRDefault="00D00652" w:rsidP="00D00652">
      <w:pPr>
        <w:widowControl w:val="0"/>
        <w:spacing w:after="120"/>
        <w:ind w:firstLine="11"/>
        <w:jc w:val="both"/>
        <w:rPr>
          <w:rFonts w:ascii="Times New Roman" w:hAnsi="Times New Roman"/>
          <w:sz w:val="24"/>
          <w:szCs w:val="24"/>
          <w:lang w:val="fr-BE"/>
        </w:rPr>
      </w:pPr>
      <w:r w:rsidRPr="00D00652">
        <w:rPr>
          <w:rFonts w:ascii="Times New Roman" w:hAnsi="Times New Roman"/>
          <w:sz w:val="24"/>
          <w:szCs w:val="24"/>
          <w:lang w:val="fr-BE"/>
        </w:rPr>
        <w:t>En outre, les initiatives et politiques suivantes de la Commission contribueront à l’écologisation des villes, à la promotion des infrastructures vertes urbaines et au renforcement des capacités techniques et administratives:</w:t>
      </w:r>
    </w:p>
    <w:p w:rsidR="00D00652" w:rsidRPr="00D00652" w:rsidRDefault="00D00652" w:rsidP="00D00652">
      <w:pPr>
        <w:widowControl w:val="0"/>
        <w:numPr>
          <w:ilvl w:val="0"/>
          <w:numId w:val="2"/>
        </w:numPr>
        <w:spacing w:after="120" w:line="240" w:lineRule="auto"/>
        <w:ind w:left="643"/>
        <w:jc w:val="both"/>
        <w:rPr>
          <w:rFonts w:ascii="Times New Roman" w:hAnsi="Times New Roman"/>
          <w:sz w:val="24"/>
          <w:szCs w:val="24"/>
          <w:lang w:val="fr-BE"/>
        </w:rPr>
      </w:pPr>
      <w:r w:rsidRPr="00D00652">
        <w:rPr>
          <w:rFonts w:ascii="Times New Roman" w:hAnsi="Times New Roman"/>
          <w:sz w:val="24"/>
          <w:szCs w:val="24"/>
          <w:lang w:val="fr-BE"/>
        </w:rPr>
        <w:t>les prix de la Capitale verte de l’Europe et le prix «European Green Leaf», qui récompensent et véhiculent les meilleures pratiques en matière d’infrastructures vertes urbaines;</w:t>
      </w:r>
    </w:p>
    <w:p w:rsidR="00D00652" w:rsidRPr="00D00652" w:rsidRDefault="00D00652" w:rsidP="00D00652">
      <w:pPr>
        <w:widowControl w:val="0"/>
        <w:numPr>
          <w:ilvl w:val="0"/>
          <w:numId w:val="2"/>
        </w:numPr>
        <w:spacing w:after="120" w:line="240" w:lineRule="auto"/>
        <w:ind w:left="643"/>
        <w:jc w:val="both"/>
        <w:rPr>
          <w:rFonts w:ascii="Times New Roman" w:hAnsi="Times New Roman"/>
          <w:sz w:val="24"/>
          <w:szCs w:val="24"/>
          <w:lang w:val="fr-BE"/>
        </w:rPr>
      </w:pPr>
      <w:r w:rsidRPr="00D00652">
        <w:rPr>
          <w:rFonts w:ascii="Times New Roman" w:hAnsi="Times New Roman"/>
          <w:sz w:val="24"/>
          <w:szCs w:val="24"/>
          <w:lang w:val="fr-BE"/>
        </w:rPr>
        <w:t>l’outil «Green City tool», qui propose des orientations et des conseils, notamment en matière de financement et de renforcement des capacités;</w:t>
      </w:r>
    </w:p>
    <w:p w:rsidR="00D00652" w:rsidRPr="00D00652" w:rsidRDefault="00D00652" w:rsidP="00D00652">
      <w:pPr>
        <w:widowControl w:val="0"/>
        <w:numPr>
          <w:ilvl w:val="0"/>
          <w:numId w:val="2"/>
        </w:numPr>
        <w:spacing w:after="120" w:line="240" w:lineRule="auto"/>
        <w:ind w:left="643"/>
        <w:jc w:val="both"/>
        <w:rPr>
          <w:rFonts w:ascii="Times New Roman" w:hAnsi="Times New Roman"/>
          <w:sz w:val="24"/>
          <w:szCs w:val="24"/>
          <w:lang w:val="fr-BE"/>
        </w:rPr>
      </w:pPr>
      <w:r w:rsidRPr="00D00652">
        <w:rPr>
          <w:rFonts w:ascii="Times New Roman" w:hAnsi="Times New Roman"/>
          <w:sz w:val="24"/>
          <w:szCs w:val="24"/>
          <w:lang w:val="fr-BE"/>
        </w:rPr>
        <w:t>l’accord de ville verte, lancé le 22 octobre 2020 à l’occasion de la Semaine européenne des régions et des villes, vise à améliorer la qualité de vie dans les zones urbaines en les rendant plus propres et plus saines. Il renforcera également la mise en œuvre de la politique et de la législation de l’UE au niveau local. En outre, il appuiera la stratégie en faveur de la biodiversité en encourageant des actions plus ambitieuses en faveur de la nature et de la biodiversité dans les villes. La biodiversité/la nature constitue l’une de ses cinq priorités;</w:t>
      </w:r>
    </w:p>
    <w:p w:rsidR="00D00652" w:rsidRPr="00D00652" w:rsidRDefault="00D00652" w:rsidP="00D00652">
      <w:pPr>
        <w:widowControl w:val="0"/>
        <w:numPr>
          <w:ilvl w:val="0"/>
          <w:numId w:val="2"/>
        </w:numPr>
        <w:spacing w:after="120" w:line="240" w:lineRule="auto"/>
        <w:ind w:left="643"/>
        <w:jc w:val="both"/>
        <w:rPr>
          <w:rFonts w:ascii="Times New Roman" w:hAnsi="Times New Roman"/>
          <w:sz w:val="24"/>
          <w:szCs w:val="24"/>
          <w:lang w:val="fr-BE"/>
        </w:rPr>
      </w:pPr>
      <w:r w:rsidRPr="00D00652">
        <w:rPr>
          <w:rFonts w:ascii="Times New Roman" w:hAnsi="Times New Roman"/>
          <w:sz w:val="24"/>
          <w:szCs w:val="24"/>
          <w:lang w:val="fr-BE"/>
        </w:rPr>
        <w:t>le partenariat urbain pour une utilisation durable des sols et des solutions fondées sur la nature, qui fait partie du programme urbain pour l’UE;</w:t>
      </w:r>
    </w:p>
    <w:p w:rsidR="00D00652" w:rsidRPr="00D00652" w:rsidRDefault="00D00652" w:rsidP="00D00652">
      <w:pPr>
        <w:widowControl w:val="0"/>
        <w:numPr>
          <w:ilvl w:val="0"/>
          <w:numId w:val="2"/>
        </w:numPr>
        <w:spacing w:after="120" w:line="240" w:lineRule="auto"/>
        <w:ind w:left="643"/>
        <w:jc w:val="both"/>
        <w:rPr>
          <w:rFonts w:ascii="Times New Roman" w:hAnsi="Times New Roman"/>
          <w:sz w:val="24"/>
          <w:szCs w:val="24"/>
          <w:lang w:val="fr-BE"/>
        </w:rPr>
      </w:pPr>
      <w:r w:rsidRPr="00D00652">
        <w:rPr>
          <w:rFonts w:ascii="Times New Roman" w:hAnsi="Times New Roman"/>
          <w:sz w:val="24"/>
          <w:szCs w:val="24"/>
          <w:lang w:val="fr-BE"/>
        </w:rPr>
        <w:lastRenderedPageBreak/>
        <w:t>le programme d’actions innovatrices urbaines, qui favorise l’expérimentation d’idées innovantes dans les villes. Plusieurs villes expérimentent de nouvelles activités dans le domaine des infrastructures vertes;</w:t>
      </w:r>
    </w:p>
    <w:p w:rsidR="00D00652" w:rsidRPr="00D00652" w:rsidRDefault="00D00652" w:rsidP="00D00652">
      <w:pPr>
        <w:widowControl w:val="0"/>
        <w:numPr>
          <w:ilvl w:val="0"/>
          <w:numId w:val="2"/>
        </w:numPr>
        <w:spacing w:after="120" w:line="240" w:lineRule="auto"/>
        <w:ind w:left="643"/>
        <w:jc w:val="both"/>
        <w:rPr>
          <w:rFonts w:ascii="Times New Roman" w:hAnsi="Times New Roman"/>
          <w:sz w:val="24"/>
          <w:szCs w:val="24"/>
          <w:lang w:val="fr-BE"/>
        </w:rPr>
      </w:pPr>
      <w:r w:rsidRPr="00D00652">
        <w:rPr>
          <w:rFonts w:ascii="Times New Roman" w:hAnsi="Times New Roman"/>
          <w:sz w:val="24"/>
          <w:szCs w:val="24"/>
          <w:lang w:val="fr-BE"/>
        </w:rPr>
        <w:t xml:space="preserve">l’initiative MAES de l’UE </w:t>
      </w:r>
      <w:r w:rsidRPr="00D00652">
        <w:rPr>
          <w:rFonts w:ascii="Times New Roman" w:hAnsi="Times New Roman"/>
          <w:sz w:val="24"/>
          <w:szCs w:val="24"/>
          <w:shd w:val="clear" w:color="auto" w:fill="FFFFFF"/>
          <w:lang w:val="fr-BE"/>
        </w:rPr>
        <w:t>(</w:t>
      </w:r>
      <w:r w:rsidRPr="00D00652">
        <w:rPr>
          <w:rFonts w:ascii="Times New Roman" w:hAnsi="Times New Roman"/>
          <w:i/>
          <w:iCs/>
          <w:sz w:val="24"/>
          <w:szCs w:val="24"/>
          <w:shd w:val="clear" w:color="auto" w:fill="FFFFFF"/>
          <w:lang w:val="fr-BE"/>
        </w:rPr>
        <w:t>Mapping and Assessment of Ecosystems and their Services</w:t>
      </w:r>
      <w:r w:rsidRPr="00D00652">
        <w:rPr>
          <w:rFonts w:ascii="Times New Roman" w:hAnsi="Times New Roman"/>
          <w:sz w:val="24"/>
          <w:szCs w:val="24"/>
          <w:shd w:val="clear" w:color="auto" w:fill="FFFFFF"/>
          <w:lang w:val="fr-BE"/>
        </w:rPr>
        <w:t>- cartographie et évaluation des écosystèmes et de leurs services)</w:t>
      </w:r>
      <w:r w:rsidRPr="00D00652">
        <w:rPr>
          <w:rFonts w:ascii="Times New Roman" w:hAnsi="Times New Roman"/>
          <w:sz w:val="24"/>
          <w:szCs w:val="24"/>
          <w:lang w:val="fr-BE"/>
        </w:rPr>
        <w:t>, qui fournit aux villes des orientations techniques grâce à la cartographie et à l’évaluation des écosystèmes et de leurs services;</w:t>
      </w:r>
    </w:p>
    <w:p w:rsidR="00D00652" w:rsidRPr="00D00652" w:rsidRDefault="00D00652" w:rsidP="00D00652">
      <w:pPr>
        <w:widowControl w:val="0"/>
        <w:numPr>
          <w:ilvl w:val="0"/>
          <w:numId w:val="2"/>
        </w:numPr>
        <w:spacing w:after="120" w:line="240" w:lineRule="auto"/>
        <w:ind w:left="643"/>
        <w:jc w:val="both"/>
        <w:rPr>
          <w:rFonts w:ascii="Times New Roman" w:hAnsi="Times New Roman"/>
          <w:sz w:val="24"/>
          <w:szCs w:val="24"/>
          <w:lang w:val="fr-BE"/>
        </w:rPr>
      </w:pPr>
      <w:r w:rsidRPr="00D00652">
        <w:rPr>
          <w:rFonts w:ascii="Times New Roman" w:hAnsi="Times New Roman"/>
          <w:sz w:val="24"/>
          <w:szCs w:val="24"/>
          <w:lang w:val="fr-BE"/>
        </w:rPr>
        <w:t>le programme d’action d’Horizon 2020 en matière de recherche et d’innovation pour des solutions fondées sur la nature et la réintroduction de la nature dans les villes, dont l’objectif est de positionner l’UE en tant que chef de file dans le domaine de l’«innovation avec la nature» pour des sociétés plus durables et résilientes;</w:t>
      </w:r>
    </w:p>
    <w:p w:rsidR="00D00652" w:rsidRPr="00D00652" w:rsidRDefault="00D00652" w:rsidP="00D00652">
      <w:pPr>
        <w:widowControl w:val="0"/>
        <w:numPr>
          <w:ilvl w:val="0"/>
          <w:numId w:val="2"/>
        </w:numPr>
        <w:spacing w:after="120" w:line="240" w:lineRule="auto"/>
        <w:ind w:left="643"/>
        <w:jc w:val="both"/>
        <w:rPr>
          <w:rFonts w:ascii="Times New Roman" w:hAnsi="Times New Roman"/>
          <w:sz w:val="24"/>
          <w:szCs w:val="24"/>
          <w:lang w:val="fr-BE"/>
        </w:rPr>
      </w:pPr>
      <w:r w:rsidRPr="00D00652">
        <w:rPr>
          <w:rFonts w:ascii="Times New Roman" w:hAnsi="Times New Roman"/>
          <w:sz w:val="24"/>
          <w:szCs w:val="24"/>
          <w:lang w:val="fr-BE"/>
        </w:rPr>
        <w:t>la mission Horizon Europe sur les «Villes intelligentes et neutres pour le climat» soutiendra 100 villes européennes dans le cadre de leur transformation systémique vers la neutralité climatique au moyen d’un processus de co-création à plusieurs niveaux, y compris l’écologisation des infrastructures urbaines;</w:t>
      </w:r>
    </w:p>
    <w:p w:rsidR="00D00652" w:rsidRPr="00D00652" w:rsidRDefault="00D00652" w:rsidP="00D00652">
      <w:pPr>
        <w:widowControl w:val="0"/>
        <w:numPr>
          <w:ilvl w:val="0"/>
          <w:numId w:val="2"/>
        </w:numPr>
        <w:spacing w:after="120" w:line="240" w:lineRule="auto"/>
        <w:ind w:left="643"/>
        <w:jc w:val="both"/>
        <w:rPr>
          <w:rFonts w:ascii="Times New Roman" w:hAnsi="Times New Roman"/>
          <w:sz w:val="24"/>
          <w:szCs w:val="24"/>
          <w:lang w:val="fr-BE"/>
        </w:rPr>
      </w:pPr>
      <w:r w:rsidRPr="00D00652">
        <w:rPr>
          <w:rFonts w:ascii="Times New Roman" w:hAnsi="Times New Roman"/>
          <w:sz w:val="24"/>
          <w:szCs w:val="24"/>
          <w:lang w:val="fr-BE"/>
        </w:rPr>
        <w:t>plus généralement, le prochain budget de l’UE (CFP 2021-2027), le plan de relance de l’UE et NextGenerationEU offriront de nombreuses possibilités de financement de la restauration de la nature, des infrastructures vertes et des solutions fondées sur la nature dans les villes, en particulier au moyen des fonds de cohésion;</w:t>
      </w:r>
    </w:p>
    <w:p w:rsidR="00D00652" w:rsidRPr="00D00652" w:rsidRDefault="00D00652" w:rsidP="00D00652">
      <w:pPr>
        <w:numPr>
          <w:ilvl w:val="0"/>
          <w:numId w:val="2"/>
        </w:numPr>
        <w:spacing w:after="120"/>
        <w:ind w:left="643"/>
        <w:jc w:val="both"/>
        <w:rPr>
          <w:rFonts w:ascii="Times New Roman" w:hAnsi="Times New Roman"/>
          <w:sz w:val="24"/>
          <w:szCs w:val="24"/>
          <w:lang w:val="fr-BE"/>
        </w:rPr>
      </w:pPr>
      <w:r w:rsidRPr="00D00652">
        <w:rPr>
          <w:rFonts w:ascii="Times New Roman" w:hAnsi="Times New Roman"/>
          <w:sz w:val="24"/>
          <w:szCs w:val="24"/>
          <w:lang w:val="fr-BE"/>
        </w:rPr>
        <w:t>la stratégie pour une mobilité durable et intelligente, qui doit être adoptée avant la fin de 2020, comprendra un certain nombre de mesures, comme expliqué dans la communication sur le pacte vert, visant à promouvoir et à soutenir des modes de transport durables et sains.</w:t>
      </w:r>
    </w:p>
    <w:p w:rsidR="00D00652" w:rsidRPr="00D00652" w:rsidRDefault="00D00652" w:rsidP="00D00652">
      <w:pPr>
        <w:widowControl w:val="0"/>
        <w:spacing w:after="120"/>
        <w:ind w:firstLine="11"/>
        <w:jc w:val="both"/>
        <w:rPr>
          <w:rFonts w:ascii="Times New Roman" w:hAnsi="Times New Roman"/>
          <w:sz w:val="24"/>
          <w:szCs w:val="24"/>
          <w:lang w:val="fr-BE"/>
        </w:rPr>
      </w:pPr>
      <w:r w:rsidRPr="00D00652">
        <w:rPr>
          <w:rFonts w:ascii="Times New Roman" w:hAnsi="Times New Roman"/>
          <w:sz w:val="24"/>
          <w:szCs w:val="24"/>
          <w:lang w:val="fr-BE"/>
        </w:rPr>
        <w:t>Enfin, la Commission évaluera le calendrier, la faisabilité et la valeur ajoutée globale de la désignation de 2022 «Année européenne pour des villes plus vertes», dans le contexte des différents initiatives et programmes urbains déjà en cours ou en préparation, qui visent à rendre les zones urbaines vertes et à améliorer la nature dans les villes.</w:t>
      </w:r>
    </w:p>
    <w:p w:rsidR="00F36993" w:rsidRPr="00D00652" w:rsidRDefault="00F36993">
      <w:pPr>
        <w:rPr>
          <w:sz w:val="24"/>
          <w:szCs w:val="24"/>
          <w:lang w:val="fr-BE"/>
        </w:rPr>
      </w:pPr>
    </w:p>
    <w:sectPr w:rsidR="00F36993" w:rsidRPr="00D0065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652" w:rsidRDefault="00D00652" w:rsidP="00D00652">
      <w:pPr>
        <w:spacing w:after="0" w:line="240" w:lineRule="auto"/>
      </w:pPr>
      <w:r>
        <w:separator/>
      </w:r>
    </w:p>
  </w:endnote>
  <w:endnote w:type="continuationSeparator" w:id="0">
    <w:p w:rsidR="00D00652" w:rsidRDefault="00D00652" w:rsidP="00D0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652" w:rsidRDefault="00D00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537731"/>
      <w:docPartObj>
        <w:docPartGallery w:val="Page Numbers (Bottom of Page)"/>
        <w:docPartUnique/>
      </w:docPartObj>
    </w:sdtPr>
    <w:sdtEndPr>
      <w:rPr>
        <w:noProof/>
      </w:rPr>
    </w:sdtEndPr>
    <w:sdtContent>
      <w:p w:rsidR="00D00652" w:rsidRDefault="00D00652">
        <w:pPr>
          <w:pStyle w:val="Footer"/>
          <w:jc w:val="center"/>
        </w:pPr>
        <w:r w:rsidRPr="007452E8">
          <w:rPr>
            <w:rFonts w:ascii="Times New Roman" w:hAnsi="Times New Roman"/>
            <w:sz w:val="20"/>
          </w:rPr>
          <w:fldChar w:fldCharType="begin"/>
        </w:r>
        <w:r w:rsidRPr="007452E8">
          <w:rPr>
            <w:rFonts w:ascii="Times New Roman" w:hAnsi="Times New Roman"/>
            <w:sz w:val="20"/>
          </w:rPr>
          <w:instrText xml:space="preserve"> PAGE   \* MERGEFORMAT </w:instrText>
        </w:r>
        <w:r w:rsidRPr="007452E8">
          <w:rPr>
            <w:rFonts w:ascii="Times New Roman" w:hAnsi="Times New Roman"/>
            <w:sz w:val="20"/>
          </w:rPr>
          <w:fldChar w:fldCharType="separate"/>
        </w:r>
        <w:r>
          <w:rPr>
            <w:rFonts w:ascii="Times New Roman" w:hAnsi="Times New Roman"/>
            <w:noProof/>
            <w:sz w:val="20"/>
          </w:rPr>
          <w:t>2</w:t>
        </w:r>
        <w:r w:rsidRPr="007452E8">
          <w:rPr>
            <w:rFonts w:ascii="Times New Roman" w:hAnsi="Times New Roman"/>
            <w:noProof/>
            <w:sz w:val="20"/>
          </w:rPr>
          <w:fldChar w:fldCharType="end"/>
        </w:r>
      </w:p>
    </w:sdtContent>
  </w:sdt>
  <w:p w:rsidR="00D00652" w:rsidRDefault="00D00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652" w:rsidRDefault="00D00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652" w:rsidRDefault="00D00652" w:rsidP="00D00652">
      <w:pPr>
        <w:spacing w:after="0" w:line="240" w:lineRule="auto"/>
      </w:pPr>
      <w:r>
        <w:separator/>
      </w:r>
    </w:p>
  </w:footnote>
  <w:footnote w:type="continuationSeparator" w:id="0">
    <w:p w:rsidR="00D00652" w:rsidRDefault="00D00652" w:rsidP="00D00652">
      <w:pPr>
        <w:spacing w:after="0" w:line="240" w:lineRule="auto"/>
      </w:pPr>
      <w:r>
        <w:continuationSeparator/>
      </w:r>
    </w:p>
  </w:footnote>
  <w:footnote w:id="1">
    <w:p w:rsidR="00D00652" w:rsidRPr="00132F74" w:rsidRDefault="00D00652" w:rsidP="00D00652">
      <w:pPr>
        <w:pStyle w:val="FootnoteText"/>
        <w:spacing w:after="120"/>
        <w:rPr>
          <w:lang w:val="fr-BE"/>
        </w:rPr>
      </w:pPr>
      <w:r>
        <w:rPr>
          <w:rStyle w:val="FootnoteReference"/>
        </w:rPr>
        <w:footnoteRef/>
      </w:r>
      <w:r w:rsidRPr="00132F74">
        <w:rPr>
          <w:lang w:val="fr-BE"/>
        </w:rPr>
        <w:t xml:space="preserve"> </w:t>
      </w:r>
      <w:r w:rsidRPr="00132F74">
        <w:rPr>
          <w:lang w:val="fr-BE"/>
        </w:rPr>
        <w:tab/>
      </w:r>
      <w:r w:rsidRPr="00132F74">
        <w:rPr>
          <w:rFonts w:ascii="Times New Roman" w:hAnsi="Times New Roman"/>
          <w:lang w:val="fr-BE"/>
        </w:rPr>
        <w:t>COM(2020) 380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652" w:rsidRDefault="00D00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652" w:rsidRDefault="00D00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652" w:rsidRDefault="00D00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5A3B4CDC"/>
    <w:multiLevelType w:val="hybridMultilevel"/>
    <w:tmpl w:val="D6063C0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52"/>
    <w:rsid w:val="0065281F"/>
    <w:rsid w:val="00D00652"/>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3EAC7-4046-40A6-967E-FE899295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2"/>
    <w:uiPriority w:val="99"/>
    <w:qFormat/>
    <w:rsid w:val="00D00652"/>
    <w:pPr>
      <w:spacing w:after="240" w:line="240" w:lineRule="auto"/>
      <w:ind w:left="357" w:hanging="357"/>
      <w:jc w:val="both"/>
    </w:pPr>
    <w:rPr>
      <w:rFonts w:ascii="Courier New" w:eastAsia="Times New Roman" w:hAnsi="Courier New" w:cs="Times New Roman"/>
      <w:sz w:val="20"/>
      <w:szCs w:val="20"/>
      <w:lang w:eastAsia="en-GB"/>
    </w:rPr>
  </w:style>
  <w:style w:type="character" w:customStyle="1" w:styleId="FootnoteTextChar">
    <w:name w:val="Footnote Text Char"/>
    <w:basedOn w:val="DefaultParagraphFont"/>
    <w:uiPriority w:val="99"/>
    <w:semiHidden/>
    <w:rsid w:val="00D00652"/>
    <w:rPr>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D00652"/>
    <w:rPr>
      <w:vertAlign w:val="superscript"/>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D00652"/>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D00652"/>
    <w:pPr>
      <w:spacing w:line="240" w:lineRule="exact"/>
    </w:pPr>
    <w:rPr>
      <w:vertAlign w:val="superscript"/>
    </w:rPr>
  </w:style>
  <w:style w:type="paragraph" w:styleId="Header">
    <w:name w:val="header"/>
    <w:basedOn w:val="Normal"/>
    <w:link w:val="HeaderChar"/>
    <w:uiPriority w:val="99"/>
    <w:unhideWhenUsed/>
    <w:rsid w:val="00D00652"/>
    <w:pPr>
      <w:tabs>
        <w:tab w:val="center" w:pos="4513"/>
        <w:tab w:val="right" w:pos="9026"/>
      </w:tabs>
      <w:spacing w:after="0" w:line="240" w:lineRule="auto"/>
      <w:jc w:val="both"/>
    </w:pPr>
    <w:rPr>
      <w:rFonts w:ascii="Courier New" w:eastAsia="Times New Roman" w:hAnsi="Courier New" w:cs="Times New Roman"/>
      <w:sz w:val="24"/>
      <w:szCs w:val="20"/>
      <w:lang w:eastAsia="en-GB"/>
    </w:rPr>
  </w:style>
  <w:style w:type="character" w:customStyle="1" w:styleId="HeaderChar">
    <w:name w:val="Header Char"/>
    <w:basedOn w:val="DefaultParagraphFont"/>
    <w:link w:val="Header"/>
    <w:uiPriority w:val="99"/>
    <w:rsid w:val="00D00652"/>
    <w:rPr>
      <w:rFonts w:ascii="Courier New" w:eastAsia="Times New Roman" w:hAnsi="Courier New" w:cs="Times New Roman"/>
      <w:sz w:val="24"/>
      <w:szCs w:val="20"/>
      <w:lang w:eastAsia="en-GB"/>
    </w:rPr>
  </w:style>
  <w:style w:type="paragraph" w:styleId="Footer">
    <w:name w:val="footer"/>
    <w:basedOn w:val="Normal"/>
    <w:link w:val="FooterChar"/>
    <w:uiPriority w:val="99"/>
    <w:unhideWhenUsed/>
    <w:rsid w:val="00D00652"/>
    <w:pPr>
      <w:tabs>
        <w:tab w:val="center" w:pos="4513"/>
        <w:tab w:val="right" w:pos="9026"/>
      </w:tabs>
      <w:spacing w:after="0" w:line="240" w:lineRule="auto"/>
      <w:jc w:val="both"/>
    </w:pPr>
    <w:rPr>
      <w:rFonts w:ascii="Courier New" w:eastAsia="Times New Roman" w:hAnsi="Courier New" w:cs="Times New Roman"/>
      <w:sz w:val="24"/>
      <w:szCs w:val="20"/>
      <w:lang w:eastAsia="en-GB"/>
    </w:rPr>
  </w:style>
  <w:style w:type="character" w:customStyle="1" w:styleId="FooterChar">
    <w:name w:val="Footer Char"/>
    <w:basedOn w:val="DefaultParagraphFont"/>
    <w:link w:val="Footer"/>
    <w:uiPriority w:val="99"/>
    <w:rsid w:val="00D00652"/>
    <w:rPr>
      <w:rFonts w:ascii="Courier New" w:eastAsia="Times New Roman" w:hAnsi="Courier New" w:cs="Times New Roman"/>
      <w:sz w:val="24"/>
      <w:szCs w:val="20"/>
      <w:lang w:eastAsia="en-GB"/>
    </w:rPr>
  </w:style>
  <w:style w:type="character" w:customStyle="1" w:styleId="epname">
    <w:name w:val="ep_name"/>
    <w:basedOn w:val="DefaultParagraphFont"/>
    <w:rsid w:val="00D00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6784</Characters>
  <Application>Microsoft Office Word</Application>
  <DocSecurity>0</DocSecurity>
  <Lines>90</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1</cp:revision>
  <dcterms:created xsi:type="dcterms:W3CDTF">2021-02-10T16:42:00Z</dcterms:created>
  <dcterms:modified xsi:type="dcterms:W3CDTF">2021-02-10T16:42:00Z</dcterms:modified>
</cp:coreProperties>
</file>