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89" w:rsidRPr="007118B9" w:rsidRDefault="009E0A89" w:rsidP="009E0A89">
      <w:pPr>
        <w:spacing w:after="600"/>
        <w:jc w:val="center"/>
        <w:rPr>
          <w:rFonts w:ascii="Times New Roman" w:hAnsi="Times New Roman"/>
          <w:b/>
          <w:bCs/>
          <w:szCs w:val="24"/>
          <w:lang w:val="fr-BE"/>
        </w:rPr>
      </w:pPr>
      <w:r w:rsidRPr="007118B9">
        <w:rPr>
          <w:rFonts w:ascii="Times New Roman" w:hAnsi="Times New Roman"/>
          <w:b/>
          <w:bCs/>
          <w:szCs w:val="24"/>
          <w:lang w:val="fr-BE"/>
        </w:rPr>
        <w:t xml:space="preserve">Suite donnée à la </w:t>
      </w:r>
      <w:r w:rsidRPr="007118B9">
        <w:rPr>
          <w:rFonts w:ascii="Times New Roman" w:hAnsi="Times New Roman"/>
          <w:b/>
          <w:szCs w:val="24"/>
          <w:lang w:val="fr-BE"/>
        </w:rPr>
        <w:t>résolution non législative du Parlement européen</w:t>
      </w:r>
      <w:r w:rsidRPr="007118B9">
        <w:rPr>
          <w:rFonts w:ascii="Times New Roman" w:hAnsi="Times New Roman"/>
          <w:szCs w:val="24"/>
          <w:lang w:val="fr-BE"/>
        </w:rPr>
        <w:t xml:space="preserve"> </w:t>
      </w:r>
      <w:r w:rsidRPr="007118B9">
        <w:rPr>
          <w:rFonts w:ascii="Times New Roman" w:hAnsi="Times New Roman"/>
          <w:b/>
          <w:szCs w:val="24"/>
          <w:shd w:val="clear" w:color="auto" w:fill="FFFFFF"/>
          <w:lang w:val="fr-BE"/>
        </w:rPr>
        <w:t>Vers un marché unique plus durable pour les entreprises et les consommateurs</w:t>
      </w:r>
    </w:p>
    <w:p w:rsidR="009E0A89" w:rsidRPr="007118B9" w:rsidRDefault="009E0A89" w:rsidP="009E0A89">
      <w:pPr>
        <w:numPr>
          <w:ilvl w:val="0"/>
          <w:numId w:val="1"/>
        </w:numPr>
        <w:ind w:left="567" w:hanging="567"/>
        <w:rPr>
          <w:rFonts w:ascii="Times New Roman" w:hAnsi="Times New Roman"/>
          <w:b/>
          <w:szCs w:val="24"/>
          <w:lang w:val="fr-BE"/>
        </w:rPr>
      </w:pPr>
      <w:r w:rsidRPr="007118B9">
        <w:rPr>
          <w:rFonts w:ascii="Times New Roman" w:hAnsi="Times New Roman"/>
          <w:b/>
          <w:szCs w:val="24"/>
          <w:lang w:val="fr-BE"/>
        </w:rPr>
        <w:t xml:space="preserve">Rapporteur: </w:t>
      </w:r>
      <w:r w:rsidRPr="007118B9">
        <w:rPr>
          <w:rFonts w:ascii="Times New Roman" w:hAnsi="Times New Roman"/>
          <w:color w:val="1E1E1F"/>
          <w:szCs w:val="24"/>
          <w:shd w:val="clear" w:color="auto" w:fill="FFFFFF"/>
          <w:lang w:val="fr-BE"/>
        </w:rPr>
        <w:t>David CORMAND</w:t>
      </w:r>
      <w:r w:rsidRPr="007118B9">
        <w:rPr>
          <w:rFonts w:ascii="Times New Roman" w:hAnsi="Times New Roman"/>
          <w:szCs w:val="24"/>
          <w:lang w:val="fr-BE"/>
        </w:rPr>
        <w:t xml:space="preserve"> (Verts/ALE / FR)</w:t>
      </w:r>
    </w:p>
    <w:p w:rsidR="009E0A89" w:rsidRPr="007118B9" w:rsidRDefault="009E0A89" w:rsidP="009E0A89">
      <w:pPr>
        <w:numPr>
          <w:ilvl w:val="0"/>
          <w:numId w:val="1"/>
        </w:numPr>
        <w:ind w:left="567" w:hanging="567"/>
        <w:rPr>
          <w:rFonts w:ascii="Times New Roman" w:hAnsi="Times New Roman"/>
          <w:i/>
          <w:szCs w:val="24"/>
          <w:lang w:val="fr-BE"/>
        </w:rPr>
      </w:pPr>
      <w:r w:rsidRPr="007118B9">
        <w:rPr>
          <w:rFonts w:ascii="Times New Roman" w:hAnsi="Times New Roman"/>
          <w:b/>
          <w:szCs w:val="24"/>
          <w:lang w:val="fr-BE"/>
        </w:rPr>
        <w:t xml:space="preserve">Numéros de référence: </w:t>
      </w:r>
      <w:r w:rsidRPr="007118B9">
        <w:rPr>
          <w:rFonts w:ascii="Times New Roman" w:hAnsi="Times New Roman"/>
          <w:szCs w:val="24"/>
          <w:lang w:val="fr-BE"/>
        </w:rPr>
        <w:t>2020/2021 (INI) / </w:t>
      </w:r>
      <w:bookmarkStart w:id="0" w:name="_GoBack"/>
      <w:r w:rsidRPr="007118B9">
        <w:rPr>
          <w:rFonts w:ascii="Times New Roman" w:hAnsi="Times New Roman"/>
          <w:szCs w:val="24"/>
          <w:lang w:val="fr-BE"/>
        </w:rPr>
        <w:t>A9-0209/2020 </w:t>
      </w:r>
      <w:bookmarkEnd w:id="0"/>
      <w:r w:rsidRPr="007118B9">
        <w:rPr>
          <w:rFonts w:ascii="Times New Roman" w:hAnsi="Times New Roman"/>
          <w:szCs w:val="24"/>
          <w:lang w:val="fr-BE"/>
        </w:rPr>
        <w:t>/ P9_TA-</w:t>
      </w:r>
      <w:proofErr w:type="gramStart"/>
      <w:r w:rsidRPr="007118B9">
        <w:rPr>
          <w:rFonts w:ascii="Times New Roman" w:hAnsi="Times New Roman"/>
          <w:szCs w:val="24"/>
          <w:lang w:val="fr-BE"/>
        </w:rPr>
        <w:t>PROV(</w:t>
      </w:r>
      <w:proofErr w:type="gramEnd"/>
      <w:r w:rsidRPr="007118B9">
        <w:rPr>
          <w:rFonts w:ascii="Times New Roman" w:hAnsi="Times New Roman"/>
          <w:szCs w:val="24"/>
          <w:lang w:val="fr-BE"/>
        </w:rPr>
        <w:t>2020)0318</w:t>
      </w:r>
    </w:p>
    <w:p w:rsidR="009E0A89" w:rsidRPr="007118B9" w:rsidRDefault="009E0A89" w:rsidP="009E0A89">
      <w:pPr>
        <w:numPr>
          <w:ilvl w:val="0"/>
          <w:numId w:val="1"/>
        </w:numPr>
        <w:ind w:left="567" w:hanging="567"/>
        <w:rPr>
          <w:rFonts w:ascii="Times New Roman" w:hAnsi="Times New Roman"/>
          <w:szCs w:val="24"/>
          <w:lang w:val="fr-BE"/>
        </w:rPr>
      </w:pPr>
      <w:r w:rsidRPr="007118B9">
        <w:rPr>
          <w:rFonts w:ascii="Times New Roman" w:hAnsi="Times New Roman"/>
          <w:b/>
          <w:szCs w:val="24"/>
          <w:lang w:val="fr-BE"/>
        </w:rPr>
        <w:t>Date d’adoption de la résolution:</w:t>
      </w:r>
      <w:r w:rsidRPr="007118B9">
        <w:rPr>
          <w:rFonts w:ascii="Times New Roman" w:hAnsi="Times New Roman"/>
          <w:szCs w:val="24"/>
          <w:lang w:val="fr-BE"/>
        </w:rPr>
        <w:t xml:space="preserve"> 25 novembre 2020</w:t>
      </w:r>
    </w:p>
    <w:p w:rsidR="009E0A89" w:rsidRPr="007118B9" w:rsidRDefault="009E0A89" w:rsidP="009E0A89">
      <w:pPr>
        <w:pStyle w:val="ListParagraph"/>
        <w:numPr>
          <w:ilvl w:val="0"/>
          <w:numId w:val="1"/>
        </w:numPr>
        <w:spacing w:after="240"/>
        <w:ind w:left="567" w:hanging="567"/>
        <w:jc w:val="both"/>
        <w:rPr>
          <w:rFonts w:ascii="Times New Roman" w:hAnsi="Times New Roman"/>
          <w:sz w:val="24"/>
          <w:szCs w:val="24"/>
          <w:lang w:val="fr-BE"/>
        </w:rPr>
      </w:pPr>
      <w:r w:rsidRPr="007118B9">
        <w:rPr>
          <w:rFonts w:ascii="Times New Roman" w:hAnsi="Times New Roman"/>
          <w:b/>
          <w:sz w:val="24"/>
          <w:szCs w:val="24"/>
          <w:lang w:val="fr-BE"/>
        </w:rPr>
        <w:t>Commission parlementaire compétente:</w:t>
      </w:r>
      <w:r w:rsidRPr="007118B9">
        <w:rPr>
          <w:rFonts w:ascii="Times New Roman" w:hAnsi="Times New Roman"/>
          <w:sz w:val="24"/>
          <w:szCs w:val="24"/>
          <w:lang w:val="fr-BE"/>
        </w:rPr>
        <w:t xml:space="preserve"> </w:t>
      </w:r>
      <w:r w:rsidRPr="00EE2C97">
        <w:rPr>
          <w:rFonts w:ascii="Times New Roman" w:hAnsi="Times New Roman"/>
          <w:sz w:val="24"/>
          <w:szCs w:val="24"/>
          <w:lang w:val="fr-BE"/>
        </w:rPr>
        <w:t>commission du marché intérieur et de la protection des consommateurs (IMCO)</w:t>
      </w:r>
    </w:p>
    <w:p w:rsidR="009E0A89" w:rsidRPr="007118B9" w:rsidRDefault="009E0A89" w:rsidP="009E0A89">
      <w:pPr>
        <w:widowControl w:val="0"/>
        <w:numPr>
          <w:ilvl w:val="0"/>
          <w:numId w:val="1"/>
        </w:numPr>
        <w:ind w:left="567" w:hanging="567"/>
        <w:rPr>
          <w:rFonts w:ascii="Times New Roman" w:hAnsi="Times New Roman"/>
          <w:szCs w:val="24"/>
          <w:lang w:val="fr-BE"/>
        </w:rPr>
      </w:pPr>
      <w:r w:rsidRPr="007118B9">
        <w:rPr>
          <w:rFonts w:ascii="Times New Roman" w:hAnsi="Times New Roman"/>
          <w:b/>
          <w:szCs w:val="24"/>
          <w:lang w:val="fr-BE"/>
        </w:rPr>
        <w:t>Analyse/évaluation succincte de la résolution et des demandes qu’elle contient:</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Dans cette résolution, le Parlement européen salue le nouveau plan d’action pour une économie circulaire de la Commission et souligne qu’un marché unique performant constitue un outil puissant pour les transitions verte et numérique de l’Union. Il invite également la Commission à faire preuve d’une forte ambition politique dans les propositions pertinentes à venir, notamment pour</w:t>
      </w:r>
      <w:proofErr w:type="gramStart"/>
      <w:r w:rsidRPr="007118B9">
        <w:rPr>
          <w:rFonts w:ascii="Times New Roman" w:hAnsi="Times New Roman"/>
          <w:lang w:val="fr-BE"/>
        </w:rPr>
        <w:t xml:space="preserve"> «donner</w:t>
      </w:r>
      <w:proofErr w:type="gramEnd"/>
      <w:r w:rsidRPr="007118B9">
        <w:rPr>
          <w:rFonts w:ascii="Times New Roman" w:hAnsi="Times New Roman"/>
          <w:lang w:val="fr-BE"/>
        </w:rPr>
        <w:t xml:space="preserve"> aux consommateurs les moyens d’agir dans le cadre de la transition verte» et à faire montre d’une initiative relative à une politique en faveur des produits durables, et à les présenter sans délai. Dans ce contexte, il souligne que consommation durable et production durable vont de pair et que les opérateurs économiques devraient être encouragés à tenir compte de la durabilité des produits et services dès leur conception et lors de leur commercialisation ou de leur fourniture sur le marché intérieur. </w:t>
      </w:r>
    </w:p>
    <w:p w:rsidR="009E0A89" w:rsidRPr="005E2A35" w:rsidRDefault="009E0A89" w:rsidP="009E0A89">
      <w:pPr>
        <w:widowControl w:val="0"/>
        <w:spacing w:after="120"/>
        <w:rPr>
          <w:rFonts w:ascii="Times New Roman" w:hAnsi="Times New Roman"/>
          <w:szCs w:val="24"/>
        </w:rPr>
      </w:pPr>
      <w:r w:rsidRPr="007118B9">
        <w:rPr>
          <w:rFonts w:ascii="Times New Roman" w:hAnsi="Times New Roman"/>
          <w:lang w:val="fr-BE"/>
        </w:rPr>
        <w:t xml:space="preserve">La résolution présente un ensemble complet de points d’action répartis en six sections: 1. Lutte contre l’obsolescence programmée et droits des consommateurs 2. Stratégie de réparation 3. Une stratégie globale vers une économie du réemploi et de la réutilisation 4. Une stratégie numérique au service d’un marché durable 5. La nécessaire transition des autorités publiques 6. </w:t>
      </w:r>
      <w:proofErr w:type="gramStart"/>
      <w:r>
        <w:rPr>
          <w:rFonts w:ascii="Times New Roman" w:hAnsi="Times New Roman"/>
        </w:rPr>
        <w:t>Un</w:t>
      </w:r>
      <w:proofErr w:type="gramEnd"/>
      <w:r>
        <w:rPr>
          <w:rFonts w:ascii="Times New Roman" w:hAnsi="Times New Roman"/>
        </w:rPr>
        <w:t xml:space="preserve"> marketing et </w:t>
      </w:r>
      <w:proofErr w:type="spellStart"/>
      <w:r>
        <w:rPr>
          <w:rFonts w:ascii="Times New Roman" w:hAnsi="Times New Roman"/>
        </w:rPr>
        <w:t>une</w:t>
      </w:r>
      <w:proofErr w:type="spellEnd"/>
      <w:r>
        <w:rPr>
          <w:rFonts w:ascii="Times New Roman" w:hAnsi="Times New Roman"/>
        </w:rPr>
        <w:t xml:space="preserve"> </w:t>
      </w:r>
      <w:proofErr w:type="spellStart"/>
      <w:r>
        <w:rPr>
          <w:rFonts w:ascii="Times New Roman" w:hAnsi="Times New Roman"/>
        </w:rPr>
        <w:t>publicité</w:t>
      </w:r>
      <w:proofErr w:type="spellEnd"/>
      <w:r>
        <w:rPr>
          <w:rFonts w:ascii="Times New Roman" w:hAnsi="Times New Roman"/>
        </w:rPr>
        <w:t xml:space="preserve"> </w:t>
      </w:r>
      <w:proofErr w:type="spellStart"/>
      <w:r>
        <w:rPr>
          <w:rFonts w:ascii="Times New Roman" w:hAnsi="Times New Roman"/>
        </w:rPr>
        <w:t>responsables</w:t>
      </w:r>
      <w:proofErr w:type="spellEnd"/>
    </w:p>
    <w:p w:rsidR="009E0A89" w:rsidRPr="007118B9" w:rsidRDefault="009E0A89" w:rsidP="009E0A89">
      <w:pPr>
        <w:pStyle w:val="ListParagraph"/>
        <w:numPr>
          <w:ilvl w:val="0"/>
          <w:numId w:val="1"/>
        </w:numPr>
        <w:spacing w:after="120" w:line="240" w:lineRule="auto"/>
        <w:ind w:left="567" w:hanging="567"/>
        <w:contextualSpacing w:val="0"/>
        <w:jc w:val="both"/>
        <w:rPr>
          <w:rFonts w:ascii="Times New Roman" w:hAnsi="Times New Roman"/>
          <w:b/>
          <w:bCs/>
          <w:sz w:val="24"/>
          <w:szCs w:val="24"/>
          <w:lang w:val="fr-BE"/>
        </w:rPr>
      </w:pPr>
      <w:r w:rsidRPr="007118B9">
        <w:rPr>
          <w:rFonts w:ascii="Times New Roman" w:hAnsi="Times New Roman"/>
          <w:b/>
          <w:sz w:val="24"/>
          <w:szCs w:val="24"/>
          <w:lang w:val="fr-BE"/>
        </w:rPr>
        <w:t>Réponse à ces demandes et aperçu des mesures que la Commission a prises ou envisage de prendre:</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 xml:space="preserve">Au paragraphe 5, le Parlement européen invite la Commission à proposer des mesures, en opérant une distinction entre les catégories de produits et les secteurs ayant une incidence significative sur l’environnement, afin d’améliorer la durabilité des produits, y compris leur durée de vie estimée, leur réutilisabilité, leur évolutivité, leur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et leur </w:t>
      </w:r>
      <w:proofErr w:type="spellStart"/>
      <w:r w:rsidRPr="007118B9">
        <w:rPr>
          <w:rFonts w:ascii="Times New Roman" w:hAnsi="Times New Roman"/>
          <w:lang w:val="fr-BE"/>
        </w:rPr>
        <w:t>recyclabilité</w:t>
      </w:r>
      <w:proofErr w:type="spellEnd"/>
      <w:r w:rsidRPr="007118B9">
        <w:rPr>
          <w:rFonts w:ascii="Times New Roman" w:hAnsi="Times New Roman"/>
          <w:lang w:val="fr-BE"/>
        </w:rPr>
        <w:t>.</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 xml:space="preserve">Conformément au plan d’action 2020 pour une économie circulaire, la Commission examinera les points susmentionnés dans le cadre de l’initiative sur les produits durables, qui vise à fournir la base nécessaire pour garantir une performance environnementale élevée pour la gamme la plus large possible de produits mis sur le marché de l’Union européenne, en définissant des principes de durabilité et des exigences spécifiques, en accordant la priorité aux groupes de produits recensés dans le contexte des chaînes de valeur figurant dans le plan d’action pour une économie circulaire, par exemple le matériel électronique, les TIC </w:t>
      </w:r>
      <w:r w:rsidRPr="007118B9">
        <w:rPr>
          <w:rFonts w:ascii="Times New Roman" w:hAnsi="Times New Roman"/>
          <w:szCs w:val="24"/>
          <w:lang w:val="fr-BE"/>
        </w:rPr>
        <w:t>(</w:t>
      </w:r>
      <w:r w:rsidRPr="007118B9">
        <w:rPr>
          <w:rFonts w:ascii="Times New Roman" w:hAnsi="Times New Roman"/>
          <w:szCs w:val="24"/>
          <w:shd w:val="clear" w:color="auto" w:fill="FFFFFF"/>
          <w:lang w:val="fr-BE"/>
        </w:rPr>
        <w:t>technologies de l’information et de la communication)</w:t>
      </w:r>
      <w:r w:rsidRPr="007118B9">
        <w:rPr>
          <w:rFonts w:ascii="Times New Roman" w:hAnsi="Times New Roman"/>
          <w:lang w:val="fr-BE"/>
        </w:rPr>
        <w:t>, et les textiles, mais aussi les meubles et les produits intermédiaires à fort impact tels que l’acier, le ciment et les produits chimiques.</w:t>
      </w:r>
    </w:p>
    <w:p w:rsidR="009E0A89" w:rsidRPr="007118B9" w:rsidRDefault="009E0A89" w:rsidP="009E0A89">
      <w:pPr>
        <w:widowControl w:val="0"/>
        <w:spacing w:after="120"/>
        <w:rPr>
          <w:rFonts w:ascii="Times New Roman" w:hAnsi="Times New Roman"/>
          <w:bCs/>
          <w:lang w:val="fr-BE"/>
        </w:rPr>
      </w:pPr>
      <w:r w:rsidRPr="007118B9">
        <w:rPr>
          <w:rFonts w:ascii="Times New Roman" w:hAnsi="Times New Roman"/>
          <w:bCs/>
          <w:lang w:val="fr-BE"/>
        </w:rPr>
        <w:t xml:space="preserve">En outre, la faisabilité des exigences en matière de durabilité, de </w:t>
      </w:r>
      <w:proofErr w:type="spellStart"/>
      <w:r w:rsidRPr="007118B9">
        <w:rPr>
          <w:rFonts w:ascii="Times New Roman" w:hAnsi="Times New Roman"/>
          <w:bCs/>
          <w:lang w:val="fr-BE"/>
        </w:rPr>
        <w:t>réparabilité</w:t>
      </w:r>
      <w:proofErr w:type="spellEnd"/>
      <w:r w:rsidRPr="007118B9">
        <w:rPr>
          <w:rFonts w:ascii="Times New Roman" w:hAnsi="Times New Roman"/>
          <w:bCs/>
          <w:lang w:val="fr-BE"/>
        </w:rPr>
        <w:t xml:space="preserve">, d’évolutivité, de réutilisation, de </w:t>
      </w:r>
      <w:proofErr w:type="spellStart"/>
      <w:r w:rsidRPr="007118B9">
        <w:rPr>
          <w:rFonts w:ascii="Times New Roman" w:hAnsi="Times New Roman"/>
          <w:bCs/>
          <w:lang w:val="fr-BE"/>
        </w:rPr>
        <w:t>recyclabilité</w:t>
      </w:r>
      <w:proofErr w:type="spellEnd"/>
      <w:r w:rsidRPr="007118B9">
        <w:rPr>
          <w:rFonts w:ascii="Times New Roman" w:hAnsi="Times New Roman"/>
          <w:bCs/>
          <w:lang w:val="fr-BE"/>
        </w:rPr>
        <w:t xml:space="preserve"> et de prise en compte de la teneur en matières recyclées sera systématiquement évaluée lors de l’élaboration de nouvelles réglementations spécifiques aux </w:t>
      </w:r>
      <w:r w:rsidRPr="007118B9">
        <w:rPr>
          <w:rFonts w:ascii="Times New Roman" w:hAnsi="Times New Roman"/>
          <w:bCs/>
          <w:lang w:val="fr-BE"/>
        </w:rPr>
        <w:lastRenderedPageBreak/>
        <w:t>produits ou de la révision des réglementations existantes, dans le cadre de la directive actuelle sur l’écoconception.</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 xml:space="preserve">Les invitations adressées à la Commission au paragraphe 6 de lutter contre l’obsolescence programmée et de fournir aux consommateurs des informations claires et non confuses sur la durée de vie estimée et la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d’un produit, éventuellement par l’introduction d’un étiquetage obligatoire informant sur la durabilité et la </w:t>
      </w:r>
      <w:proofErr w:type="spellStart"/>
      <w:r w:rsidRPr="007118B9">
        <w:rPr>
          <w:rFonts w:ascii="Times New Roman" w:hAnsi="Times New Roman"/>
          <w:lang w:val="fr-BE"/>
        </w:rPr>
        <w:t>réparabilité</w:t>
      </w:r>
      <w:proofErr w:type="spellEnd"/>
      <w:r w:rsidRPr="007118B9">
        <w:rPr>
          <w:rFonts w:ascii="Times New Roman" w:hAnsi="Times New Roman"/>
          <w:lang w:val="fr-BE"/>
        </w:rPr>
        <w:t>, comme un score de réparation, correspondent à l’approche définie dans le «</w:t>
      </w:r>
      <w:r w:rsidRPr="007118B9">
        <w:rPr>
          <w:rFonts w:ascii="Times New Roman" w:hAnsi="Times New Roman"/>
          <w:shd w:val="clear" w:color="auto" w:fill="FFFFFF"/>
          <w:lang w:val="fr-BE"/>
        </w:rPr>
        <w:t>Nouvel agenda du consommateur visant à renforcer la résilience des consommateurs en vue d’une reprise durable» de la Commission [COM(2020) 696 final] qui souligne que</w:t>
      </w:r>
      <w:r w:rsidRPr="007118B9">
        <w:rPr>
          <w:rFonts w:ascii="Times New Roman" w:hAnsi="Times New Roman"/>
          <w:color w:val="444444"/>
          <w:shd w:val="clear" w:color="auto" w:fill="FFFFFF"/>
          <w:lang w:val="fr-BE"/>
        </w:rPr>
        <w:t xml:space="preserve"> </w:t>
      </w:r>
      <w:r w:rsidRPr="007118B9">
        <w:rPr>
          <w:rFonts w:ascii="Times New Roman" w:hAnsi="Times New Roman"/>
          <w:lang w:val="fr-BE"/>
        </w:rPr>
        <w:t xml:space="preserve">les consommateurs ont besoin d’informations plus fiables et de meilleure qualité sur les aspects liés à la durabilité des biens et des services, tout en évitant une surcharge d’informations. La prochaine initiative visant à donner aux consommateurs les moyens d’agir dans le cadre de la transition verte, qui sera présentée par la Commission en 2021, entend aborder la question de l’accès des consommateurs aux informations sur les caractéristiques environnementales des produits, dont leur durabilité, leur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ou leur évolutivité. L’analyse d’impact de cette initiative porte également sur la pertinence des étiquettes et la possibilité qu’elles offrent pour garantir la fiabilité et la comparabilité de ces informations, en complément d’autres instruments et options stratégiques possibles, parmi lesquels des mesures visant à renforcer les systèmes d’étiquetage dans l’Union.</w:t>
      </w:r>
    </w:p>
    <w:p w:rsidR="009E0A89" w:rsidRPr="007118B9" w:rsidRDefault="009E0A89" w:rsidP="009E0A89">
      <w:pPr>
        <w:widowControl w:val="0"/>
        <w:spacing w:after="120"/>
        <w:rPr>
          <w:rFonts w:ascii="Times New Roman" w:hAnsi="Times New Roman"/>
          <w:bCs/>
          <w:lang w:val="fr-BE"/>
        </w:rPr>
      </w:pPr>
      <w:r w:rsidRPr="007118B9">
        <w:rPr>
          <w:rFonts w:ascii="Times New Roman" w:hAnsi="Times New Roman"/>
          <w:lang w:val="fr-BE"/>
        </w:rPr>
        <w:t xml:space="preserve">En outre, en ce qui concerne spécifiquement l’étiquetage sur la durabilité et la </w:t>
      </w:r>
      <w:proofErr w:type="spellStart"/>
      <w:r w:rsidRPr="007118B9">
        <w:rPr>
          <w:rFonts w:ascii="Times New Roman" w:hAnsi="Times New Roman"/>
          <w:lang w:val="fr-BE"/>
        </w:rPr>
        <w:t>réparabilité</w:t>
      </w:r>
      <w:proofErr w:type="spellEnd"/>
      <w:r w:rsidRPr="007118B9">
        <w:rPr>
          <w:rFonts w:ascii="Times New Roman" w:hAnsi="Times New Roman"/>
          <w:lang w:val="fr-BE"/>
        </w:rPr>
        <w:t>, la Commission</w:t>
      </w:r>
      <w:r w:rsidRPr="007118B9">
        <w:rPr>
          <w:rFonts w:ascii="Times New Roman" w:hAnsi="Times New Roman"/>
          <w:bCs/>
          <w:lang w:val="fr-BE"/>
        </w:rPr>
        <w:t xml:space="preserve"> évaluera, dans le cadre du règlement (UE) 2017/1369 sur l’étiquetage énergétique, lors de la conception d’étiquettes énergétiques nouvelles ou révisées au niveau de chaque produit, la pertinence et la faisabilité de l’introduction d’informations liées aux aspects de durabilité et de </w:t>
      </w:r>
      <w:proofErr w:type="spellStart"/>
      <w:r w:rsidRPr="007118B9">
        <w:rPr>
          <w:rFonts w:ascii="Times New Roman" w:hAnsi="Times New Roman"/>
          <w:bCs/>
          <w:lang w:val="fr-BE"/>
        </w:rPr>
        <w:t>réparabilité</w:t>
      </w:r>
      <w:proofErr w:type="spellEnd"/>
      <w:r w:rsidRPr="007118B9">
        <w:rPr>
          <w:rFonts w:ascii="Times New Roman" w:hAnsi="Times New Roman"/>
          <w:bCs/>
          <w:lang w:val="fr-BE"/>
        </w:rPr>
        <w:t>, par exemple sous la forme d’indices, comme analysé dans un récent rapport technique du Centre commun de recherche</w:t>
      </w:r>
      <w:r w:rsidRPr="00302360">
        <w:rPr>
          <w:rStyle w:val="FootnoteReference"/>
          <w:rFonts w:ascii="Times New Roman" w:hAnsi="Times New Roman"/>
          <w:bCs/>
        </w:rPr>
        <w:footnoteReference w:id="1"/>
      </w:r>
      <w:r w:rsidRPr="007118B9">
        <w:rPr>
          <w:rFonts w:ascii="Times New Roman" w:hAnsi="Times New Roman"/>
          <w:bCs/>
          <w:lang w:val="fr-BE"/>
        </w:rPr>
        <w:t>.</w:t>
      </w:r>
    </w:p>
    <w:p w:rsidR="009E0A89" w:rsidRPr="007118B9" w:rsidRDefault="009E0A89" w:rsidP="009E0A89">
      <w:pPr>
        <w:widowControl w:val="0"/>
        <w:spacing w:after="120"/>
        <w:rPr>
          <w:rFonts w:ascii="Times New Roman" w:hAnsi="Times New Roman"/>
          <w:bCs/>
          <w:sz w:val="22"/>
          <w:lang w:val="fr-BE"/>
        </w:rPr>
      </w:pPr>
      <w:r w:rsidRPr="007118B9">
        <w:rPr>
          <w:rFonts w:ascii="Times New Roman" w:hAnsi="Times New Roman"/>
          <w:bCs/>
          <w:lang w:val="fr-BE"/>
        </w:rPr>
        <w:t xml:space="preserve">En outre, accroître la disponibilité des informations nécessaires pour permettre aux consommateurs de faire des choix de produits plus éclairés et durables constitue également l’une des priorités de l’initiative sur les produits durables. Dans le cadre de l’analyse d’impact qu’elle réalise actuellement en vue d’élaborer l’initiative sur les produits durables, la Commission examine diverses options stratégiques, à savoir l’élaboration d’un passeport produit numérique, qui comprendrait des informations sur la durabilité et la </w:t>
      </w:r>
      <w:proofErr w:type="spellStart"/>
      <w:r w:rsidRPr="007118B9">
        <w:rPr>
          <w:rFonts w:ascii="Times New Roman" w:hAnsi="Times New Roman"/>
          <w:bCs/>
          <w:lang w:val="fr-BE"/>
        </w:rPr>
        <w:t>réparabilité</w:t>
      </w:r>
      <w:proofErr w:type="spellEnd"/>
      <w:r w:rsidRPr="007118B9">
        <w:rPr>
          <w:rFonts w:ascii="Times New Roman" w:hAnsi="Times New Roman"/>
          <w:bCs/>
          <w:lang w:val="fr-BE"/>
        </w:rPr>
        <w:t>, ainsi que des aspects liés à la performance environnementale du produit.</w:t>
      </w:r>
    </w:p>
    <w:p w:rsidR="009E0A89" w:rsidRPr="007118B9" w:rsidRDefault="009E0A89" w:rsidP="009E0A89">
      <w:pPr>
        <w:widowControl w:val="0"/>
        <w:spacing w:after="120"/>
        <w:rPr>
          <w:rFonts w:ascii="Times New Roman" w:hAnsi="Times New Roman"/>
          <w:bCs/>
          <w:lang w:val="fr-BE"/>
        </w:rPr>
      </w:pPr>
      <w:r w:rsidRPr="007118B9">
        <w:rPr>
          <w:rFonts w:ascii="Times New Roman" w:hAnsi="Times New Roman"/>
          <w:bCs/>
          <w:lang w:val="fr-BE"/>
        </w:rPr>
        <w:t xml:space="preserve">La Commission salue l’invitation qui lui est adressée au paragraphe 6, point c), de renforcer l’assimilation par l’industrie du label écologique de l’Union et la sensibilisation des consommateurs à ce label. Le nouveau plan d’action pour une économie circulaire reconnaît le rôle précieux des critères du label écologique de l’UE et la nécessité de s’appuyer, le cas échéant, sur les critères et les règles établis dans le cadre du règlement établissant le label écologique de l’UE. Il indique également que la Commission inclura plus systématiquement les questions de durabilité, de </w:t>
      </w:r>
      <w:proofErr w:type="spellStart"/>
      <w:r w:rsidRPr="007118B9">
        <w:rPr>
          <w:rFonts w:ascii="Times New Roman" w:hAnsi="Times New Roman"/>
          <w:bCs/>
          <w:lang w:val="fr-BE"/>
        </w:rPr>
        <w:t>recyclabilité</w:t>
      </w:r>
      <w:proofErr w:type="spellEnd"/>
      <w:r w:rsidRPr="007118B9">
        <w:rPr>
          <w:rFonts w:ascii="Times New Roman" w:hAnsi="Times New Roman"/>
          <w:bCs/>
          <w:lang w:val="fr-BE"/>
        </w:rPr>
        <w:t xml:space="preserve"> et de contenu recyclé dans les critères du label écologique de l’UE. Il est à noter que depuis 2016, le nombre de produits et services ayant obtenu le label écologique de l’UE disponibles sur le marché européen a presque doublé et s’élevait à 75 796 en septembre 2020. Le label écologique de l’UE couvre actuellement 24 groupes de produits/services (tels que les détergents, le papier, le textile, les hébergements touristiques,</w:t>
      </w:r>
      <w:r>
        <w:rPr>
          <w:rFonts w:ascii="Times New Roman" w:hAnsi="Times New Roman"/>
          <w:bCs/>
          <w:lang w:val="fr-BE"/>
        </w:rPr>
        <w:t> </w:t>
      </w:r>
      <w:r w:rsidRPr="007118B9">
        <w:rPr>
          <w:rFonts w:ascii="Times New Roman" w:hAnsi="Times New Roman"/>
          <w:bCs/>
          <w:lang w:val="fr-BE"/>
        </w:rPr>
        <w:t>etc.) et de nouveaux critères du label écologique de l’UE pour les produits financiers de détail devraient être établis fin 2021.</w:t>
      </w:r>
    </w:p>
    <w:p w:rsidR="009E0A89" w:rsidRPr="007118B9" w:rsidRDefault="009E0A89" w:rsidP="009E0A89">
      <w:pPr>
        <w:widowControl w:val="0"/>
        <w:spacing w:after="120"/>
        <w:rPr>
          <w:rFonts w:ascii="Times New Roman" w:hAnsi="Times New Roman"/>
          <w:bCs/>
          <w:lang w:val="fr-BE"/>
        </w:rPr>
      </w:pPr>
      <w:r w:rsidRPr="007118B9">
        <w:rPr>
          <w:rFonts w:ascii="Times New Roman" w:hAnsi="Times New Roman"/>
          <w:bCs/>
          <w:lang w:val="fr-BE"/>
        </w:rPr>
        <w:lastRenderedPageBreak/>
        <w:t>La faisabilité des compteurs d’utilisation intégrés, qui fait l’objet d’une invitation à prendre des mesures au paragraphe 6, point d), et des mécanismes de retour d’information des consommateurs concernant l’optimisation de l’utilisation et de l’entretien des produits est analysée (ainsi que les incidences environnementales connexes), en termes généraux, dans le cadre des activités préparatoires du prochain plan de travail sur l’écoconception envisagé</w:t>
      </w:r>
      <w:r w:rsidRPr="00302360">
        <w:rPr>
          <w:rStyle w:val="FootnoteReference"/>
          <w:rFonts w:ascii="Times New Roman" w:hAnsi="Times New Roman"/>
          <w:bCs/>
        </w:rPr>
        <w:footnoteReference w:id="2"/>
      </w:r>
      <w:r w:rsidRPr="007118B9">
        <w:rPr>
          <w:rFonts w:ascii="Times New Roman" w:hAnsi="Times New Roman"/>
          <w:bCs/>
          <w:lang w:val="fr-BE"/>
        </w:rPr>
        <w:t>.</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l’alignement de la durée de validité des garanties légales prévues par la directive (UE) 2019/771 sur la durée de vie estimée, qui fait l’objet d’une invitation à prendre des mesures au paragraphe 6, point e), il convient de noter que le concept de durée de vie estimée diffère d’un produit à l’autre. Sans préjudice de l’évaluation future de la directive visée dans le nouvel agenda du consommateur, il convient de reconnaître que l’alignement de la durée de validité de la garantie légale sur la durée de vie estimée signifierait que chaque produit aurait une période de garantie légale différente, ce qui pourrait créer une incertitude juridique et des difficultés pratiques, pour les vendeurs, à gérer un cadre juridique aussi complexe. La directive (UE) 2019/771 est un instrument horizontal qui s’applique à tous les types de biens et de produits. Elle prévoit une période de garantie légale unique. En outre, la période de garantie légale fait l’objet d’une harmonisation minimale, avec pour résultat, dès à présent, que les États membres sont autorisés à prolonger ce délai.</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la période d’inversion de la charge de la preuve, qui fait également l’objet d’une invitation à prendre des mesures au paragraphe 6, point e), la directive (UE) 2019/771 a déjà fait passer ce délai de six mois à un an. En outre, cette directive permet aux États membres de fixer un délai de deux ans à la place.</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l’invitation qui lui est adressée de prendre des mesures au paragraphe 6, point f), la Commission souligne que la directive (UE) 2019/771 s’applique aux contrats de vente conclus entre le consommateur et le vendeur. Les recours dont disposent les consommateurs en vertu de cette directive sont fondés sur la non-conformité par rapport au contrat auquel seuls le consommateur et le vendeur sont parties. En outre, certains des recours, tels que la réduction du prix ou la résolution du contrat, ne peuvent être accordés que par le vendeur.</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Si le fabricant est responsable du défaut de conformité, cette directive confère au vendeur un droit de recours contre le fabricant. Cette approche permet aux consommateurs de disposer d’un point de contact unique, auquel ils peuvent s’adresser en cas de défaut de conformité.</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L’initiative susmentionnée visant à donner aux consommateurs les moyens d’agir dans le cadre de la transition verte aura également pour objectif de mieux protéger les consommateurs contre certaines pratiques commerciales, telles que les pratiques d’obsolescence prématurée des produits, y compris l’obsolescence programmée invoquée au paragraphe 6, point g). Le nouveau plan d’action pour une économie circulaire présente un certain nombre d’initiatives spécifiques</w:t>
      </w:r>
      <w:r w:rsidRPr="00302360">
        <w:rPr>
          <w:rFonts w:ascii="Times New Roman" w:hAnsi="Times New Roman"/>
          <w:noProof/>
          <w:vertAlign w:val="superscript"/>
        </w:rPr>
        <w:footnoteReference w:id="3"/>
      </w:r>
      <w:r w:rsidRPr="007118B9">
        <w:rPr>
          <w:rFonts w:ascii="Times New Roman" w:hAnsi="Times New Roman"/>
          <w:lang w:val="fr-BE"/>
        </w:rPr>
        <w:t xml:space="preserve"> visant à </w:t>
      </w:r>
      <w:r w:rsidRPr="007118B9">
        <w:rPr>
          <w:rFonts w:ascii="Times New Roman" w:hAnsi="Times New Roman"/>
          <w:b/>
          <w:bCs/>
          <w:lang w:val="fr-BE"/>
        </w:rPr>
        <w:t>lutter contre l’obsolescence prématurée et promouvoir la durabilité</w:t>
      </w:r>
      <w:r w:rsidRPr="007118B9">
        <w:rPr>
          <w:rFonts w:ascii="Times New Roman" w:hAnsi="Times New Roman"/>
          <w:lang w:val="fr-BE"/>
        </w:rPr>
        <w:t xml:space="preserve">, la </w:t>
      </w:r>
      <w:proofErr w:type="spellStart"/>
      <w:r w:rsidRPr="007118B9">
        <w:rPr>
          <w:rFonts w:ascii="Times New Roman" w:hAnsi="Times New Roman"/>
          <w:lang w:val="fr-BE"/>
        </w:rPr>
        <w:t>recyclabilité</w:t>
      </w:r>
      <w:proofErr w:type="spellEnd"/>
      <w:r w:rsidRPr="007118B9">
        <w:rPr>
          <w:rFonts w:ascii="Times New Roman" w:hAnsi="Times New Roman"/>
          <w:lang w:val="fr-BE"/>
        </w:rPr>
        <w:t xml:space="preserve">, la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et l’accessibilité des produits, et à soutenir les mesures prises par les entreprises.</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 xml:space="preserve">En ce qui concerne les invitations adressées au paragraphe 7, </w:t>
      </w:r>
      <w:proofErr w:type="gramStart"/>
      <w:r w:rsidRPr="007118B9">
        <w:rPr>
          <w:rFonts w:ascii="Times New Roman" w:hAnsi="Times New Roman"/>
          <w:lang w:val="fr-BE"/>
        </w:rPr>
        <w:t>points a</w:t>
      </w:r>
      <w:proofErr w:type="gramEnd"/>
      <w:r w:rsidRPr="007118B9">
        <w:rPr>
          <w:rFonts w:ascii="Times New Roman" w:hAnsi="Times New Roman"/>
          <w:lang w:val="fr-BE"/>
        </w:rPr>
        <w:t xml:space="preserve">), b) et c), il convient de souligner que les exigences relatives à la fourniture de mises à jour logicielles ont été introduites pour la première fois dans la directive (UE) 2019/771. En particulier, la directive exige désormais des vendeurs qu’ils veillent à ce que le consommateur soit informé des mises à jour (y compris les mises à jour de sécurité) qui sont nécessaires au maintien de la </w:t>
      </w:r>
      <w:r w:rsidRPr="007118B9">
        <w:rPr>
          <w:rFonts w:ascii="Times New Roman" w:hAnsi="Times New Roman"/>
          <w:lang w:val="fr-BE"/>
        </w:rPr>
        <w:lastRenderedPageBreak/>
        <w:t>conformité des biens comportant des éléments numériques, et qu’ils les lui fournissent. Si l’élément numérique du bien est fourni de manière continue, l’obligation de fournir ces mises à jour s’applique pendant toute la durée de fourniture de ce contenu. Si le contrat de vente prévoit une opération de fourniture unique de l’élément numérique, l’obligation de mise à jour s’applique pendant une période qui est celle à laquelle le consommateur peut raisonnablement s’attendre. Dans le cadre de la révision, la Commission examinera comment les règles de mise à jour ont été mises en œuvre et sont appliquées dans la pratique.</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Le renforcement des voies de recours et de l’application des droits des consommateurs, souligné au paragraphe 8, représente également l’une des principales priorités du nouvel agenda du consommateur, dont l’application des dispositions visant à lutter contre les allégations écologiques trompeuses et les pratiques commerciales déloyales liées aux techniques d’influence en ligne et à la personnalisation constitue l’une des deux priorités stratégiques. En outre, la prochaine initiative visant à donner aux consommateurs les moyens d’agir dans le cadre de la transition verte tendra également à renforcer le caractère exécutoire pour les consommateurs ainsi que pour les entreprises. Cela pourrait se faire en s’appuyant sur le cadre législatif horizontal de protection des consommateurs de l’Union, y compris les améliorations récemment apportées en ce qui concerne l’application des instruments de protection des consommateurs (notamment les changements apportés dans le cadre de la</w:t>
      </w:r>
      <w:proofErr w:type="gramStart"/>
      <w:r w:rsidRPr="007118B9">
        <w:rPr>
          <w:rFonts w:ascii="Times New Roman" w:hAnsi="Times New Roman"/>
          <w:lang w:val="fr-BE"/>
        </w:rPr>
        <w:t xml:space="preserve"> «nouvelle</w:t>
      </w:r>
      <w:proofErr w:type="gramEnd"/>
      <w:r w:rsidRPr="007118B9">
        <w:rPr>
          <w:rFonts w:ascii="Times New Roman" w:hAnsi="Times New Roman"/>
          <w:lang w:val="fr-BE"/>
        </w:rPr>
        <w:t xml:space="preserve"> donne pour les consommateurs»).</w:t>
      </w:r>
    </w:p>
    <w:p w:rsidR="009E0A89" w:rsidRPr="007118B9" w:rsidRDefault="009E0A89" w:rsidP="009E0A89">
      <w:pPr>
        <w:widowControl w:val="0"/>
        <w:spacing w:after="120"/>
        <w:rPr>
          <w:rFonts w:ascii="Times New Roman" w:hAnsi="Times New Roman"/>
          <w:lang w:val="fr-BE"/>
        </w:rPr>
      </w:pPr>
      <w:r w:rsidRPr="007118B9">
        <w:rPr>
          <w:rFonts w:ascii="Times New Roman" w:hAnsi="Times New Roman"/>
          <w:lang w:val="fr-BE"/>
        </w:rPr>
        <w:t>En ce qui concerne le paragraphe 9</w:t>
      </w:r>
      <w:r w:rsidRPr="007118B9">
        <w:rPr>
          <w:rFonts w:ascii="Times New Roman" w:hAnsi="Times New Roman"/>
          <w:bCs/>
          <w:lang w:val="fr-BE"/>
        </w:rPr>
        <w:t xml:space="preserve">, la Commission élabore actuellement des actes d’exécution du règlement (UE) 2019/1020, notamment en ce qui concerne les contrôles des produits entrant sur le marché de l’Union, et des lignes directrices pour l’application de l’article 4, qui exige un opérateur économique établi dans l’Union européenne pour certains produits. Les travaux menés avec les États membres en vue de la création de la nouvelle interface entre les systèmes douaniers nationaux et le </w:t>
      </w:r>
      <w:r w:rsidRPr="007118B9">
        <w:rPr>
          <w:rFonts w:ascii="Times New Roman" w:hAnsi="Times New Roman"/>
          <w:lang w:val="fr-BE"/>
        </w:rPr>
        <w:t>système d’information et de communication pour la surveillance des marchés</w:t>
      </w:r>
      <w:r w:rsidRPr="007118B9">
        <w:rPr>
          <w:rFonts w:ascii="Times New Roman" w:hAnsi="Times New Roman"/>
          <w:szCs w:val="24"/>
          <w:lang w:val="fr-BE"/>
        </w:rPr>
        <w:t xml:space="preserve"> (ICSMS) ont également commencé.</w:t>
      </w:r>
      <w:r w:rsidRPr="007118B9">
        <w:rPr>
          <w:rFonts w:ascii="Times New Roman" w:hAnsi="Times New Roman"/>
          <w:bCs/>
          <w:lang w:val="fr-BE"/>
        </w:rPr>
        <w:t xml:space="preserve"> La Commission tient également à souligner que pour mener à bien cette mission, non seulement les autorités de surveillance du marché, mais également les autorités douanières, doivent être dotées des moyens financiers, techniques, humains et d’information adéquats, conformément au règlement (UE) 2019/1020. Depuis janvier 2021, la Commission collabore avec les États membres au sein du nouveau réseau de l’Union pour la conformité des produits afin de rationaliser les pratiques de surveillance du marché au sein de l’Union et de fixer des priorités pour les projets et les essais conjoints, avec l’appui financier du programme relatif au marché unique.</w:t>
      </w:r>
    </w:p>
    <w:p w:rsidR="009E0A89" w:rsidRPr="007118B9" w:rsidRDefault="009E0A89" w:rsidP="009E0A89">
      <w:pPr>
        <w:widowControl w:val="0"/>
        <w:spacing w:after="120"/>
        <w:jc w:val="left"/>
        <w:rPr>
          <w:rFonts w:ascii="Times New Roman" w:hAnsi="Times New Roman"/>
          <w:b/>
          <w:bCs/>
          <w:i/>
          <w:iCs/>
          <w:lang w:val="fr-BE"/>
        </w:rPr>
      </w:pPr>
      <w:r w:rsidRPr="007118B9">
        <w:rPr>
          <w:rFonts w:ascii="Times New Roman" w:hAnsi="Times New Roman"/>
          <w:b/>
          <w:bCs/>
          <w:i/>
          <w:iCs/>
          <w:lang w:val="fr-BE"/>
        </w:rPr>
        <w:t>Stratégie de réparation</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La prochaine initiative visant à donner aux consommateurs les moyens d’agir dans le cadre de la transition verte, l’initiative sur les produits durables et, le cas échéant, les initiatives sectorielles pourraient également contribuer à l’</w:t>
      </w:r>
      <w:r w:rsidRPr="007118B9">
        <w:rPr>
          <w:rFonts w:ascii="Times New Roman" w:hAnsi="Times New Roman"/>
          <w:b/>
          <w:bCs/>
          <w:lang w:val="fr-BE"/>
        </w:rPr>
        <w:t>établissement d’un droit de réparation effectif</w:t>
      </w:r>
      <w:r w:rsidRPr="007118B9">
        <w:rPr>
          <w:rFonts w:ascii="Times New Roman" w:hAnsi="Times New Roman"/>
          <w:lang w:val="fr-BE"/>
        </w:rPr>
        <w:t>, comme l’y invite le Parlement européen au paragraphe 11.</w:t>
      </w:r>
      <w:r w:rsidRPr="007118B9">
        <w:rPr>
          <w:rFonts w:ascii="Times New Roman" w:hAnsi="Times New Roman"/>
          <w:b/>
          <w:bCs/>
          <w:lang w:val="fr-BE"/>
        </w:rPr>
        <w:t xml:space="preserve"> </w:t>
      </w:r>
      <w:r w:rsidRPr="007118B9">
        <w:rPr>
          <w:rFonts w:ascii="Times New Roman" w:hAnsi="Times New Roman"/>
          <w:bCs/>
          <w:lang w:val="fr-BE"/>
        </w:rPr>
        <w:t xml:space="preserve">Conformément aux suggestions formulées aux paragraphes 10 et 11, l’initiative visant à donner aux consommateurs les moyens d’agir dans le cadre de la transition verte cherchera à garantir </w:t>
      </w:r>
      <w:r w:rsidRPr="007118B9">
        <w:rPr>
          <w:rFonts w:ascii="Times New Roman" w:hAnsi="Times New Roman"/>
          <w:lang w:val="fr-BE"/>
        </w:rPr>
        <w:t>l’information</w:t>
      </w:r>
      <w:r w:rsidRPr="007118B9">
        <w:rPr>
          <w:rFonts w:ascii="Times New Roman" w:hAnsi="Times New Roman"/>
          <w:szCs w:val="24"/>
          <w:lang w:val="fr-BE"/>
        </w:rPr>
        <w:t xml:space="preserve"> du consommateur </w:t>
      </w:r>
      <w:r w:rsidRPr="007118B9">
        <w:rPr>
          <w:rFonts w:ascii="Times New Roman" w:hAnsi="Times New Roman"/>
          <w:lang w:val="fr-BE"/>
        </w:rPr>
        <w:t xml:space="preserve">sur les différents aspects de la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(tels que la disponibilité des pièces détachées, les mises à jour logicielles, la durée estimée de disponibilité, le prix moyen des pièces détachées au moment de l’achat,</w:t>
      </w:r>
      <w:r>
        <w:rPr>
          <w:rFonts w:ascii="Times New Roman" w:hAnsi="Times New Roman"/>
          <w:lang w:val="fr-BE"/>
        </w:rPr>
        <w:t> </w:t>
      </w:r>
      <w:r w:rsidRPr="007118B9">
        <w:rPr>
          <w:rFonts w:ascii="Times New Roman" w:hAnsi="Times New Roman"/>
          <w:lang w:val="fr-BE"/>
        </w:rPr>
        <w:t>etc.).</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 xml:space="preserve">En ce qui concerne plus particulièrement le paragraphe 11, point b), dans lequel le Parlement européen invite la Commission à encourager un processus de standardisation des pièces détachées favorisant l’interopérabilité et l’innovation, tout en respectant les obligations en matière de sécurité des produits, l’évaluation de la législation de l’Union sur la protection des </w:t>
      </w:r>
      <w:r w:rsidRPr="007118B9">
        <w:rPr>
          <w:rFonts w:ascii="Times New Roman" w:hAnsi="Times New Roman"/>
          <w:lang w:val="fr-BE"/>
        </w:rPr>
        <w:lastRenderedPageBreak/>
        <w:t>dessins ou modèles</w:t>
      </w:r>
      <w:r w:rsidRPr="00302360">
        <w:rPr>
          <w:rStyle w:val="FootnoteReference"/>
          <w:rFonts w:ascii="Times New Roman" w:eastAsia="Calibri" w:hAnsi="Times New Roman"/>
          <w:lang w:eastAsia="en-US"/>
        </w:rPr>
        <w:footnoteReference w:id="4"/>
      </w:r>
      <w:r w:rsidRPr="007118B9">
        <w:rPr>
          <w:rFonts w:ascii="Times New Roman" w:hAnsi="Times New Roman"/>
          <w:lang w:val="fr-BE"/>
        </w:rPr>
        <w:t xml:space="preserve"> a montré qu’il n’existe pas de règles uniformes sur la protection des pièces détachées visibles. Cette fragmentation du marché unique a une incidence négative sur la compétitivité du secteur indépendant des pièces détachées et, partant, sur le développement de l’économie circulaire. La Commission souhaite aborder cette question dans le cadre de la prochaine réforme de la législation de l’Union sur la protection des dessins ou modèles</w:t>
      </w:r>
      <w:r w:rsidRPr="00302360">
        <w:rPr>
          <w:rStyle w:val="FootnoteReference"/>
          <w:rFonts w:ascii="Times New Roman" w:eastAsia="Calibri" w:hAnsi="Times New Roman"/>
          <w:lang w:eastAsia="en-US"/>
        </w:rPr>
        <w:footnoteReference w:id="5"/>
      </w:r>
      <w:r w:rsidRPr="007118B9">
        <w:rPr>
          <w:rFonts w:ascii="Times New Roman" w:hAnsi="Times New Roman"/>
          <w:lang w:val="fr-BE"/>
        </w:rPr>
        <w:t>. Dans le cadre de cette réforme, la manière d’achever le marché unique des pièces détachées et de parvenir à une libéralisation totale dans ce domaine sera en effet examinée. Il en résulterait un plus grand choix et une baisse des prix pour les consommateurs, ainsi qu’une concurrence saine et loyale dans le secteur indépendant des pièces détachées.</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le paragraphe 11, point c), la Commission, lorsqu’elle adoptera de nouveaux règlements d’exécution en matière d’écoconception ou qu’elle révisera les règlements existants, utilisera les dispositions relatives à la disponibilité des pièces de rechange et des informations sur les réparations des mesures adoptées le 1</w:t>
      </w:r>
      <w:r w:rsidRPr="007118B9">
        <w:rPr>
          <w:rFonts w:ascii="Times New Roman" w:hAnsi="Times New Roman"/>
          <w:vertAlign w:val="superscript"/>
          <w:lang w:val="fr-BE"/>
        </w:rPr>
        <w:t>er</w:t>
      </w:r>
      <w:r w:rsidRPr="007118B9">
        <w:rPr>
          <w:rFonts w:ascii="Times New Roman" w:hAnsi="Times New Roman"/>
          <w:lang w:val="fr-BE"/>
        </w:rPr>
        <w:t> octobre 2019 pour plusieurs appareils ménagers et autres produits</w:t>
      </w:r>
      <w:r w:rsidRPr="00302360">
        <w:rPr>
          <w:rStyle w:val="FootnoteReference"/>
          <w:rFonts w:ascii="Times New Roman" w:eastAsia="Calibri" w:hAnsi="Times New Roman"/>
          <w:lang w:eastAsia="en-US"/>
        </w:rPr>
        <w:footnoteReference w:id="6"/>
      </w:r>
      <w:r w:rsidRPr="007118B9">
        <w:rPr>
          <w:rFonts w:ascii="Times New Roman" w:hAnsi="Times New Roman"/>
          <w:lang w:val="fr-BE"/>
        </w:rPr>
        <w:t xml:space="preserve"> comme base pour fixer des exigences similaires, le cas échéant, pour d’autres groupes de produits. En outre, conformément au plan d’action 2020 pour une économie circulaire, la Commission étudiera les moyens de renforcer les dispositions relatives à la </w:t>
      </w:r>
      <w:proofErr w:type="spellStart"/>
      <w:r w:rsidRPr="007118B9">
        <w:rPr>
          <w:rFonts w:ascii="Times New Roman" w:hAnsi="Times New Roman"/>
          <w:lang w:val="fr-BE"/>
        </w:rPr>
        <w:t>réparabilité</w:t>
      </w:r>
      <w:proofErr w:type="spellEnd"/>
      <w:r w:rsidRPr="007118B9">
        <w:rPr>
          <w:rFonts w:ascii="Times New Roman" w:hAnsi="Times New Roman"/>
          <w:lang w:val="fr-BE"/>
        </w:rPr>
        <w:t xml:space="preserve"> dans le cadre de l’initiative sur les produits durables et de l’initiative d’économie circulaire pour le matériel électronique, y compris les mesures d’écoconception relatives aux smartphones, aux ordinateurs portables et aux tablettes, comme le Parlement européen le suggère au paragraphe 11, point d).</w:t>
      </w:r>
    </w:p>
    <w:p w:rsidR="009E0A89" w:rsidRPr="007118B9" w:rsidRDefault="009E0A89" w:rsidP="009E0A89">
      <w:pPr>
        <w:pStyle w:val="ListParagraph"/>
        <w:spacing w:after="120" w:line="240" w:lineRule="auto"/>
        <w:ind w:left="0"/>
        <w:contextualSpacing w:val="0"/>
        <w:jc w:val="both"/>
        <w:rPr>
          <w:rFonts w:ascii="Times New Roman" w:hAnsi="Times New Roman"/>
          <w:sz w:val="24"/>
          <w:szCs w:val="24"/>
          <w:lang w:val="fr-BE"/>
        </w:rPr>
      </w:pPr>
      <w:r w:rsidRPr="007118B9">
        <w:rPr>
          <w:rFonts w:ascii="Times New Roman" w:hAnsi="Times New Roman"/>
          <w:sz w:val="24"/>
          <w:szCs w:val="24"/>
          <w:lang w:val="fr-BE"/>
        </w:rPr>
        <w:t>En ce qui concerne le paragraphe 11, point e), et dans le cadre de la révision de la directive (UE) 2019/771, la Commission examinera si la remise à zéro de la période de garantie légale pour les consommateurs qui choisissent la réparation plutôt que le remplacement aurait un effet incitatif sur le choix du recours par le consommateur.</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le paragraphe 11, point f), la directive (UE) 2019/771 s’applique à une relation contractuelle entre un consommateur et un vendeur. En outre, elle définit les obligations des vendeurs et les droits des consommateurs qui s’appliquent pendant la période de garantie légale. Elle ne s’applique pas aux contrats entre un consommateur et un réparateur professionnel pour des réparations effectuées en dehors de la garantie légale ou commerciale du bien.</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L’ensemble des règlements en matière d’écoconception adoptés en octobre 2019 prévoient qu’avant de donner accès aux informations et aux pièces détachées aux réparateurs professionnels, un fabricant peut exiger la preuve que le réparateur dispose d’une assurance professionnelle couvrant la responsabilité potentielle liée aux activités de réparation. Cette assurance professionnelle peut compenser l’absence de garantie légale en cas de réparation.</w:t>
      </w:r>
    </w:p>
    <w:p w:rsidR="009E0A89" w:rsidRPr="007118B9" w:rsidRDefault="009E0A89" w:rsidP="009E0A89">
      <w:pPr>
        <w:widowControl w:val="0"/>
        <w:spacing w:after="120"/>
        <w:rPr>
          <w:rFonts w:ascii="Times New Roman" w:eastAsia="Calibri" w:hAnsi="Times New Roman"/>
          <w:szCs w:val="24"/>
          <w:lang w:val="fr-BE"/>
        </w:rPr>
      </w:pPr>
      <w:r w:rsidRPr="007118B9">
        <w:rPr>
          <w:rFonts w:ascii="Times New Roman" w:hAnsi="Times New Roman"/>
          <w:szCs w:val="24"/>
          <w:lang w:val="fr-BE"/>
        </w:rPr>
        <w:t>En ce qui concerne le paragraphe 11, point g), la Commission examine différentes options pour faciliter la réparation pour les consommateurs tout au long de la durée de vie du produit. Sont également inclus le stade d’utilisation du produit au-delà de la période de responsabilité du vendeur pour la conformité du produit et la manière dont la réparation pourrait être facilitée après la période de deux ans.</w:t>
      </w:r>
    </w:p>
    <w:p w:rsidR="009E0A89" w:rsidRPr="007118B9" w:rsidRDefault="009E0A89" w:rsidP="009E0A89">
      <w:pPr>
        <w:widowControl w:val="0"/>
        <w:spacing w:after="120"/>
        <w:jc w:val="left"/>
        <w:rPr>
          <w:rFonts w:ascii="Times New Roman" w:hAnsi="Times New Roman"/>
          <w:b/>
          <w:bCs/>
          <w:i/>
          <w:iCs/>
          <w:lang w:val="fr-BE"/>
        </w:rPr>
      </w:pPr>
      <w:r w:rsidRPr="007118B9">
        <w:rPr>
          <w:rFonts w:ascii="Times New Roman" w:hAnsi="Times New Roman"/>
          <w:b/>
          <w:bCs/>
          <w:i/>
          <w:iCs/>
          <w:lang w:val="fr-BE"/>
        </w:rPr>
        <w:t>Une stratégie globale vers une économie du réemploi et de la réutilisation</w:t>
      </w:r>
    </w:p>
    <w:p w:rsidR="009E0A89" w:rsidRPr="007118B9" w:rsidRDefault="009E0A89" w:rsidP="009E0A89">
      <w:pPr>
        <w:widowControl w:val="0"/>
        <w:spacing w:after="120"/>
        <w:rPr>
          <w:rFonts w:ascii="Times New Roman" w:eastAsia="Calibri" w:hAnsi="Times New Roman"/>
          <w:b/>
          <w:bCs/>
          <w:lang w:val="fr-BE"/>
        </w:rPr>
      </w:pPr>
      <w:r w:rsidRPr="007118B9">
        <w:rPr>
          <w:rFonts w:ascii="Times New Roman" w:hAnsi="Times New Roman"/>
          <w:lang w:val="fr-BE"/>
        </w:rPr>
        <w:t xml:space="preserve">Conformément au paragraphe 12 de la résolution, la Commission souligne que le </w:t>
      </w:r>
      <w:r w:rsidRPr="007118B9">
        <w:rPr>
          <w:rFonts w:ascii="Times New Roman" w:hAnsi="Times New Roman"/>
          <w:b/>
          <w:bCs/>
          <w:lang w:val="fr-BE"/>
        </w:rPr>
        <w:lastRenderedPageBreak/>
        <w:t>renforcement du marché intérieur des matières premières secondaires constitue l’un des principaux objectifs de la révision en cours du règlement (CE) nº 1013/2006, qui devrait aboutir à une proposition législative de la Commission en 2021.</w:t>
      </w:r>
    </w:p>
    <w:p w:rsidR="009E0A89" w:rsidRPr="007118B9" w:rsidRDefault="009E0A89" w:rsidP="009E0A89">
      <w:pPr>
        <w:widowControl w:val="0"/>
        <w:spacing w:after="120"/>
        <w:rPr>
          <w:rFonts w:ascii="Times New Roman" w:eastAsia="Calibri" w:hAnsi="Times New Roman"/>
          <w:bCs/>
          <w:lang w:val="fr-BE"/>
        </w:rPr>
      </w:pPr>
      <w:r w:rsidRPr="007118B9">
        <w:rPr>
          <w:rFonts w:ascii="Times New Roman" w:hAnsi="Times New Roman"/>
          <w:bCs/>
          <w:lang w:val="fr-BE"/>
        </w:rPr>
        <w:t>En outre, l’un des principaux objectifs de l’initiative sur les produits durables, actuellement élaborée par la Commission, consistera à intervenir avant que les produits ne deviennent des déchets. Il s’agit, par exemple, d’examiner comment le droit à la réparation, les services de réparation et/ou la garantie de la disponibilité des pièces de rechange peuvent être renforcés pour les consommateurs, et de soutenir les modèles commerciaux circulaires. Dans le cadre de l’analyse d’impact de l’initiative sur les produits durables en cours, la Commission examine les obstacles actuels à ces pratiques, ainsi que la manière dont ils peuvent être surmontés.</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 xml:space="preserve">Aux paragraphes 15 et 16, le Parlement européen invite la Commission à encourager l’utilisation de biens de seconde main et de biens rénovés. La révision de la directive (UE) 2019/771 permettra d’évaluer si et dans quelle mesure l’utilisation de biens de seconde main et de biens rénovés peut jouer un rôle pour encourager des produits plus durables et circulaires. Plus généralement, la future révision offre l’occasion d’examiner ce qui peut être fait de plus pour promouvoir la réparation et encourager des produits plus durables et circulaires [comme mentionné au paragraphe 6, points e) et f), au paragraphe 7, </w:t>
      </w:r>
      <w:proofErr w:type="gramStart"/>
      <w:r w:rsidRPr="007118B9">
        <w:rPr>
          <w:rFonts w:ascii="Times New Roman" w:hAnsi="Times New Roman"/>
          <w:lang w:val="fr-BE"/>
        </w:rPr>
        <w:t>points a</w:t>
      </w:r>
      <w:proofErr w:type="gramEnd"/>
      <w:r w:rsidRPr="007118B9">
        <w:rPr>
          <w:rFonts w:ascii="Times New Roman" w:hAnsi="Times New Roman"/>
          <w:lang w:val="fr-BE"/>
        </w:rPr>
        <w:t>), b) et c), et au paragraphe 11, point e) et f), du rapport du Parlement]. Diverses options concernant les voies de recours des consommateurs seront examinées, telles que la préférence accordée à la réparation plutôt qu’au remplacement, l’extension de la période minimale de responsabilité pour les biens neufs ou de seconde main, la remise à zéro de la période de responsabilité après réparation.</w:t>
      </w:r>
    </w:p>
    <w:p w:rsidR="009E0A89" w:rsidRPr="007118B9" w:rsidRDefault="009E0A89" w:rsidP="009E0A89">
      <w:pPr>
        <w:widowControl w:val="0"/>
        <w:spacing w:after="120"/>
        <w:rPr>
          <w:rFonts w:ascii="Times New Roman" w:eastAsia="Calibri" w:hAnsi="Times New Roman"/>
          <w:bCs/>
          <w:lang w:val="fr-BE"/>
        </w:rPr>
      </w:pPr>
      <w:r w:rsidRPr="007118B9">
        <w:rPr>
          <w:rFonts w:ascii="Times New Roman" w:hAnsi="Times New Roman"/>
          <w:bCs/>
          <w:lang w:val="fr-BE"/>
        </w:rPr>
        <w:t>En mars 2020, la Commission a adopté la communication intitulée</w:t>
      </w:r>
      <w:proofErr w:type="gramStart"/>
      <w:r w:rsidRPr="007118B9">
        <w:rPr>
          <w:rFonts w:ascii="Times New Roman" w:hAnsi="Times New Roman"/>
          <w:bCs/>
          <w:lang w:val="fr-BE"/>
        </w:rPr>
        <w:t xml:space="preserve"> «Plan</w:t>
      </w:r>
      <w:proofErr w:type="gramEnd"/>
      <w:r w:rsidRPr="007118B9">
        <w:rPr>
          <w:rFonts w:ascii="Times New Roman" w:hAnsi="Times New Roman"/>
          <w:bCs/>
          <w:lang w:val="fr-BE"/>
        </w:rPr>
        <w:t xml:space="preserve"> d’action à long terme visant à mieux mettre en œuvre et faire respecter les règles du marché unique», qui comprend plusieurs actions axées sur le marché unique des services et correspond à l’invitation adressée à la Commission au paragraphe 17. Depuis son adoption, des efforts intenses sont déployés afin de mettre en œuvre les actions décrites en temps voulu. Plusieurs éléments clés, comme la task-force chargée du respect des règles du marché unique (Single </w:t>
      </w:r>
      <w:proofErr w:type="spellStart"/>
      <w:r w:rsidRPr="007118B9">
        <w:rPr>
          <w:rFonts w:ascii="Times New Roman" w:hAnsi="Times New Roman"/>
          <w:bCs/>
          <w:lang w:val="fr-BE"/>
        </w:rPr>
        <w:t>Market</w:t>
      </w:r>
      <w:proofErr w:type="spellEnd"/>
      <w:r w:rsidRPr="007118B9">
        <w:rPr>
          <w:rFonts w:ascii="Times New Roman" w:hAnsi="Times New Roman"/>
          <w:bCs/>
          <w:lang w:val="fr-BE"/>
        </w:rPr>
        <w:t xml:space="preserve"> </w:t>
      </w:r>
      <w:proofErr w:type="spellStart"/>
      <w:r w:rsidRPr="007118B9">
        <w:rPr>
          <w:rFonts w:ascii="Times New Roman" w:hAnsi="Times New Roman"/>
          <w:bCs/>
          <w:lang w:val="fr-BE"/>
        </w:rPr>
        <w:t>Enforcement</w:t>
      </w:r>
      <w:proofErr w:type="spellEnd"/>
      <w:r w:rsidRPr="007118B9">
        <w:rPr>
          <w:rFonts w:ascii="Times New Roman" w:hAnsi="Times New Roman"/>
          <w:bCs/>
          <w:lang w:val="fr-BE"/>
        </w:rPr>
        <w:t xml:space="preserve"> Task-Force, SMET), composée des États membres et de la Commission, sont opérationnels et donnent des résultats. Lors de la visioconférence des ministres du marché intérieur et de l’industrie organisée le 18 septembre 2020, les ministres ont demandé à la Commission de présenter, d’ici au 15 janvier 2021, un rapport stratégique annuel qui servira d’outil pour cerner et supprimer les obstacles injustifiés, évaluer la résilience du marché unique et faire le point sur l’état d’avancement de la mise en œuvre du plan d’action de mise en œuvre de 2020. Ce rapport permettra de déterminer les domaines dans lesquels une action supplémentaire pourrait être nécessaire.</w:t>
      </w:r>
    </w:p>
    <w:p w:rsidR="009E0A89" w:rsidRPr="007118B9" w:rsidRDefault="009E0A89" w:rsidP="009E0A89">
      <w:pPr>
        <w:widowControl w:val="0"/>
        <w:spacing w:after="120"/>
        <w:rPr>
          <w:rFonts w:ascii="Times New Roman" w:hAnsi="Times New Roman"/>
          <w:noProof/>
          <w:szCs w:val="24"/>
          <w:lang w:val="fr-BE"/>
        </w:rPr>
      </w:pPr>
      <w:r w:rsidRPr="007118B9">
        <w:rPr>
          <w:rFonts w:ascii="Times New Roman" w:hAnsi="Times New Roman"/>
          <w:lang w:val="fr-BE"/>
        </w:rPr>
        <w:t xml:space="preserve">Dans le nouvel agenda du consommateur, la Commission souligne que, pour compléter les initiatives en cours, des efforts seront nécessaires pour promouvoir des comportements et des </w:t>
      </w:r>
      <w:r w:rsidRPr="007118B9">
        <w:rPr>
          <w:rFonts w:ascii="Times New Roman" w:hAnsi="Times New Roman"/>
          <w:b/>
          <w:bCs/>
          <w:lang w:val="fr-BE"/>
        </w:rPr>
        <w:t>concepts de consommation nouveaux</w:t>
      </w:r>
      <w:r w:rsidRPr="007118B9">
        <w:rPr>
          <w:rFonts w:ascii="Times New Roman" w:hAnsi="Times New Roman"/>
          <w:lang w:val="fr-BE"/>
        </w:rPr>
        <w:t>, tels que l’économie du partage, les nouveaux modèles commerciaux permettant aux consommateurs d’acheter un service plutôt qu’un bien ou encore un soutien à la réparation, dans le cadre des actions menées par les mouvements associatifs et les organisations de l’économie sociale (par exemple les «</w:t>
      </w:r>
      <w:proofErr w:type="spellStart"/>
      <w:r w:rsidRPr="007118B9">
        <w:rPr>
          <w:rFonts w:ascii="Times New Roman" w:hAnsi="Times New Roman"/>
          <w:lang w:val="fr-BE"/>
        </w:rPr>
        <w:t>repair</w:t>
      </w:r>
      <w:proofErr w:type="spellEnd"/>
      <w:r w:rsidRPr="007118B9">
        <w:rPr>
          <w:rFonts w:ascii="Times New Roman" w:hAnsi="Times New Roman"/>
          <w:lang w:val="fr-BE"/>
        </w:rPr>
        <w:t xml:space="preserve"> cafés»), et aux marchés de l’occasion. Ces efforts soutiendront la culture de la réparation et de la réutilisation soulignée aux paragraphes 18 et 19. La Commission souligne également dans l’agenda que les actions et les ressources, notamment au titre de l’instrument d’appui technique pour le renforcement des capacités relevant du prochain cadre financier pluriannuel, devraient être utilisées pour soutenir des initiatives visant à encourager et à engendrer une culture et un comportement de consommation propres, neutres pour le climat et durables.</w:t>
      </w:r>
    </w:p>
    <w:p w:rsidR="009E0A89" w:rsidRPr="007118B9" w:rsidRDefault="009E0A89" w:rsidP="009E0A89">
      <w:pPr>
        <w:spacing w:after="120"/>
        <w:rPr>
          <w:rFonts w:ascii="Times New Roman" w:hAnsi="Times New Roman"/>
          <w:iCs/>
          <w:szCs w:val="24"/>
          <w:lang w:val="fr-BE"/>
        </w:rPr>
      </w:pPr>
      <w:r w:rsidRPr="007118B9">
        <w:rPr>
          <w:rFonts w:ascii="Times New Roman" w:hAnsi="Times New Roman"/>
          <w:iCs/>
          <w:szCs w:val="24"/>
          <w:lang w:val="fr-BE"/>
        </w:rPr>
        <w:lastRenderedPageBreak/>
        <w:t>La Commission s’est engagée à accroître l’attrait et l’adoption du système de management environnemental et d’audit (</w:t>
      </w:r>
      <w:r w:rsidRPr="007118B9">
        <w:rPr>
          <w:rFonts w:ascii="Times New Roman" w:hAnsi="Times New Roman"/>
          <w:color w:val="202124"/>
          <w:shd w:val="clear" w:color="auto" w:fill="FFFFFF"/>
          <w:lang w:val="fr-BE"/>
        </w:rPr>
        <w:t>EMAS)</w:t>
      </w:r>
      <w:r w:rsidRPr="007118B9">
        <w:rPr>
          <w:rFonts w:ascii="Times New Roman" w:hAnsi="Times New Roman"/>
          <w:iCs/>
          <w:color w:val="1F497D"/>
          <w:szCs w:val="24"/>
          <w:lang w:val="fr-BE"/>
        </w:rPr>
        <w:t xml:space="preserve"> </w:t>
      </w:r>
      <w:r w:rsidRPr="007118B9">
        <w:rPr>
          <w:rFonts w:ascii="Times New Roman" w:hAnsi="Times New Roman"/>
          <w:iCs/>
          <w:szCs w:val="24"/>
          <w:lang w:val="fr-BE"/>
        </w:rPr>
        <w:t xml:space="preserve">en tant que système volontaire de management environnemental de premier ordre, conformément à l’invitation adressée au paragraphe 20. Cette initiative est menée en étroite collaboration avec les États membres. Un élément clé consiste à créer davantage de synergies entre l’EMAS et différentes initiatives stratégiques menées au niveau de l’Union européenne, comme la </w:t>
      </w:r>
      <w:r w:rsidRPr="007118B9">
        <w:rPr>
          <w:rStyle w:val="Emphasis"/>
          <w:rFonts w:ascii="Times New Roman" w:hAnsi="Times New Roman"/>
          <w:bCs/>
          <w:szCs w:val="24"/>
          <w:lang w:val="fr-BE"/>
        </w:rPr>
        <w:t>directive sur la publication d’informations non financières</w:t>
      </w:r>
      <w:r w:rsidRPr="007118B9">
        <w:rPr>
          <w:rFonts w:ascii="Times New Roman" w:hAnsi="Times New Roman"/>
          <w:szCs w:val="24"/>
          <w:lang w:val="fr-BE"/>
        </w:rPr>
        <w:t xml:space="preserve">, </w:t>
      </w:r>
      <w:r w:rsidRPr="007118B9">
        <w:rPr>
          <w:rFonts w:ascii="Times New Roman" w:hAnsi="Times New Roman"/>
          <w:iCs/>
          <w:szCs w:val="24"/>
          <w:lang w:val="fr-BE"/>
        </w:rPr>
        <w:t>la taxonomie ou les allégations environnementales, mais aussi au niveau des États membres. Des mises à jour des annexes du règlement EMAS et du guide de l’utilisateur ont été effectuées pour améliorer encore le système et sa convivialité. Différentes activités de sensibilisation sont organisées, par exemple la célébration des 25 ans du système EMAS en 2020 ou la publication de différentes études et fiches d’information. La publication de deux nouveaux documents de référence sectoriels sur les bonnes pratiques de management environnemental, les indicateurs de performance environnementale sectorielle et les critères d’excellence est prévue pour le premier trimestre de 2021.</w:t>
      </w:r>
    </w:p>
    <w:p w:rsidR="009E0A89" w:rsidRPr="007118B9" w:rsidRDefault="009E0A89" w:rsidP="009E0A89">
      <w:pPr>
        <w:widowControl w:val="0"/>
        <w:spacing w:after="120"/>
        <w:ind w:left="567" w:hanging="567"/>
        <w:jc w:val="left"/>
        <w:rPr>
          <w:rFonts w:ascii="Times New Roman" w:hAnsi="Times New Roman"/>
          <w:b/>
          <w:bCs/>
          <w:i/>
          <w:iCs/>
          <w:lang w:val="fr-BE"/>
        </w:rPr>
      </w:pPr>
      <w:r w:rsidRPr="007118B9">
        <w:rPr>
          <w:rFonts w:ascii="Times New Roman" w:hAnsi="Times New Roman"/>
          <w:b/>
          <w:bCs/>
          <w:i/>
          <w:iCs/>
          <w:lang w:val="fr-BE"/>
        </w:rPr>
        <w:t>Une stratégie numérique au service d’un marché durable</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bCs/>
          <w:lang w:val="fr-BE"/>
        </w:rPr>
        <w:t>Dans</w:t>
      </w:r>
      <w:r w:rsidRPr="007118B9">
        <w:rPr>
          <w:rFonts w:ascii="Times New Roman" w:hAnsi="Times New Roman"/>
          <w:lang w:val="fr-BE"/>
        </w:rPr>
        <w:t xml:space="preserve"> sa proposition de règlement sur la gouvernance des données [acte sur la gouvernance des données, </w:t>
      </w:r>
      <w:proofErr w:type="gramStart"/>
      <w:r w:rsidRPr="007118B9">
        <w:rPr>
          <w:rFonts w:ascii="Times New Roman" w:hAnsi="Times New Roman"/>
          <w:lang w:val="fr-BE"/>
        </w:rPr>
        <w:t>COM(</w:t>
      </w:r>
      <w:proofErr w:type="gramEnd"/>
      <w:r w:rsidRPr="007118B9">
        <w:rPr>
          <w:rFonts w:ascii="Times New Roman" w:hAnsi="Times New Roman"/>
          <w:lang w:val="fr-BE"/>
        </w:rPr>
        <w:t>2020) 767 final], la Commission a l’intention de former un comité européen de l’innovation dans le domaine des données en tant que groupe d’experts. Ce comité devrait aider la Commission à coordonner les pratiques et les politiques nationales en faveur de l’utilisation intersectorielle des données, conformément au paragraphe 22. Les travaux de normalisation technique peuvent inclure la définition de priorités pour l’élaboration de normes et d’obligations, y compris l’établissement et le maintien d’un ensemble de normes techniques et d’obligations juridiques formalisées liées à la transmission de données entre deux environnements de traitement afin d’organiser des espaces de données sans recourir à un intermédiaire. Le comité devrait coopérer avec des organismes, des réseaux ou des groupes d’experts sectoriels, ou toute autre organisation intersectorielle intervenant dans la réutilisation des données.</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Les actions visant à permettre de nouvelles activités circulaires fondées sur les données seront incluses dans le programme pour une Europe numérique et dans le programme pour la recherche et l’innovation</w:t>
      </w:r>
      <w:proofErr w:type="gramStart"/>
      <w:r w:rsidRPr="007118B9">
        <w:rPr>
          <w:rFonts w:ascii="Times New Roman" w:hAnsi="Times New Roman"/>
          <w:lang w:val="fr-BE"/>
        </w:rPr>
        <w:t xml:space="preserve"> «Horizon</w:t>
      </w:r>
      <w:proofErr w:type="gramEnd"/>
      <w:r w:rsidRPr="007118B9">
        <w:rPr>
          <w:rFonts w:ascii="Times New Roman" w:hAnsi="Times New Roman"/>
          <w:lang w:val="fr-BE"/>
        </w:rPr>
        <w:t xml:space="preserve"> Europe».</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Enfin, pour appuyer l’étude du rôle des normes dans la transition vers une économie circulaire, la plateforme européenne multipartite sur la normalisation des TIC a formé un groupe d’étude sur l’économie circulaire en 2020. Le groupe a rédigé un rapport exhaustif sur les activités de normalisation (en cours ou nécessaires) relatives à l’économie circulaire. Ce rapport a, dans une large mesure, alimenté un nouveau chapitre consacré à l’économie circulaire dans le cadre du plan glissant pour la normalisation des TIC de 2021, qui devrait être publié en mars 2021.</w:t>
      </w:r>
    </w:p>
    <w:p w:rsidR="009E0A89" w:rsidRPr="007118B9" w:rsidRDefault="009E0A89" w:rsidP="009E0A89">
      <w:pPr>
        <w:widowControl w:val="0"/>
        <w:spacing w:after="120"/>
        <w:rPr>
          <w:rFonts w:ascii="Times New Roman" w:hAnsi="Times New Roman"/>
          <w:szCs w:val="24"/>
          <w:lang w:val="fr-BE"/>
        </w:rPr>
      </w:pPr>
      <w:r w:rsidRPr="007118B9">
        <w:rPr>
          <w:rFonts w:ascii="Times New Roman" w:hAnsi="Times New Roman"/>
          <w:szCs w:val="24"/>
          <w:lang w:val="fr-BE"/>
        </w:rPr>
        <w:t xml:space="preserve">En ce qui concerne le paragraphe 23, la Commission révise actuellement la directive 1994/62/CE relative aux emballages et aux déchets d’emballages, conformément à l’article 9, paragraphe 5, de la directive elle-même (c’est-à-dire qu’elle révise les exigences essentielles en matière d’emballages pour améliorer la conception en vue du réemploi et promouvoir un recyclage de qualité élevée, ainsi que pour en renforcer le contrôle de l’application), ainsi que le pacte vert pour l’Europe et le nouveau plan d’action pour une économie circulaire. Dans ce nouveau plan, les emballages représentent l’un des groupes de produits clés et la Commission est chargée de réviser la directive dans le but de réduire la production d’emballages et de déchets d’emballages, de promouvoir la réutilisation et le recyclage de haute qualité. Dans cette optique, la Commission étudie également la possibilité de fixer des objectifs et de prendre d’autres mesures afin d’encourager l’utilisation de </w:t>
      </w:r>
      <w:r w:rsidRPr="007118B9">
        <w:rPr>
          <w:rFonts w:ascii="Times New Roman" w:hAnsi="Times New Roman"/>
          <w:szCs w:val="24"/>
          <w:lang w:val="fr-BE"/>
        </w:rPr>
        <w:lastRenderedPageBreak/>
        <w:t xml:space="preserve">matières recyclées dans certaines applications d’emballage, en particulier pour les emballages en plastique, où le marché des matières premières secondaires ne fonctionne pas correctement par lui-même. </w:t>
      </w:r>
    </w:p>
    <w:p w:rsidR="009E0A89" w:rsidRPr="007118B9" w:rsidRDefault="009E0A89" w:rsidP="009E0A89">
      <w:pPr>
        <w:spacing w:after="120"/>
        <w:rPr>
          <w:rFonts w:ascii="Times New Roman" w:hAnsi="Times New Roman"/>
          <w:szCs w:val="24"/>
          <w:lang w:val="fr-BE"/>
        </w:rPr>
      </w:pPr>
      <w:r w:rsidRPr="007118B9">
        <w:rPr>
          <w:rFonts w:ascii="Times New Roman" w:hAnsi="Times New Roman"/>
          <w:lang w:val="fr-BE"/>
        </w:rPr>
        <w:t xml:space="preserve">Dans le cadre de cette révision, la Commission examinera également, entre autres mesures, comment améliorer le tri des emballages afin d’obtenir de meilleurs résultats en matière de recyclage. L’une des mesures et technologies possibles est le filigrane numérique, qui est promu dans le cadre du projet </w:t>
      </w:r>
      <w:proofErr w:type="spellStart"/>
      <w:r w:rsidRPr="007118B9">
        <w:rPr>
          <w:rFonts w:ascii="Times New Roman" w:hAnsi="Times New Roman"/>
          <w:lang w:val="fr-BE"/>
        </w:rPr>
        <w:t>HolyGrail</w:t>
      </w:r>
      <w:proofErr w:type="spellEnd"/>
      <w:r w:rsidRPr="007118B9">
        <w:rPr>
          <w:rFonts w:ascii="Times New Roman" w:hAnsi="Times New Roman"/>
          <w:lang w:val="fr-BE"/>
        </w:rPr>
        <w:t> 2 par l’Association des industries de marque (AIM)</w:t>
      </w:r>
      <w:r>
        <w:rPr>
          <w:rStyle w:val="FootnoteReference"/>
          <w:rFonts w:ascii="Times New Roman" w:hAnsi="Times New Roman"/>
        </w:rPr>
        <w:footnoteReference w:id="7"/>
      </w:r>
      <w:r w:rsidRPr="007118B9">
        <w:rPr>
          <w:rFonts w:ascii="Times New Roman" w:hAnsi="Times New Roman"/>
          <w:lang w:val="fr-BE"/>
        </w:rPr>
        <w:t xml:space="preserve">. </w:t>
      </w:r>
    </w:p>
    <w:p w:rsidR="009E0A89" w:rsidRPr="007118B9" w:rsidRDefault="009E0A89" w:rsidP="009E0A89">
      <w:pPr>
        <w:spacing w:after="120"/>
        <w:rPr>
          <w:rFonts w:ascii="Times New Roman" w:hAnsi="Times New Roman"/>
          <w:szCs w:val="24"/>
          <w:lang w:val="fr-BE"/>
        </w:rPr>
      </w:pPr>
      <w:r w:rsidRPr="007118B9">
        <w:rPr>
          <w:rFonts w:ascii="Times New Roman" w:hAnsi="Times New Roman"/>
          <w:szCs w:val="24"/>
          <w:lang w:val="fr-BE"/>
        </w:rPr>
        <w:t>La Commission a organisé une consultation publique, qui s’est clôturée le 6 janvier 2021. La proposition de la Commission devrait être adoptée au quatrième trimestre de 2021.</w:t>
      </w:r>
    </w:p>
    <w:p w:rsidR="009E0A89" w:rsidRPr="007118B9" w:rsidRDefault="009E0A89" w:rsidP="009E0A89">
      <w:pPr>
        <w:spacing w:after="120"/>
        <w:rPr>
          <w:rFonts w:ascii="Times New Roman" w:hAnsi="Times New Roman"/>
          <w:szCs w:val="24"/>
          <w:lang w:val="fr-BE"/>
        </w:rPr>
      </w:pPr>
      <w:r w:rsidRPr="007118B9">
        <w:rPr>
          <w:rFonts w:ascii="Times New Roman" w:hAnsi="Times New Roman"/>
          <w:szCs w:val="24"/>
          <w:lang w:val="fr-BE"/>
        </w:rPr>
        <w:t xml:space="preserve">La révision de la directive sur les emballages et les déchets d’emballages devrait se fonder sur l’article 114 du traité sur le fonctionnement de l’Union européenne (TFUE) (marché intérieur), qui constitue également la base juridique actuelle de ladite </w:t>
      </w:r>
      <w:r w:rsidRPr="007118B9">
        <w:rPr>
          <w:rStyle w:val="Emphasis"/>
          <w:rFonts w:ascii="Times New Roman" w:hAnsi="Times New Roman"/>
          <w:bCs/>
          <w:szCs w:val="24"/>
          <w:lang w:val="fr-BE"/>
        </w:rPr>
        <w:t>directive</w:t>
      </w:r>
      <w:r w:rsidRPr="007118B9">
        <w:rPr>
          <w:rFonts w:ascii="Times New Roman" w:hAnsi="Times New Roman"/>
          <w:szCs w:val="24"/>
          <w:lang w:val="fr-BE"/>
        </w:rPr>
        <w:t>.</w:t>
      </w:r>
    </w:p>
    <w:p w:rsidR="009E0A89" w:rsidRPr="007118B9" w:rsidRDefault="009E0A89" w:rsidP="009E0A89">
      <w:pPr>
        <w:widowControl w:val="0"/>
        <w:spacing w:after="120"/>
        <w:rPr>
          <w:rFonts w:ascii="Times New Roman" w:eastAsia="Calibri" w:hAnsi="Times New Roman"/>
          <w:lang w:val="fr-BE"/>
        </w:rPr>
      </w:pPr>
      <w:r w:rsidRPr="007118B9">
        <w:rPr>
          <w:rFonts w:ascii="Times New Roman" w:hAnsi="Times New Roman"/>
          <w:lang w:val="fr-BE"/>
        </w:rPr>
        <w:t>En ce qui concerne le paragraphe 24 et conformément aux engagements annoncés dans la stratégie numérique européenne de février 2020, la Commission étudie des initiatives visant à rendre les centres de données neutres sur le plan climatique, hautement efficaces sur le plan énergétiques et durables au plus tard en 2030, et envisage des mesures de transparence pour les opérateurs de télécommunications concernant leur empreinte environnementale. En outre, la Commission encourage les États membres [recommandation (UE) 2020/1307 de la Commission] à définir des critères d’évaluation de la durabilité environnementale des futurs réseaux et à encourager les opérateurs à déployer des réseaux durables sur le plan environnemental. En outre, la Commission a récemment publié les critères applicables aux marchés publics écologiques de l’UE pour les centres de données, salles de serveurs et services en nuage, afin d’aider les autorités publiques à s’assurer que les équipements et les services des centres de données sont achetés de manière à apporter des améliorations environnementales qui contribuent à la réalisation des objectifs stratégiques européens en matière d’énergie, de changement climatique et d’efficacité des ressources, ainsi qu’à la réduction des coûts du cycle de vie.</w:t>
      </w:r>
    </w:p>
    <w:p w:rsidR="009E0A89" w:rsidRPr="007118B9" w:rsidRDefault="009E0A89" w:rsidP="009E0A89">
      <w:pPr>
        <w:widowControl w:val="0"/>
        <w:spacing w:after="120"/>
        <w:rPr>
          <w:rFonts w:ascii="Times New Roman" w:eastAsia="Calibri" w:hAnsi="Times New Roman"/>
          <w:b/>
          <w:bCs/>
          <w:lang w:val="fr-BE"/>
        </w:rPr>
      </w:pPr>
      <w:r w:rsidRPr="007118B9">
        <w:rPr>
          <w:rFonts w:ascii="Times New Roman" w:hAnsi="Times New Roman"/>
          <w:lang w:val="fr-BE"/>
        </w:rPr>
        <w:t>En ce qui concerne le paragraphe 25, la Commission travaille sur une proposition de chargeur universel qui pourrait être adoptée d’ici à l’été 2021.</w:t>
      </w:r>
    </w:p>
    <w:p w:rsidR="009E0A89" w:rsidRPr="007118B9" w:rsidRDefault="009E0A89" w:rsidP="009E0A89">
      <w:pPr>
        <w:spacing w:after="120"/>
        <w:rPr>
          <w:rFonts w:ascii="Times New Roman" w:eastAsia="Calibri" w:hAnsi="Times New Roman"/>
          <w:b/>
          <w:bCs/>
          <w:lang w:val="fr-BE"/>
        </w:rPr>
      </w:pPr>
      <w:r w:rsidRPr="007118B9">
        <w:rPr>
          <w:rFonts w:ascii="Times New Roman" w:hAnsi="Times New Roman"/>
          <w:lang w:val="fr-BE"/>
        </w:rPr>
        <w:t>L’option consistant à combiner à la fois le chargeur universel et le découplage (vente de téléphones portables sans chargeur, par exemple) est actuellement examinée et des études supplémentaires à l’appui de l’analyse d’impact ont été lancées en octobre 2020.</w:t>
      </w:r>
    </w:p>
    <w:p w:rsidR="009E0A89" w:rsidRPr="007118B9" w:rsidRDefault="009E0A89" w:rsidP="009E0A89">
      <w:pPr>
        <w:widowControl w:val="0"/>
        <w:spacing w:after="120"/>
        <w:ind w:left="567" w:hanging="567"/>
        <w:rPr>
          <w:rFonts w:ascii="Times New Roman" w:hAnsi="Times New Roman"/>
          <w:b/>
          <w:bCs/>
          <w:i/>
          <w:iCs/>
          <w:lang w:val="fr-BE"/>
        </w:rPr>
      </w:pPr>
      <w:r w:rsidRPr="007118B9">
        <w:rPr>
          <w:rFonts w:ascii="Times New Roman" w:hAnsi="Times New Roman"/>
          <w:b/>
          <w:bCs/>
          <w:i/>
          <w:iCs/>
          <w:lang w:val="fr-BE"/>
        </w:rPr>
        <w:t xml:space="preserve">La nécessaire transition des autorités publiques </w:t>
      </w:r>
    </w:p>
    <w:p w:rsidR="009E0A89" w:rsidRPr="007118B9" w:rsidRDefault="009E0A89" w:rsidP="009E0A89">
      <w:pPr>
        <w:widowControl w:val="0"/>
        <w:spacing w:after="120"/>
        <w:ind w:left="57"/>
        <w:rPr>
          <w:rFonts w:ascii="Times New Roman" w:eastAsia="Calibri" w:hAnsi="Times New Roman"/>
          <w:bCs/>
          <w:lang w:val="fr-BE"/>
        </w:rPr>
      </w:pPr>
      <w:r w:rsidRPr="007118B9">
        <w:rPr>
          <w:rFonts w:ascii="Times New Roman" w:hAnsi="Times New Roman"/>
          <w:lang w:val="fr-BE"/>
        </w:rPr>
        <w:t xml:space="preserve">En ce qui concerne le paragraphe 26, </w:t>
      </w:r>
      <w:r w:rsidRPr="007118B9">
        <w:rPr>
          <w:rFonts w:ascii="Times New Roman" w:hAnsi="Times New Roman"/>
          <w:bCs/>
          <w:lang w:val="fr-BE"/>
        </w:rPr>
        <w:t xml:space="preserve">la Commission continuera à promouvoir l’utilisation de critères de durabilité dans les marchés publics, conformément aux ambitions du pacte vert pour l’Europe. La Commission a publié des orientations pour l’élaboration des plans pour la reprise et la résilience des États membres, dans lesquelles elle souligne que des critères en matière de marchés publics écologiques devraient être appliqués à tous les achats publics concernés. Dans le même temps, la Commission continuera également à travailler en étroite collaboration avec les autorités nationales des États membres sur la numérisation de leurs systèmes de marchés publics, en leur fournissant une assistance et un soutien financier. Le futur ensemble de données ouvertes pour les administrations publiques, qui rassemblera les données de TED (Tenders </w:t>
      </w:r>
      <w:proofErr w:type="spellStart"/>
      <w:r w:rsidRPr="007118B9">
        <w:rPr>
          <w:rFonts w:ascii="Times New Roman" w:hAnsi="Times New Roman"/>
          <w:bCs/>
          <w:lang w:val="fr-BE"/>
        </w:rPr>
        <w:t>Electronic</w:t>
      </w:r>
      <w:proofErr w:type="spellEnd"/>
      <w:r w:rsidRPr="007118B9">
        <w:rPr>
          <w:rFonts w:ascii="Times New Roman" w:hAnsi="Times New Roman"/>
          <w:bCs/>
          <w:lang w:val="fr-BE"/>
        </w:rPr>
        <w:t xml:space="preserve"> Daily) et les ensembles de données ouvertes des bases </w:t>
      </w:r>
      <w:r w:rsidRPr="007118B9">
        <w:rPr>
          <w:rFonts w:ascii="Times New Roman" w:hAnsi="Times New Roman"/>
          <w:bCs/>
          <w:lang w:val="fr-BE"/>
        </w:rPr>
        <w:lastRenderedPageBreak/>
        <w:t>de données nationales, permettra d’avoir une meilleure vue sur la gouvernance des politiques clés par l’intermédiaire des marchés publics.</w:t>
      </w:r>
    </w:p>
    <w:p w:rsidR="009E0A89" w:rsidRPr="007118B9" w:rsidRDefault="009E0A89" w:rsidP="009E0A89">
      <w:pPr>
        <w:widowControl w:val="0"/>
        <w:spacing w:after="120"/>
        <w:ind w:left="57"/>
        <w:rPr>
          <w:rFonts w:ascii="Times New Roman" w:eastAsia="Calibri" w:hAnsi="Times New Roman"/>
          <w:lang w:val="fr-BE"/>
        </w:rPr>
      </w:pPr>
      <w:r w:rsidRPr="007118B9">
        <w:rPr>
          <w:rFonts w:ascii="Times New Roman" w:hAnsi="Times New Roman"/>
          <w:lang w:val="fr-BE"/>
        </w:rPr>
        <w:t>En ce qui concerne le paragraphe 27, la Commission travaille à l’application de mesures liées aux marchés publics écologiques et circulaires dans plusieurs initiatives sectorielles. Il s’agit, par exemple, des obligations en matière de marchés publics écologiques dans la récente proposition de nouveau règlement relatif aux batteries, et de la définition de critères obligatoires en matière de marchés publics écologiques dans le cadre de la stratégie</w:t>
      </w:r>
      <w:proofErr w:type="gramStart"/>
      <w:r w:rsidRPr="007118B9">
        <w:rPr>
          <w:rFonts w:ascii="Times New Roman" w:hAnsi="Times New Roman"/>
          <w:lang w:val="fr-BE"/>
        </w:rPr>
        <w:t xml:space="preserve"> «De</w:t>
      </w:r>
      <w:proofErr w:type="gramEnd"/>
      <w:r w:rsidRPr="007118B9">
        <w:rPr>
          <w:rFonts w:ascii="Times New Roman" w:hAnsi="Times New Roman"/>
          <w:lang w:val="fr-BE"/>
        </w:rPr>
        <w:t xml:space="preserve"> la ferme à la table». En outre, la Commission élaborera un guide complet sur les investissements publics dans les projets d’infrastructures durables, afin d’aider les acheteurs publics à aligner leurs marchés sur la taxonomie de l’UE en matière de financement durable. Enfin, la Commission publiera un guide sur les marchés publics socialement responsables au cours du premier semestre de 2021.</w:t>
      </w:r>
    </w:p>
    <w:p w:rsidR="009E0A89" w:rsidRPr="007118B9" w:rsidRDefault="009E0A89" w:rsidP="009E0A89">
      <w:pPr>
        <w:widowControl w:val="0"/>
        <w:spacing w:after="120"/>
        <w:ind w:left="57"/>
        <w:rPr>
          <w:rFonts w:ascii="Times New Roman" w:eastAsia="Calibri" w:hAnsi="Times New Roman"/>
          <w:lang w:val="fr-BE"/>
        </w:rPr>
      </w:pPr>
      <w:r w:rsidRPr="007118B9">
        <w:rPr>
          <w:rFonts w:ascii="Times New Roman" w:hAnsi="Times New Roman"/>
          <w:lang w:val="fr-BE"/>
        </w:rPr>
        <w:t>En ce qui concerne le paragraphe 28, la Commission travaille sur un instrument spécifique pour lutter contre les effets de distorsion des subventions étrangères sur le marché intérieur, y compris dans les marchés publics, à la suite de la publication en 2019 de ses orientations sur la participation des soumissionnaires et des produits de pays tiers aux marchés publics de l’UE. La Commission continuera également à simplifier l’accès aux marchés publics pour les petites et moyennes entreprises (PME) et les entreprises de l’économie sociale, conformément au cadre juridique de l’Union européenne. Elle le fera en définissant un label favorable aux PME pour les acheteurs publics et en encourageant l’intégration de considérations sociales dans les marchés publics.</w:t>
      </w:r>
    </w:p>
    <w:p w:rsidR="009E0A89" w:rsidRPr="007118B9" w:rsidRDefault="009E0A89" w:rsidP="009E0A89">
      <w:pPr>
        <w:widowControl w:val="0"/>
        <w:spacing w:after="120"/>
        <w:ind w:left="57"/>
        <w:rPr>
          <w:rFonts w:ascii="Times New Roman" w:eastAsia="Calibri" w:hAnsi="Times New Roman"/>
          <w:szCs w:val="22"/>
          <w:lang w:val="fr-BE"/>
        </w:rPr>
      </w:pPr>
      <w:r w:rsidRPr="007118B9">
        <w:rPr>
          <w:rFonts w:ascii="Times New Roman" w:hAnsi="Times New Roman"/>
          <w:lang w:val="fr-BE"/>
        </w:rPr>
        <w:t>En ce qui concerne le paragraphe 29, la Commission travaille sur plusieurs initiatives afin de s’assurer que ses marchés publics sont conformes aux objectifs climatiques, environnementaux et sociaux de l’Union européenne. Alors que des formations, un soutien et des orientations internes sont déjà disponibles pour encourager l’intégration de considérations écologiques et sociales, la Commission continuera à travailler afin de s’assurer que ses pratiques de passation de marchés publics sont conformes à l’ambition du pacte vert pour l’Europe.</w:t>
      </w:r>
    </w:p>
    <w:p w:rsidR="009E0A89" w:rsidRPr="007118B9" w:rsidRDefault="009E0A89" w:rsidP="009E0A89">
      <w:pPr>
        <w:widowControl w:val="0"/>
        <w:spacing w:after="120"/>
        <w:ind w:left="567" w:hanging="567"/>
        <w:jc w:val="left"/>
        <w:rPr>
          <w:rFonts w:ascii="Times New Roman" w:hAnsi="Times New Roman"/>
          <w:b/>
          <w:bCs/>
          <w:i/>
          <w:iCs/>
          <w:lang w:val="fr-BE"/>
        </w:rPr>
      </w:pPr>
      <w:r w:rsidRPr="007118B9">
        <w:rPr>
          <w:rFonts w:ascii="Times New Roman" w:hAnsi="Times New Roman"/>
          <w:b/>
          <w:bCs/>
          <w:i/>
          <w:iCs/>
          <w:lang w:val="fr-BE"/>
        </w:rPr>
        <w:t xml:space="preserve">Un marketing et </w:t>
      </w:r>
      <w:proofErr w:type="gramStart"/>
      <w:r w:rsidRPr="007118B9">
        <w:rPr>
          <w:rFonts w:ascii="Times New Roman" w:hAnsi="Times New Roman"/>
          <w:b/>
          <w:bCs/>
          <w:i/>
          <w:iCs/>
          <w:lang w:val="fr-BE"/>
        </w:rPr>
        <w:t>une publicité responsables</w:t>
      </w:r>
      <w:proofErr w:type="gramEnd"/>
      <w:r w:rsidRPr="007118B9">
        <w:rPr>
          <w:rFonts w:ascii="Times New Roman" w:hAnsi="Times New Roman"/>
          <w:b/>
          <w:bCs/>
          <w:i/>
          <w:iCs/>
          <w:lang w:val="fr-BE"/>
        </w:rPr>
        <w:t xml:space="preserve"> </w:t>
      </w:r>
    </w:p>
    <w:p w:rsidR="009E0A89" w:rsidRPr="007118B9" w:rsidRDefault="009E0A89" w:rsidP="009E0A89">
      <w:pPr>
        <w:widowControl w:val="0"/>
        <w:spacing w:after="120"/>
        <w:ind w:left="57"/>
        <w:rPr>
          <w:rFonts w:ascii="Times New Roman" w:eastAsia="Calibri" w:hAnsi="Times New Roman"/>
          <w:lang w:val="fr-BE"/>
        </w:rPr>
      </w:pPr>
      <w:r w:rsidRPr="007118B9">
        <w:rPr>
          <w:rFonts w:ascii="Times New Roman" w:hAnsi="Times New Roman"/>
          <w:lang w:val="fr-BE"/>
        </w:rPr>
        <w:t xml:space="preserve">La Commission est invitée aux paragraphes 30 et 32 à renforcer la lutte contre les allégations trompeuses actuelles sur les qualités environnementales </w:t>
      </w:r>
      <w:proofErr w:type="gramStart"/>
      <w:r w:rsidRPr="007118B9">
        <w:rPr>
          <w:rFonts w:ascii="Times New Roman" w:hAnsi="Times New Roman"/>
          <w:lang w:val="fr-BE"/>
        </w:rPr>
        <w:t>(«</w:t>
      </w:r>
      <w:proofErr w:type="spellStart"/>
      <w:r w:rsidRPr="007118B9">
        <w:rPr>
          <w:rFonts w:ascii="Times New Roman" w:hAnsi="Times New Roman"/>
          <w:lang w:val="fr-BE"/>
        </w:rPr>
        <w:t>écoblanchiment</w:t>
      </w:r>
      <w:proofErr w:type="spellEnd"/>
      <w:proofErr w:type="gramEnd"/>
      <w:r w:rsidRPr="007118B9">
        <w:rPr>
          <w:rFonts w:ascii="Times New Roman" w:hAnsi="Times New Roman"/>
          <w:lang w:val="fr-BE"/>
        </w:rPr>
        <w:t>») des produits, tant en ligne que hors ligne. C’est d’ailleurs l’un des principaux objectifs de la prochaine initiative de la Commission visant à donner aux consommateurs les moyens d’agir dans le cadre de la transition verte. En plus de mieux informer les consommateurs, il est nécessaire de mieux les protéger contre la publicité trompeuse et contre les fausses informations ou les informations présentées de manière trompeuse ou prêtant à confusion afin de donner l’impression erronée qu’une entreprise ou un produit est plus respectueux de l’environnement, une pratique appelée</w:t>
      </w:r>
      <w:proofErr w:type="gramStart"/>
      <w:r w:rsidRPr="007118B9">
        <w:rPr>
          <w:rFonts w:ascii="Times New Roman" w:hAnsi="Times New Roman"/>
          <w:lang w:val="fr-BE"/>
        </w:rPr>
        <w:t xml:space="preserve"> «</w:t>
      </w:r>
      <w:proofErr w:type="spellStart"/>
      <w:r w:rsidRPr="007118B9">
        <w:rPr>
          <w:rFonts w:ascii="Times New Roman" w:hAnsi="Times New Roman"/>
          <w:b/>
          <w:bCs/>
          <w:lang w:val="fr-BE"/>
        </w:rPr>
        <w:t>écoblanchiment</w:t>
      </w:r>
      <w:proofErr w:type="spellEnd"/>
      <w:proofErr w:type="gramEnd"/>
      <w:r w:rsidRPr="007118B9">
        <w:rPr>
          <w:rFonts w:ascii="Times New Roman" w:hAnsi="Times New Roman"/>
          <w:lang w:val="fr-BE"/>
        </w:rPr>
        <w:t xml:space="preserve">», comme indiqué précédemment. </w:t>
      </w:r>
    </w:p>
    <w:p w:rsidR="009E0A89" w:rsidRPr="007118B9" w:rsidRDefault="009E0A89" w:rsidP="009E0A89">
      <w:pPr>
        <w:widowControl w:val="0"/>
        <w:spacing w:after="120"/>
        <w:ind w:left="57"/>
        <w:rPr>
          <w:rFonts w:ascii="Times New Roman" w:eastAsia="Calibri" w:hAnsi="Times New Roman"/>
          <w:lang w:val="fr-BE"/>
        </w:rPr>
      </w:pPr>
      <w:r w:rsidRPr="007118B9">
        <w:rPr>
          <w:rFonts w:ascii="Times New Roman" w:hAnsi="Times New Roman"/>
          <w:lang w:val="fr-BE"/>
        </w:rPr>
        <w:t xml:space="preserve">En outre, en ce qui concerne le paragraphe 31, la Commission travaille sur l’initiative relative aux allégations environnementales afin de garantir que les allégations relatives à la performance environnementale des entreprises et des produits sont fiables, comparables et vérifiables dans l’ensemble de l’Union européenne. Cette initiative vise à lutter contre la prolifération de méthodes et d’initiatives incohérentes et d’allégations environnementales trompeuses. Elle entend par conséquent permettre à tous les acteurs du marché de prendre des décisions plus écologiques et mieux informées. </w:t>
      </w:r>
    </w:p>
    <w:p w:rsidR="009E0A89" w:rsidRPr="007118B9" w:rsidRDefault="009E0A89" w:rsidP="009E0A89">
      <w:pPr>
        <w:spacing w:after="120"/>
        <w:ind w:left="57"/>
        <w:rPr>
          <w:lang w:val="fr-BE"/>
        </w:rPr>
      </w:pPr>
      <w:r w:rsidRPr="007118B9">
        <w:rPr>
          <w:rFonts w:ascii="Times New Roman" w:hAnsi="Times New Roman"/>
          <w:lang w:val="fr-BE"/>
        </w:rPr>
        <w:t xml:space="preserve">La Commission pourrait proposer que les entreprises étayent leurs allégations environnementales en utilisant les méthodes d’empreinte environnementale des produits et </w:t>
      </w:r>
      <w:r w:rsidRPr="007118B9">
        <w:rPr>
          <w:rFonts w:ascii="Times New Roman" w:hAnsi="Times New Roman"/>
          <w:lang w:val="fr-BE"/>
        </w:rPr>
        <w:lastRenderedPageBreak/>
        <w:t xml:space="preserve">d’empreinte environnementale des organisations, qui sont les méthodes d’empreinte environnementale recommandées par la recommandation 2013/179/UE de la Commission, sous réserve de l’analyse d’impact en cours. La Commission testera l’intégration de ces méthodes dans le label écologique de l’UE et inclura de façon plus systématique, dans les critères d’obtention de ce label, la durabilité, la </w:t>
      </w:r>
      <w:proofErr w:type="spellStart"/>
      <w:r w:rsidRPr="007118B9">
        <w:rPr>
          <w:rFonts w:ascii="Times New Roman" w:hAnsi="Times New Roman"/>
          <w:lang w:val="fr-BE"/>
        </w:rPr>
        <w:t>recyclabilité</w:t>
      </w:r>
      <w:proofErr w:type="spellEnd"/>
      <w:r w:rsidRPr="007118B9">
        <w:rPr>
          <w:rFonts w:ascii="Times New Roman" w:hAnsi="Times New Roman"/>
          <w:lang w:val="fr-BE"/>
        </w:rPr>
        <w:t xml:space="preserve"> et la teneur en matières recyclées.</w:t>
      </w:r>
    </w:p>
    <w:sectPr w:rsidR="009E0A89" w:rsidRPr="007118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89" w:rsidRDefault="009E0A89" w:rsidP="009E0A89">
      <w:pPr>
        <w:spacing w:after="0"/>
      </w:pPr>
      <w:r>
        <w:separator/>
      </w:r>
    </w:p>
  </w:endnote>
  <w:endnote w:type="continuationSeparator" w:id="0">
    <w:p w:rsidR="009E0A89" w:rsidRDefault="009E0A89" w:rsidP="009E0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89" w:rsidRDefault="009E0A89" w:rsidP="009E0A89">
      <w:pPr>
        <w:spacing w:after="0"/>
      </w:pPr>
      <w:r>
        <w:separator/>
      </w:r>
    </w:p>
  </w:footnote>
  <w:footnote w:type="continuationSeparator" w:id="0">
    <w:p w:rsidR="009E0A89" w:rsidRDefault="009E0A89" w:rsidP="009E0A89">
      <w:pPr>
        <w:spacing w:after="0"/>
      </w:pPr>
      <w:r>
        <w:continuationSeparator/>
      </w:r>
    </w:p>
  </w:footnote>
  <w:footnote w:id="1">
    <w:p w:rsidR="009E0A89" w:rsidRPr="007118B9" w:rsidRDefault="009E0A89" w:rsidP="009E0A89">
      <w:pPr>
        <w:pStyle w:val="FootnoteText"/>
        <w:spacing w:after="0"/>
        <w:rPr>
          <w:rFonts w:ascii="Times New Roman" w:hAnsi="Times New Roman"/>
          <w:lang w:val="fr-BE"/>
        </w:rPr>
      </w:pPr>
      <w:r>
        <w:rPr>
          <w:rStyle w:val="FootnoteReference"/>
        </w:rPr>
        <w:footnoteRef/>
      </w:r>
      <w:r w:rsidRPr="007118B9">
        <w:rPr>
          <w:lang w:val="fr-BE"/>
        </w:rPr>
        <w:tab/>
      </w:r>
      <w:proofErr w:type="spellStart"/>
      <w:r w:rsidRPr="007118B9">
        <w:rPr>
          <w:rFonts w:ascii="Times New Roman" w:hAnsi="Times New Roman"/>
          <w:lang w:val="fr-BE"/>
        </w:rPr>
        <w:t>Cordella</w:t>
      </w:r>
      <w:proofErr w:type="spellEnd"/>
      <w:r w:rsidRPr="007118B9">
        <w:rPr>
          <w:rFonts w:ascii="Times New Roman" w:hAnsi="Times New Roman"/>
          <w:lang w:val="fr-BE"/>
        </w:rPr>
        <w:t xml:space="preserve"> M., Alfieri F. et </w:t>
      </w:r>
      <w:proofErr w:type="spellStart"/>
      <w:r w:rsidRPr="007118B9">
        <w:rPr>
          <w:rFonts w:ascii="Times New Roman" w:hAnsi="Times New Roman"/>
          <w:lang w:val="fr-BE"/>
        </w:rPr>
        <w:t>Sanfelix</w:t>
      </w:r>
      <w:proofErr w:type="spellEnd"/>
      <w:r w:rsidRPr="007118B9">
        <w:rPr>
          <w:rFonts w:ascii="Times New Roman" w:hAnsi="Times New Roman"/>
          <w:lang w:val="fr-BE"/>
        </w:rPr>
        <w:t xml:space="preserve"> J., </w:t>
      </w:r>
      <w:proofErr w:type="spellStart"/>
      <w:r w:rsidRPr="007118B9">
        <w:rPr>
          <w:rFonts w:ascii="Times New Roman" w:hAnsi="Times New Roman"/>
          <w:lang w:val="fr-BE"/>
        </w:rPr>
        <w:t>Analysis</w:t>
      </w:r>
      <w:proofErr w:type="spellEnd"/>
      <w:r w:rsidRPr="007118B9">
        <w:rPr>
          <w:rFonts w:ascii="Times New Roman" w:hAnsi="Times New Roman"/>
          <w:lang w:val="fr-BE"/>
        </w:rPr>
        <w:t xml:space="preserve"> and </w:t>
      </w:r>
      <w:proofErr w:type="spellStart"/>
      <w:r w:rsidRPr="007118B9">
        <w:rPr>
          <w:rFonts w:ascii="Times New Roman" w:hAnsi="Times New Roman"/>
          <w:lang w:val="fr-BE"/>
        </w:rPr>
        <w:t>development</w:t>
      </w:r>
      <w:proofErr w:type="spellEnd"/>
      <w:r w:rsidRPr="007118B9">
        <w:rPr>
          <w:rFonts w:ascii="Times New Roman" w:hAnsi="Times New Roman"/>
          <w:lang w:val="fr-BE"/>
        </w:rPr>
        <w:t xml:space="preserve"> of a </w:t>
      </w:r>
      <w:proofErr w:type="spellStart"/>
      <w:r w:rsidRPr="007118B9">
        <w:rPr>
          <w:rFonts w:ascii="Times New Roman" w:hAnsi="Times New Roman"/>
          <w:lang w:val="fr-BE"/>
        </w:rPr>
        <w:t>scoring</w:t>
      </w:r>
      <w:proofErr w:type="spellEnd"/>
      <w:r w:rsidRPr="007118B9">
        <w:rPr>
          <w:rFonts w:ascii="Times New Roman" w:hAnsi="Times New Roman"/>
          <w:lang w:val="fr-BE"/>
        </w:rPr>
        <w:t xml:space="preserve"> system for </w:t>
      </w:r>
      <w:proofErr w:type="spellStart"/>
      <w:r w:rsidRPr="007118B9">
        <w:rPr>
          <w:rFonts w:ascii="Times New Roman" w:hAnsi="Times New Roman"/>
          <w:lang w:val="fr-BE"/>
        </w:rPr>
        <w:t>repair</w:t>
      </w:r>
      <w:proofErr w:type="spellEnd"/>
      <w:r w:rsidRPr="007118B9">
        <w:rPr>
          <w:rFonts w:ascii="Times New Roman" w:hAnsi="Times New Roman"/>
          <w:lang w:val="fr-BE"/>
        </w:rPr>
        <w:t xml:space="preserve"> and upgrade of </w:t>
      </w:r>
      <w:proofErr w:type="spellStart"/>
      <w:r w:rsidRPr="007118B9">
        <w:rPr>
          <w:rFonts w:ascii="Times New Roman" w:hAnsi="Times New Roman"/>
          <w:lang w:val="fr-BE"/>
        </w:rPr>
        <w:t>products</w:t>
      </w:r>
      <w:proofErr w:type="spellEnd"/>
      <w:r w:rsidRPr="007118B9">
        <w:rPr>
          <w:rFonts w:ascii="Times New Roman" w:hAnsi="Times New Roman"/>
          <w:lang w:val="fr-BE"/>
        </w:rPr>
        <w:t xml:space="preserve"> – Final report, EUR 29711 EN, Office des publications de l’Union européenne, Luxembourg, 2019, ISBN 978-92-76-01602-1, doi:10.2760/725068, JRC114337.</w:t>
      </w:r>
    </w:p>
  </w:footnote>
  <w:footnote w:id="2">
    <w:p w:rsidR="009E0A89" w:rsidRPr="007118B9" w:rsidRDefault="009E0A89" w:rsidP="009E0A89">
      <w:pPr>
        <w:pStyle w:val="FootnoteText"/>
        <w:spacing w:after="0"/>
        <w:rPr>
          <w:rFonts w:ascii="Times New Roman" w:hAnsi="Times New Roman"/>
          <w:lang w:val="fr-BE"/>
        </w:rPr>
      </w:pPr>
      <w:r>
        <w:rPr>
          <w:rStyle w:val="FootnoteReference"/>
          <w:rFonts w:ascii="Times New Roman" w:hAnsi="Times New Roman"/>
        </w:rPr>
        <w:footnoteRef/>
      </w:r>
      <w:r w:rsidRPr="007118B9">
        <w:rPr>
          <w:rFonts w:ascii="Times New Roman" w:hAnsi="Times New Roman"/>
          <w:lang w:val="fr-BE"/>
        </w:rPr>
        <w:t xml:space="preserve"> </w:t>
      </w:r>
      <w:r w:rsidRPr="007118B9">
        <w:rPr>
          <w:rFonts w:ascii="Times New Roman" w:hAnsi="Times New Roman"/>
          <w:lang w:val="fr-BE"/>
        </w:rPr>
        <w:tab/>
      </w:r>
      <w:hyperlink r:id="rId1" w:history="1">
        <w:r w:rsidRPr="007118B9">
          <w:rPr>
            <w:rStyle w:val="Hyperlink"/>
            <w:rFonts w:ascii="Times New Roman" w:hAnsi="Times New Roman"/>
            <w:lang w:val="fr-BE"/>
          </w:rPr>
          <w:t>www.ecodesignworkingplan20-24.eu</w:t>
        </w:r>
      </w:hyperlink>
    </w:p>
  </w:footnote>
  <w:footnote w:id="3">
    <w:p w:rsidR="009E0A89" w:rsidRPr="007118B9" w:rsidRDefault="009E0A89" w:rsidP="009E0A89">
      <w:pPr>
        <w:pStyle w:val="FootnoteText"/>
        <w:spacing w:after="0"/>
        <w:rPr>
          <w:rFonts w:ascii="Times New Roman" w:hAnsi="Times New Roman"/>
          <w:lang w:val="fr-BE"/>
        </w:rPr>
      </w:pPr>
      <w:r>
        <w:rPr>
          <w:rFonts w:ascii="Times New Roman" w:hAnsi="Times New Roman"/>
          <w:vertAlign w:val="superscript"/>
        </w:rPr>
        <w:footnoteRef/>
      </w:r>
      <w:r w:rsidRPr="007118B9">
        <w:rPr>
          <w:rFonts w:ascii="Times New Roman" w:hAnsi="Times New Roman"/>
          <w:lang w:val="fr-BE"/>
        </w:rPr>
        <w:t xml:space="preserve"> </w:t>
      </w:r>
      <w:r w:rsidRPr="007118B9">
        <w:rPr>
          <w:rFonts w:ascii="Times New Roman" w:hAnsi="Times New Roman"/>
          <w:lang w:val="fr-BE"/>
        </w:rPr>
        <w:tab/>
        <w:t>Notamment, l’initiative en faveur d’une politique des produits durables et l’initiative sur la justification des allégations écologiques.</w:t>
      </w:r>
    </w:p>
  </w:footnote>
  <w:footnote w:id="4">
    <w:p w:rsidR="009E0A89" w:rsidRPr="007118B9" w:rsidRDefault="009E0A89" w:rsidP="009E0A89">
      <w:pPr>
        <w:pStyle w:val="FootnoteText"/>
        <w:spacing w:after="0"/>
        <w:rPr>
          <w:rFonts w:ascii="Times New Roman" w:hAnsi="Times New Roman"/>
          <w:lang w:val="fr-BE"/>
        </w:rPr>
      </w:pPr>
      <w:r>
        <w:rPr>
          <w:rStyle w:val="FootnoteReference"/>
          <w:rFonts w:ascii="Times New Roman" w:hAnsi="Times New Roman"/>
        </w:rPr>
        <w:footnoteRef/>
      </w:r>
      <w:r w:rsidRPr="007118B9">
        <w:rPr>
          <w:rFonts w:ascii="Times New Roman" w:hAnsi="Times New Roman"/>
          <w:lang w:val="fr-BE"/>
        </w:rPr>
        <w:t xml:space="preserve"> </w:t>
      </w:r>
      <w:r w:rsidRPr="007118B9">
        <w:rPr>
          <w:rFonts w:ascii="Times New Roman" w:hAnsi="Times New Roman"/>
          <w:lang w:val="fr-BE"/>
        </w:rPr>
        <w:tab/>
      </w:r>
      <w:hyperlink r:id="rId2" w:history="1">
        <w:r w:rsidRPr="007118B9">
          <w:rPr>
            <w:rStyle w:val="Hyperlink"/>
            <w:rFonts w:ascii="Times New Roman" w:hAnsi="Times New Roman"/>
            <w:lang w:val="fr-BE"/>
          </w:rPr>
          <w:t>https://ec.europa.eu/info/law/better-regulation/have-your-say/initiatives/1846-Evaluation-of-EU-legislation-on-design-protection</w:t>
        </w:r>
      </w:hyperlink>
    </w:p>
  </w:footnote>
  <w:footnote w:id="5">
    <w:p w:rsidR="009E0A89" w:rsidRPr="007118B9" w:rsidRDefault="009E0A89" w:rsidP="009E0A89">
      <w:pPr>
        <w:pStyle w:val="FootnoteText"/>
        <w:spacing w:after="0"/>
        <w:rPr>
          <w:rFonts w:ascii="Times New Roman" w:hAnsi="Times New Roman"/>
          <w:lang w:val="fr-BE"/>
        </w:rPr>
      </w:pPr>
      <w:r>
        <w:rPr>
          <w:rStyle w:val="FootnoteReference"/>
          <w:rFonts w:ascii="Times New Roman" w:hAnsi="Times New Roman"/>
        </w:rPr>
        <w:footnoteRef/>
      </w:r>
      <w:r w:rsidRPr="007118B9">
        <w:rPr>
          <w:rFonts w:ascii="Times New Roman" w:hAnsi="Times New Roman"/>
          <w:lang w:val="fr-BE"/>
        </w:rPr>
        <w:t xml:space="preserve"> </w:t>
      </w:r>
      <w:r w:rsidRPr="007118B9">
        <w:rPr>
          <w:rFonts w:ascii="Times New Roman" w:hAnsi="Times New Roman"/>
          <w:lang w:val="fr-BE"/>
        </w:rPr>
        <w:tab/>
      </w:r>
      <w:hyperlink r:id="rId3" w:history="1">
        <w:r w:rsidRPr="007118B9">
          <w:rPr>
            <w:rStyle w:val="Hyperlink"/>
            <w:rFonts w:ascii="Times New Roman" w:hAnsi="Times New Roman"/>
            <w:lang w:val="fr-BE"/>
          </w:rPr>
          <w:t>https://ec.europa.eu/info/law/better-regulation/have-your-say/initiatives/12609-Review-of-the-Designs-Directive</w:t>
        </w:r>
      </w:hyperlink>
    </w:p>
  </w:footnote>
  <w:footnote w:id="6">
    <w:p w:rsidR="009E0A89" w:rsidRPr="007118B9" w:rsidRDefault="009E0A89" w:rsidP="009E0A89">
      <w:pPr>
        <w:pStyle w:val="FootnoteText"/>
        <w:spacing w:after="0"/>
        <w:rPr>
          <w:lang w:val="fr-BE"/>
        </w:rPr>
      </w:pPr>
      <w:r>
        <w:rPr>
          <w:rStyle w:val="FootnoteReference"/>
          <w:rFonts w:ascii="Times New Roman" w:hAnsi="Times New Roman"/>
        </w:rPr>
        <w:footnoteRef/>
      </w:r>
      <w:r w:rsidRPr="007118B9">
        <w:rPr>
          <w:rFonts w:ascii="Times New Roman" w:hAnsi="Times New Roman"/>
          <w:lang w:val="fr-BE"/>
        </w:rPr>
        <w:t xml:space="preserve"> </w:t>
      </w:r>
      <w:r w:rsidRPr="007118B9">
        <w:rPr>
          <w:rFonts w:ascii="Times New Roman" w:hAnsi="Times New Roman"/>
          <w:lang w:val="fr-BE"/>
        </w:rPr>
        <w:tab/>
      </w:r>
      <w:r w:rsidRPr="007118B9">
        <w:rPr>
          <w:rFonts w:ascii="Times New Roman" w:hAnsi="Times New Roman"/>
          <w:szCs w:val="24"/>
          <w:lang w:val="fr-BE"/>
        </w:rPr>
        <w:t>https://ec.europa.eu/commission/presscorner/detail/fr/qanda_19_5889</w:t>
      </w:r>
    </w:p>
  </w:footnote>
  <w:footnote w:id="7">
    <w:p w:rsidR="009E0A89" w:rsidRPr="007118B9" w:rsidRDefault="009E0A89" w:rsidP="009E0A89">
      <w:pPr>
        <w:pStyle w:val="FootnoteText"/>
        <w:spacing w:after="0"/>
        <w:rPr>
          <w:lang w:val="fr-BE"/>
        </w:rPr>
      </w:pPr>
      <w:r>
        <w:rPr>
          <w:rStyle w:val="FootnoteReference"/>
        </w:rPr>
        <w:footnoteRef/>
      </w:r>
      <w:r w:rsidRPr="007118B9">
        <w:rPr>
          <w:lang w:val="fr-BE"/>
        </w:rPr>
        <w:t xml:space="preserve"> </w:t>
      </w:r>
      <w:r w:rsidRPr="007118B9">
        <w:rPr>
          <w:lang w:val="fr-BE"/>
        </w:rPr>
        <w:tab/>
      </w:r>
      <w:hyperlink r:id="rId4" w:history="1">
        <w:r w:rsidRPr="007118B9">
          <w:rPr>
            <w:rStyle w:val="Hyperlink"/>
            <w:rFonts w:ascii="Times New Roman" w:hAnsi="Times New Roman"/>
            <w:lang w:val="fr-BE"/>
          </w:rPr>
          <w:t>https://www.aim.be/wp-content/themes/aim/pdfs/Digital%20Watermarks%20Initiative%20HolyGrail%202.0%20-%20general%20presentation%20for%20PDF.pdf?_t=1602239412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F265C"/>
    <w:multiLevelType w:val="hybridMultilevel"/>
    <w:tmpl w:val="CF64E904"/>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89"/>
    <w:rsid w:val="00841B62"/>
    <w:rsid w:val="009E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9D3D0-1357-4C83-849F-2EE0026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A89"/>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
    <w:basedOn w:val="Normal"/>
    <w:link w:val="ListParagraphChar"/>
    <w:uiPriority w:val="34"/>
    <w:qFormat/>
    <w:rsid w:val="009E0A89"/>
    <w:pPr>
      <w:spacing w:after="200" w:line="276" w:lineRule="auto"/>
      <w:ind w:left="720"/>
      <w:contextualSpacing/>
      <w:jc w:val="left"/>
    </w:pPr>
    <w:rPr>
      <w:rFonts w:ascii="Calibri" w:eastAsia="Calibri" w:hAnsi="Calibri"/>
      <w:sz w:val="22"/>
      <w:szCs w:val="22"/>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CSR"/>
    <w:basedOn w:val="Normal"/>
    <w:link w:val="FootnoteTextChar2"/>
    <w:uiPriority w:val="99"/>
    <w:qFormat/>
    <w:rsid w:val="009E0A89"/>
    <w:pPr>
      <w:ind w:left="357" w:hanging="357"/>
    </w:pPr>
    <w:rPr>
      <w:sz w:val="20"/>
    </w:rPr>
  </w:style>
  <w:style w:type="character" w:customStyle="1" w:styleId="FootnoteTextChar">
    <w:name w:val="Footnote Text Char"/>
    <w:basedOn w:val="DefaultParagraphFont"/>
    <w:uiPriority w:val="99"/>
    <w:semiHidden/>
    <w:rsid w:val="009E0A89"/>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9E0A89"/>
    <w:rPr>
      <w:vertAlign w:val="superscript"/>
    </w:rPr>
  </w:style>
  <w:style w:type="character" w:styleId="Hyperlink">
    <w:name w:val="Hyperlink"/>
    <w:aliases w:val="Char1"/>
    <w:uiPriority w:val="99"/>
    <w:rsid w:val="009E0A89"/>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9E0A89"/>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E0A89"/>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9E0A89"/>
    <w:rPr>
      <w:rFonts w:ascii="Calibri" w:eastAsia="Calibri" w:hAnsi="Calibri" w:cs="Times New Roman"/>
    </w:rPr>
  </w:style>
  <w:style w:type="character" w:styleId="Emphasis">
    <w:name w:val="Emphasis"/>
    <w:basedOn w:val="DefaultParagraphFont"/>
    <w:uiPriority w:val="20"/>
    <w:qFormat/>
    <w:rsid w:val="009E0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609-Review-of-the-Designs-Directive" TargetMode="External"/><Relationship Id="rId2" Type="http://schemas.openxmlformats.org/officeDocument/2006/relationships/hyperlink" Target="https://ec.europa.eu/info/law/better-regulation/have-your-say/initiatives/1846-Evaluation-of-EU-legislation-on-design-protection" TargetMode="External"/><Relationship Id="rId1" Type="http://schemas.openxmlformats.org/officeDocument/2006/relationships/hyperlink" Target="http://www.ecodesignworkingplan20-24.eu" TargetMode="External"/><Relationship Id="rId4" Type="http://schemas.openxmlformats.org/officeDocument/2006/relationships/hyperlink" Target="https://www.aim.be/wp-content/themes/aim/pdfs/Digital%20Watermarks%20Initiative%20HolyGrail%202.0%20-%20general%20presentation%20for%20PDF.pdf?_t=1602239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5262</Words>
  <Characters>29893</Characters>
  <Application>Microsoft Office Word</Application>
  <DocSecurity>0</DocSecurity>
  <Lines>421</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2021-05-28T15:52:00Z</dcterms:created>
  <dcterms:modified xsi:type="dcterms:W3CDTF">2021-05-28T15:53:00Z</dcterms:modified>
</cp:coreProperties>
</file>