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3CC8" w:rsidRPr="005238A3" w:rsidRDefault="00813CC8" w:rsidP="00813CC8">
      <w:pPr>
        <w:spacing w:after="600"/>
        <w:jc w:val="center"/>
        <w:rPr>
          <w:rFonts w:ascii="Times New Roman" w:hAnsi="Times New Roman"/>
          <w:b/>
          <w:bCs/>
          <w:szCs w:val="24"/>
          <w:lang w:val="fr-BE"/>
        </w:rPr>
      </w:pPr>
      <w:r w:rsidRPr="005238A3">
        <w:rPr>
          <w:rFonts w:ascii="Times New Roman" w:hAnsi="Times New Roman"/>
          <w:b/>
          <w:szCs w:val="24"/>
          <w:lang w:val="fr-BE"/>
        </w:rPr>
        <w:t xml:space="preserve">Suite donnée à la résolution non législative du Parlement européen </w:t>
      </w:r>
      <w:r w:rsidRPr="005238A3">
        <w:rPr>
          <w:rFonts w:ascii="Times New Roman" w:hAnsi="Times New Roman"/>
          <w:b/>
          <w:szCs w:val="24"/>
          <w:shd w:val="clear" w:color="auto" w:fill="FFFFFF"/>
          <w:lang w:val="fr-BE"/>
        </w:rPr>
        <w:t>sur le règlement d’exécution (UE) 2020/1511 de la Commission du 16 octobre 2020 modifiant le règlement d’exécution (UE) nº 540/2011 en ce qui concerne la prolongation de l’approbation des substances actives «</w:t>
      </w:r>
      <w:proofErr w:type="spellStart"/>
      <w:r w:rsidRPr="005238A3">
        <w:rPr>
          <w:rFonts w:ascii="Times New Roman" w:hAnsi="Times New Roman"/>
          <w:b/>
          <w:szCs w:val="24"/>
          <w:shd w:val="clear" w:color="auto" w:fill="FFFFFF"/>
          <w:lang w:val="fr-BE"/>
        </w:rPr>
        <w:t>amidosulfuron</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bifénox</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chlorotoluron</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clofentézine</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clomazone</w:t>
      </w:r>
      <w:proofErr w:type="spellEnd"/>
      <w:r w:rsidRPr="005238A3">
        <w:rPr>
          <w:rFonts w:ascii="Times New Roman" w:hAnsi="Times New Roman"/>
          <w:b/>
          <w:szCs w:val="24"/>
          <w:shd w:val="clear" w:color="auto" w:fill="FFFFFF"/>
          <w:lang w:val="fr-BE"/>
        </w:rPr>
        <w:t>», «cyperméthrine», «daminozide», «</w:t>
      </w:r>
      <w:proofErr w:type="spellStart"/>
      <w:r w:rsidRPr="005238A3">
        <w:rPr>
          <w:rFonts w:ascii="Times New Roman" w:hAnsi="Times New Roman"/>
          <w:b/>
          <w:szCs w:val="24"/>
          <w:shd w:val="clear" w:color="auto" w:fill="FFFFFF"/>
          <w:lang w:val="fr-BE"/>
        </w:rPr>
        <w:t>deltaméthrine</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dicamba</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difénoconazole</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diflufénican</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fenoxaprop</w:t>
      </w:r>
      <w:proofErr w:type="spellEnd"/>
      <w:r w:rsidRPr="005238A3">
        <w:rPr>
          <w:rFonts w:ascii="Times New Roman" w:hAnsi="Times New Roman"/>
          <w:b/>
          <w:szCs w:val="24"/>
          <w:shd w:val="clear" w:color="auto" w:fill="FFFFFF"/>
          <w:lang w:val="fr-BE"/>
        </w:rPr>
        <w:t>-P», «</w:t>
      </w:r>
      <w:proofErr w:type="spellStart"/>
      <w:r w:rsidRPr="005238A3">
        <w:rPr>
          <w:rFonts w:ascii="Times New Roman" w:hAnsi="Times New Roman"/>
          <w:b/>
          <w:szCs w:val="24"/>
          <w:shd w:val="clear" w:color="auto" w:fill="FFFFFF"/>
          <w:lang w:val="fr-BE"/>
        </w:rPr>
        <w:t>fenpropidine</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fludioxonyl</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flufénacet</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fosthiazate</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indoxacarbe</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lénacile</w:t>
      </w:r>
      <w:proofErr w:type="spellEnd"/>
      <w:r w:rsidRPr="005238A3">
        <w:rPr>
          <w:rFonts w:ascii="Times New Roman" w:hAnsi="Times New Roman"/>
          <w:b/>
          <w:szCs w:val="24"/>
          <w:shd w:val="clear" w:color="auto" w:fill="FFFFFF"/>
          <w:lang w:val="fr-BE"/>
        </w:rPr>
        <w:t>», «MCPA», «MCPB», «</w:t>
      </w:r>
      <w:proofErr w:type="spellStart"/>
      <w:r w:rsidRPr="005238A3">
        <w:rPr>
          <w:rFonts w:ascii="Times New Roman" w:hAnsi="Times New Roman"/>
          <w:b/>
          <w:szCs w:val="24"/>
          <w:shd w:val="clear" w:color="auto" w:fill="FFFFFF"/>
          <w:lang w:val="fr-BE"/>
        </w:rPr>
        <w:t>nicosulfuron</w:t>
      </w:r>
      <w:proofErr w:type="spellEnd"/>
      <w:r w:rsidRPr="005238A3">
        <w:rPr>
          <w:rFonts w:ascii="Times New Roman" w:hAnsi="Times New Roman"/>
          <w:b/>
          <w:szCs w:val="24"/>
          <w:shd w:val="clear" w:color="auto" w:fill="FFFFFF"/>
          <w:lang w:val="fr-BE"/>
        </w:rPr>
        <w:t>», «huiles de paraffine», «</w:t>
      </w:r>
      <w:proofErr w:type="spellStart"/>
      <w:r w:rsidRPr="005238A3">
        <w:rPr>
          <w:rFonts w:ascii="Times New Roman" w:hAnsi="Times New Roman"/>
          <w:b/>
          <w:szCs w:val="24"/>
          <w:shd w:val="clear" w:color="auto" w:fill="FFFFFF"/>
          <w:lang w:val="fr-BE"/>
        </w:rPr>
        <w:t>piclorame</w:t>
      </w:r>
      <w:proofErr w:type="spellEnd"/>
      <w:r w:rsidRPr="005238A3">
        <w:rPr>
          <w:rFonts w:ascii="Times New Roman" w:hAnsi="Times New Roman"/>
          <w:b/>
          <w:szCs w:val="24"/>
          <w:shd w:val="clear" w:color="auto" w:fill="FFFFFF"/>
          <w:lang w:val="fr-BE"/>
        </w:rPr>
        <w:t>», «</w:t>
      </w:r>
      <w:proofErr w:type="spellStart"/>
      <w:r w:rsidRPr="005238A3">
        <w:rPr>
          <w:rFonts w:ascii="Times New Roman" w:hAnsi="Times New Roman"/>
          <w:b/>
          <w:szCs w:val="24"/>
          <w:shd w:val="clear" w:color="auto" w:fill="FFFFFF"/>
          <w:lang w:val="fr-BE"/>
        </w:rPr>
        <w:t>prosulfocarbe</w:t>
      </w:r>
      <w:proofErr w:type="spellEnd"/>
      <w:r w:rsidRPr="005238A3">
        <w:rPr>
          <w:rFonts w:ascii="Times New Roman" w:hAnsi="Times New Roman"/>
          <w:b/>
          <w:szCs w:val="24"/>
          <w:shd w:val="clear" w:color="auto" w:fill="FFFFFF"/>
          <w:lang w:val="fr-BE"/>
        </w:rPr>
        <w:t>», «soufre», «</w:t>
      </w:r>
      <w:proofErr w:type="spellStart"/>
      <w:r w:rsidRPr="005238A3">
        <w:rPr>
          <w:rFonts w:ascii="Times New Roman" w:hAnsi="Times New Roman"/>
          <w:b/>
          <w:szCs w:val="24"/>
          <w:shd w:val="clear" w:color="auto" w:fill="FFFFFF"/>
          <w:lang w:val="fr-BE"/>
        </w:rPr>
        <w:t>triflusulfuron</w:t>
      </w:r>
      <w:proofErr w:type="spellEnd"/>
      <w:r w:rsidRPr="005238A3">
        <w:rPr>
          <w:rFonts w:ascii="Times New Roman" w:hAnsi="Times New Roman"/>
          <w:b/>
          <w:szCs w:val="24"/>
          <w:shd w:val="clear" w:color="auto" w:fill="FFFFFF"/>
          <w:lang w:val="fr-BE"/>
        </w:rPr>
        <w:t>» et «</w:t>
      </w:r>
      <w:proofErr w:type="spellStart"/>
      <w:r w:rsidRPr="005238A3">
        <w:rPr>
          <w:rFonts w:ascii="Times New Roman" w:hAnsi="Times New Roman"/>
          <w:b/>
          <w:szCs w:val="24"/>
          <w:shd w:val="clear" w:color="auto" w:fill="FFFFFF"/>
          <w:lang w:val="fr-BE"/>
        </w:rPr>
        <w:t>tritosulfuron</w:t>
      </w:r>
      <w:proofErr w:type="spellEnd"/>
      <w:r w:rsidRPr="005238A3">
        <w:rPr>
          <w:rFonts w:ascii="Times New Roman" w:hAnsi="Times New Roman"/>
          <w:b/>
          <w:szCs w:val="24"/>
          <w:shd w:val="clear" w:color="auto" w:fill="FFFFFF"/>
          <w:lang w:val="fr-BE"/>
        </w:rPr>
        <w:t>»</w:t>
      </w:r>
    </w:p>
    <w:p w:rsidR="00813CC8" w:rsidRPr="005238A3" w:rsidRDefault="00813CC8" w:rsidP="00813CC8">
      <w:pPr>
        <w:numPr>
          <w:ilvl w:val="0"/>
          <w:numId w:val="1"/>
        </w:numPr>
        <w:ind w:left="567" w:hanging="567"/>
        <w:rPr>
          <w:rFonts w:ascii="Times New Roman" w:hAnsi="Times New Roman"/>
          <w:b/>
          <w:bCs/>
          <w:szCs w:val="24"/>
          <w:lang w:val="fr-BE"/>
        </w:rPr>
      </w:pPr>
      <w:r w:rsidRPr="005238A3">
        <w:rPr>
          <w:rFonts w:ascii="Times New Roman" w:hAnsi="Times New Roman"/>
          <w:b/>
          <w:bCs/>
          <w:szCs w:val="24"/>
          <w:lang w:val="fr-BE"/>
        </w:rPr>
        <w:t>Résolution présentée conformément à l’article 112, paragraphes 2 et 3, du règlement intérieur du Parlement européen</w:t>
      </w:r>
    </w:p>
    <w:p w:rsidR="00813CC8" w:rsidRPr="005238A3" w:rsidRDefault="00813CC8" w:rsidP="00813CC8">
      <w:pPr>
        <w:numPr>
          <w:ilvl w:val="0"/>
          <w:numId w:val="1"/>
        </w:numPr>
        <w:ind w:left="567" w:hanging="567"/>
        <w:rPr>
          <w:rFonts w:ascii="Times New Roman" w:hAnsi="Times New Roman"/>
          <w:i/>
          <w:iCs/>
          <w:szCs w:val="24"/>
          <w:lang w:val="fr-BE"/>
        </w:rPr>
      </w:pPr>
      <w:r w:rsidRPr="005238A3">
        <w:rPr>
          <w:rFonts w:ascii="Times New Roman" w:hAnsi="Times New Roman"/>
          <w:b/>
          <w:bCs/>
          <w:szCs w:val="24"/>
          <w:lang w:val="fr-BE"/>
        </w:rPr>
        <w:t xml:space="preserve">Numéros de référence: </w:t>
      </w:r>
      <w:r w:rsidRPr="005238A3">
        <w:rPr>
          <w:rFonts w:ascii="Times New Roman" w:hAnsi="Times New Roman"/>
          <w:szCs w:val="24"/>
          <w:lang w:val="fr-BE"/>
        </w:rPr>
        <w:t>2020/2853 (RSP) / </w:t>
      </w:r>
      <w:bookmarkStart w:id="0" w:name="_GoBack"/>
      <w:r w:rsidRPr="005238A3">
        <w:rPr>
          <w:rFonts w:ascii="Times New Roman" w:hAnsi="Times New Roman"/>
          <w:szCs w:val="24"/>
          <w:lang w:val="fr-BE"/>
        </w:rPr>
        <w:t>B9-0367/2020 </w:t>
      </w:r>
      <w:bookmarkEnd w:id="0"/>
      <w:r w:rsidRPr="005238A3">
        <w:rPr>
          <w:rFonts w:ascii="Times New Roman" w:hAnsi="Times New Roman"/>
          <w:szCs w:val="24"/>
          <w:lang w:val="fr-BE"/>
        </w:rPr>
        <w:t>/ P9_TA-</w:t>
      </w:r>
      <w:proofErr w:type="gramStart"/>
      <w:r w:rsidRPr="005238A3">
        <w:rPr>
          <w:rFonts w:ascii="Times New Roman" w:hAnsi="Times New Roman"/>
          <w:szCs w:val="24"/>
          <w:lang w:val="fr-BE"/>
        </w:rPr>
        <w:t>PROV(</w:t>
      </w:r>
      <w:proofErr w:type="gramEnd"/>
      <w:r w:rsidRPr="005238A3">
        <w:rPr>
          <w:rFonts w:ascii="Times New Roman" w:hAnsi="Times New Roman"/>
          <w:szCs w:val="24"/>
          <w:lang w:val="fr-BE"/>
        </w:rPr>
        <w:t>2020)0325</w:t>
      </w:r>
    </w:p>
    <w:p w:rsidR="00813CC8" w:rsidRPr="005238A3" w:rsidRDefault="00813CC8" w:rsidP="00813CC8">
      <w:pPr>
        <w:numPr>
          <w:ilvl w:val="0"/>
          <w:numId w:val="1"/>
        </w:numPr>
        <w:ind w:left="567" w:hanging="567"/>
        <w:rPr>
          <w:rFonts w:ascii="Times New Roman" w:hAnsi="Times New Roman"/>
          <w:szCs w:val="24"/>
          <w:lang w:val="fr-BE"/>
        </w:rPr>
      </w:pPr>
      <w:r w:rsidRPr="005238A3">
        <w:rPr>
          <w:rFonts w:ascii="Times New Roman" w:hAnsi="Times New Roman"/>
          <w:b/>
          <w:bCs/>
          <w:szCs w:val="24"/>
          <w:lang w:val="fr-BE"/>
        </w:rPr>
        <w:t xml:space="preserve">Date d’adoption de la résolution: </w:t>
      </w:r>
      <w:r w:rsidRPr="005238A3">
        <w:rPr>
          <w:rFonts w:ascii="Times New Roman" w:hAnsi="Times New Roman"/>
          <w:szCs w:val="24"/>
          <w:lang w:val="fr-BE"/>
        </w:rPr>
        <w:t>26 novembre 2020</w:t>
      </w:r>
    </w:p>
    <w:p w:rsidR="00813CC8" w:rsidRPr="005238A3" w:rsidRDefault="00813CC8" w:rsidP="00813CC8">
      <w:pPr>
        <w:numPr>
          <w:ilvl w:val="0"/>
          <w:numId w:val="1"/>
        </w:numPr>
        <w:ind w:left="567" w:hanging="567"/>
        <w:rPr>
          <w:rFonts w:ascii="Times New Roman" w:hAnsi="Times New Roman"/>
          <w:i/>
          <w:iCs/>
          <w:szCs w:val="24"/>
          <w:lang w:val="fr-BE"/>
        </w:rPr>
      </w:pPr>
      <w:r w:rsidRPr="005238A3">
        <w:rPr>
          <w:rFonts w:ascii="Times New Roman" w:hAnsi="Times New Roman"/>
          <w:b/>
          <w:bCs/>
          <w:szCs w:val="24"/>
          <w:lang w:val="fr-BE"/>
        </w:rPr>
        <w:t xml:space="preserve">Commission parlementaire compétente: </w:t>
      </w:r>
      <w:r w:rsidRPr="005238A3">
        <w:rPr>
          <w:rFonts w:ascii="Times New Roman" w:hAnsi="Times New Roman"/>
          <w:szCs w:val="24"/>
          <w:lang w:val="fr-BE"/>
        </w:rPr>
        <w:t>commission de l’environnement, de la santé publique et de la sécurité alimentaire (ENVI)</w:t>
      </w:r>
    </w:p>
    <w:p w:rsidR="00813CC8" w:rsidRPr="005238A3" w:rsidRDefault="00813CC8" w:rsidP="00813CC8">
      <w:pPr>
        <w:widowControl w:val="0"/>
        <w:numPr>
          <w:ilvl w:val="0"/>
          <w:numId w:val="1"/>
        </w:numPr>
        <w:ind w:left="567" w:hanging="567"/>
        <w:rPr>
          <w:rFonts w:ascii="Times New Roman" w:hAnsi="Times New Roman"/>
          <w:szCs w:val="24"/>
          <w:lang w:val="fr-BE"/>
        </w:rPr>
      </w:pPr>
      <w:r w:rsidRPr="005238A3">
        <w:rPr>
          <w:rFonts w:ascii="Times New Roman" w:hAnsi="Times New Roman"/>
          <w:b/>
          <w:bCs/>
          <w:szCs w:val="24"/>
          <w:lang w:val="fr-BE"/>
        </w:rPr>
        <w:t>Analyse/évaluation succincte de la résolution et des demandes qu’elle contient:</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Par cette résolution, le Parlement européen critique le fait que la Commission n’a pas justifié cette prolongation (</w:t>
      </w:r>
      <w:r w:rsidRPr="005238A3">
        <w:rPr>
          <w:rFonts w:ascii="Times New Roman" w:hAnsi="Times New Roman"/>
          <w:b/>
          <w:szCs w:val="24"/>
          <w:lang w:val="fr-BE"/>
        </w:rPr>
        <w:t>considérant D)</w:t>
      </w:r>
      <w:r w:rsidRPr="005238A3">
        <w:rPr>
          <w:rFonts w:ascii="Times New Roman" w:hAnsi="Times New Roman"/>
          <w:szCs w:val="24"/>
          <w:lang w:val="fr-BE"/>
        </w:rPr>
        <w:t xml:space="preserve"> et rappelle plusieurs dispositions du règlement (CE) nº 1107/2009 (</w:t>
      </w:r>
      <w:r w:rsidRPr="005238A3">
        <w:rPr>
          <w:rFonts w:ascii="Times New Roman" w:hAnsi="Times New Roman"/>
          <w:b/>
          <w:szCs w:val="24"/>
          <w:lang w:val="fr-BE"/>
        </w:rPr>
        <w:t>considérants E, F, G et J</w:t>
      </w:r>
      <w:r w:rsidRPr="005238A3">
        <w:rPr>
          <w:rFonts w:ascii="Times New Roman" w:hAnsi="Times New Roman"/>
          <w:szCs w:val="24"/>
          <w:lang w:val="fr-BE"/>
        </w:rPr>
        <w:t xml:space="preserve">). Il mentionne diverses propriétés dangereuses du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par exemple le fait qu’il est un perturbateur endocrinien probable (</w:t>
      </w:r>
      <w:r w:rsidRPr="005238A3">
        <w:rPr>
          <w:rFonts w:ascii="Times New Roman" w:hAnsi="Times New Roman"/>
          <w:b/>
          <w:szCs w:val="24"/>
          <w:lang w:val="fr-BE"/>
        </w:rPr>
        <w:t>considérants H, L et N</w:t>
      </w:r>
      <w:r w:rsidRPr="005238A3">
        <w:rPr>
          <w:rFonts w:ascii="Times New Roman" w:hAnsi="Times New Roman"/>
          <w:szCs w:val="24"/>
          <w:lang w:val="fr-BE"/>
        </w:rPr>
        <w:t>), qu’il est très toxique pour les organismes aquatiques, qu’il est susceptible de provoquer le cancer et de nuire au fœtus (</w:t>
      </w:r>
      <w:r w:rsidRPr="005238A3">
        <w:rPr>
          <w:rFonts w:ascii="Times New Roman" w:hAnsi="Times New Roman"/>
          <w:b/>
          <w:szCs w:val="24"/>
          <w:lang w:val="fr-BE"/>
        </w:rPr>
        <w:t>considérant K</w:t>
      </w:r>
      <w:r w:rsidRPr="005238A3">
        <w:rPr>
          <w:rFonts w:ascii="Times New Roman" w:hAnsi="Times New Roman"/>
          <w:szCs w:val="24"/>
          <w:lang w:val="fr-BE"/>
        </w:rPr>
        <w:t>), qu’il a été inscrit par le règlement d’exécution (UE) 2015/408 de la Commission sur la «liste de substances dont on envisage la substitution» (</w:t>
      </w:r>
      <w:r w:rsidRPr="005238A3">
        <w:rPr>
          <w:rFonts w:ascii="Times New Roman" w:hAnsi="Times New Roman"/>
          <w:b/>
          <w:szCs w:val="24"/>
          <w:lang w:val="fr-BE"/>
        </w:rPr>
        <w:t>considérant M</w:t>
      </w:r>
      <w:r w:rsidRPr="005238A3">
        <w:rPr>
          <w:rFonts w:ascii="Times New Roman" w:hAnsi="Times New Roman"/>
          <w:szCs w:val="24"/>
          <w:lang w:val="fr-BE"/>
        </w:rPr>
        <w:t>) et qu’il est inacceptable que l’utilisation de substances qui sont potentiellement mutagènes, cancérigènes ou toxiques pour la reproduction ou qui sont dotées de propriétés perturbatrices du système endocrinien continue d’être autorisée (</w:t>
      </w:r>
      <w:r w:rsidRPr="005238A3">
        <w:rPr>
          <w:rFonts w:ascii="Times New Roman" w:hAnsi="Times New Roman"/>
          <w:b/>
          <w:szCs w:val="24"/>
          <w:lang w:val="fr-BE"/>
        </w:rPr>
        <w:t>considérant O</w:t>
      </w:r>
      <w:r w:rsidRPr="005238A3">
        <w:rPr>
          <w:rFonts w:ascii="Times New Roman" w:hAnsi="Times New Roman"/>
          <w:szCs w:val="24"/>
          <w:lang w:val="fr-BE"/>
        </w:rPr>
        <w:t>). Il affirme que les demandeurs peuvent tirer parti du fait que la Commission a intégré dans ses méthodes de travail une prolongation immédiate et automatique des périodes d’approbation des substances actives lorsque la réévaluation des risques n’a pas été menée à son terme, en fournissant des données incomplètes de manière à prolonger intentionnellement le processus de réévaluation et en demandant de nouvelles dérogations et conditions spéciales (</w:t>
      </w:r>
      <w:r w:rsidRPr="005238A3">
        <w:rPr>
          <w:rFonts w:ascii="Times New Roman" w:hAnsi="Times New Roman"/>
          <w:b/>
          <w:szCs w:val="24"/>
          <w:lang w:val="fr-BE"/>
        </w:rPr>
        <w:t>considérant P</w:t>
      </w:r>
      <w:r w:rsidRPr="005238A3">
        <w:rPr>
          <w:rFonts w:ascii="Times New Roman" w:hAnsi="Times New Roman"/>
          <w:szCs w:val="24"/>
          <w:lang w:val="fr-BE"/>
        </w:rPr>
        <w:t>). Il rappelle sa résolution antérieure du 13 septembre 2018 sur la question de l’extension des approbations (</w:t>
      </w:r>
      <w:r w:rsidRPr="005238A3">
        <w:rPr>
          <w:rFonts w:ascii="Times New Roman" w:hAnsi="Times New Roman"/>
          <w:b/>
          <w:szCs w:val="24"/>
          <w:lang w:val="fr-BE"/>
        </w:rPr>
        <w:t>considérant Q</w:t>
      </w:r>
      <w:r w:rsidRPr="005238A3">
        <w:rPr>
          <w:rFonts w:ascii="Times New Roman" w:hAnsi="Times New Roman"/>
          <w:szCs w:val="24"/>
          <w:lang w:val="fr-BE"/>
        </w:rPr>
        <w:t xml:space="preserve">) et le fait qu’il s’est déjà opposé à la précédente extension de la période d’approbation du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xml:space="preserve"> dans sa résolution du 10 octobre 2019 (</w:t>
      </w:r>
      <w:r w:rsidRPr="005238A3">
        <w:rPr>
          <w:rFonts w:ascii="Times New Roman" w:hAnsi="Times New Roman"/>
          <w:b/>
          <w:szCs w:val="24"/>
          <w:lang w:val="fr-BE"/>
        </w:rPr>
        <w:t>considérant R</w:t>
      </w:r>
      <w:r w:rsidRPr="005238A3">
        <w:rPr>
          <w:rFonts w:ascii="Times New Roman" w:hAnsi="Times New Roman"/>
          <w:szCs w:val="24"/>
          <w:lang w:val="fr-BE"/>
        </w:rPr>
        <w:t>), à la réponse de la Commission à celle-ci (</w:t>
      </w:r>
      <w:r w:rsidRPr="005238A3">
        <w:rPr>
          <w:rFonts w:ascii="Times New Roman" w:hAnsi="Times New Roman"/>
          <w:b/>
          <w:szCs w:val="24"/>
          <w:lang w:val="fr-BE"/>
        </w:rPr>
        <w:t>considérant S</w:t>
      </w:r>
      <w:r w:rsidRPr="005238A3">
        <w:rPr>
          <w:rFonts w:ascii="Times New Roman" w:hAnsi="Times New Roman"/>
          <w:szCs w:val="24"/>
          <w:lang w:val="fr-BE"/>
        </w:rPr>
        <w:t>) et aux nouvelles étapes de la procédure d’évaluation franchies depuis (</w:t>
      </w:r>
      <w:r w:rsidRPr="005238A3">
        <w:rPr>
          <w:rFonts w:ascii="Times New Roman" w:hAnsi="Times New Roman"/>
          <w:b/>
          <w:szCs w:val="24"/>
          <w:lang w:val="fr-BE"/>
        </w:rPr>
        <w:t>considérants T, U, V et W</w:t>
      </w:r>
      <w:r w:rsidRPr="005238A3">
        <w:rPr>
          <w:rFonts w:ascii="Times New Roman" w:hAnsi="Times New Roman"/>
          <w:szCs w:val="24"/>
          <w:lang w:val="fr-BE"/>
        </w:rPr>
        <w:t>).</w:t>
      </w:r>
    </w:p>
    <w:p w:rsidR="00813CC8" w:rsidRPr="00441A17" w:rsidRDefault="00813CC8" w:rsidP="00813CC8">
      <w:pPr>
        <w:widowControl w:val="0"/>
        <w:spacing w:after="120"/>
        <w:rPr>
          <w:rFonts w:ascii="Times New Roman" w:hAnsi="Times New Roman"/>
          <w:b/>
          <w:szCs w:val="24"/>
        </w:rPr>
      </w:pPr>
      <w:r w:rsidRPr="005238A3">
        <w:rPr>
          <w:rFonts w:ascii="Times New Roman" w:hAnsi="Times New Roman"/>
          <w:szCs w:val="24"/>
          <w:lang w:val="fr-BE"/>
        </w:rPr>
        <w:t>Le Parlement considère que le projet de règlement de la Commission excède les compétences d’exécution prévues par le règlement (CE) nº 1107/2009 (</w:t>
      </w:r>
      <w:r w:rsidRPr="005238A3">
        <w:rPr>
          <w:rFonts w:ascii="Times New Roman" w:hAnsi="Times New Roman"/>
          <w:b/>
          <w:szCs w:val="24"/>
          <w:lang w:val="fr-BE"/>
        </w:rPr>
        <w:t>paragraphe 1</w:t>
      </w:r>
      <w:r w:rsidRPr="005238A3">
        <w:rPr>
          <w:rFonts w:ascii="Times New Roman" w:hAnsi="Times New Roman"/>
          <w:szCs w:val="24"/>
          <w:lang w:val="fr-BE"/>
        </w:rPr>
        <w:t>) et que le règlement d’exécution (UE) 2020/1511 ne respecte pas le principe de précaution (</w:t>
      </w:r>
      <w:r w:rsidRPr="005238A3">
        <w:rPr>
          <w:rFonts w:ascii="Times New Roman" w:hAnsi="Times New Roman"/>
          <w:b/>
          <w:szCs w:val="24"/>
          <w:lang w:val="fr-BE"/>
        </w:rPr>
        <w:t>paragraphe 2</w:t>
      </w:r>
      <w:r w:rsidRPr="005238A3">
        <w:rPr>
          <w:rFonts w:ascii="Times New Roman" w:hAnsi="Times New Roman"/>
          <w:szCs w:val="24"/>
          <w:lang w:val="fr-BE"/>
        </w:rPr>
        <w:t xml:space="preserve">). Il estime également que la décision de prolongation de la période d’approbation du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xml:space="preserve"> n’est pas conforme aux critères de sécurité énoncés dans le règlement (CE) nº 1107/2009 et ne repose ni sur des preuves que cette substance peut être utilisée en toute </w:t>
      </w:r>
      <w:r w:rsidRPr="005238A3">
        <w:rPr>
          <w:rFonts w:ascii="Times New Roman" w:hAnsi="Times New Roman"/>
          <w:szCs w:val="24"/>
          <w:lang w:val="fr-BE"/>
        </w:rPr>
        <w:lastRenderedPageBreak/>
        <w:t xml:space="preserve">sécurité ni sur un besoin urgent et démontré de la substance active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xml:space="preserve"> pour la production alimentaire dans l’Union (</w:t>
      </w:r>
      <w:r w:rsidRPr="005238A3">
        <w:rPr>
          <w:rFonts w:ascii="Times New Roman" w:hAnsi="Times New Roman"/>
          <w:b/>
          <w:szCs w:val="24"/>
          <w:lang w:val="fr-BE"/>
        </w:rPr>
        <w:t>paragraphe 3</w:t>
      </w:r>
      <w:r w:rsidRPr="005238A3">
        <w:rPr>
          <w:rFonts w:ascii="Times New Roman" w:hAnsi="Times New Roman"/>
          <w:szCs w:val="24"/>
          <w:lang w:val="fr-BE"/>
        </w:rPr>
        <w:t xml:space="preserve">). </w:t>
      </w:r>
      <w:r>
        <w:rPr>
          <w:rFonts w:ascii="Times New Roman" w:hAnsi="Times New Roman"/>
          <w:szCs w:val="24"/>
        </w:rPr>
        <w:t xml:space="preserve">Le </w:t>
      </w:r>
      <w:proofErr w:type="spellStart"/>
      <w:r>
        <w:rPr>
          <w:rFonts w:ascii="Times New Roman" w:hAnsi="Times New Roman"/>
          <w:szCs w:val="24"/>
        </w:rPr>
        <w:t>Parlement</w:t>
      </w:r>
      <w:proofErr w:type="spellEnd"/>
      <w:r>
        <w:rPr>
          <w:rFonts w:ascii="Times New Roman" w:hAnsi="Times New Roman"/>
          <w:szCs w:val="24"/>
        </w:rPr>
        <w:t xml:space="preserve"> </w:t>
      </w:r>
      <w:proofErr w:type="spellStart"/>
      <w:r>
        <w:rPr>
          <w:rFonts w:ascii="Times New Roman" w:hAnsi="Times New Roman"/>
          <w:szCs w:val="24"/>
        </w:rPr>
        <w:t>européen</w:t>
      </w:r>
      <w:proofErr w:type="spellEnd"/>
      <w:r>
        <w:rPr>
          <w:rFonts w:ascii="Times New Roman" w:hAnsi="Times New Roman"/>
          <w:szCs w:val="24"/>
        </w:rPr>
        <w:t xml:space="preserve"> </w:t>
      </w:r>
      <w:proofErr w:type="spellStart"/>
      <w:r>
        <w:rPr>
          <w:rFonts w:ascii="Times New Roman" w:hAnsi="Times New Roman"/>
          <w:szCs w:val="24"/>
        </w:rPr>
        <w:t>demande</w:t>
      </w:r>
      <w:proofErr w:type="spellEnd"/>
      <w:r>
        <w:rPr>
          <w:rFonts w:ascii="Times New Roman" w:hAnsi="Times New Roman"/>
          <w:szCs w:val="24"/>
        </w:rPr>
        <w:t xml:space="preserve"> à la Commission:</w:t>
      </w:r>
      <w:r>
        <w:rPr>
          <w:rFonts w:ascii="Times New Roman" w:hAnsi="Times New Roman"/>
          <w:b/>
          <w:szCs w:val="24"/>
        </w:rPr>
        <w:t xml:space="preserve"> </w:t>
      </w:r>
    </w:p>
    <w:p w:rsidR="00813CC8" w:rsidRPr="005238A3" w:rsidRDefault="00813CC8" w:rsidP="00813CC8">
      <w:pPr>
        <w:widowControl w:val="0"/>
        <w:numPr>
          <w:ilvl w:val="0"/>
          <w:numId w:val="2"/>
        </w:numPr>
        <w:spacing w:after="120"/>
        <w:rPr>
          <w:rFonts w:ascii="Times New Roman" w:hAnsi="Times New Roman"/>
          <w:szCs w:val="24"/>
          <w:lang w:val="fr-BE"/>
        </w:rPr>
      </w:pPr>
      <w:proofErr w:type="gramStart"/>
      <w:r w:rsidRPr="005238A3">
        <w:rPr>
          <w:rFonts w:ascii="Times New Roman" w:hAnsi="Times New Roman"/>
          <w:szCs w:val="24"/>
          <w:lang w:val="fr-BE"/>
        </w:rPr>
        <w:t>d’abroger</w:t>
      </w:r>
      <w:proofErr w:type="gramEnd"/>
      <w:r w:rsidRPr="005238A3">
        <w:rPr>
          <w:rFonts w:ascii="Times New Roman" w:hAnsi="Times New Roman"/>
          <w:szCs w:val="24"/>
          <w:lang w:val="fr-BE"/>
        </w:rPr>
        <w:t xml:space="preserve"> son règlement d’exécution (UE) 2020/1511 et de présenter un nouveau projet qui tienne compte des preuves scientifiques relatives aux propriétés nocives de toutes les substances concernées, en particulier le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xml:space="preserve"> (</w:t>
      </w:r>
      <w:r w:rsidRPr="005238A3">
        <w:rPr>
          <w:rFonts w:ascii="Times New Roman" w:hAnsi="Times New Roman"/>
          <w:b/>
          <w:szCs w:val="24"/>
          <w:lang w:val="fr-BE"/>
        </w:rPr>
        <w:t>paragraphe 4</w:t>
      </w:r>
      <w:r w:rsidRPr="005238A3">
        <w:rPr>
          <w:rFonts w:ascii="Times New Roman" w:hAnsi="Times New Roman"/>
          <w:szCs w:val="24"/>
          <w:lang w:val="fr-BE"/>
        </w:rPr>
        <w:t>);</w:t>
      </w:r>
    </w:p>
    <w:p w:rsidR="00813CC8" w:rsidRPr="005238A3" w:rsidRDefault="00813CC8" w:rsidP="00813CC8">
      <w:pPr>
        <w:widowControl w:val="0"/>
        <w:numPr>
          <w:ilvl w:val="0"/>
          <w:numId w:val="2"/>
        </w:numPr>
        <w:spacing w:after="120"/>
        <w:rPr>
          <w:rFonts w:ascii="Times New Roman" w:hAnsi="Times New Roman"/>
          <w:szCs w:val="24"/>
          <w:lang w:val="fr-BE"/>
        </w:rPr>
      </w:pPr>
      <w:proofErr w:type="gramStart"/>
      <w:r w:rsidRPr="005238A3">
        <w:rPr>
          <w:rFonts w:ascii="Times New Roman" w:hAnsi="Times New Roman"/>
          <w:szCs w:val="24"/>
          <w:lang w:val="fr-BE"/>
        </w:rPr>
        <w:t>de</w:t>
      </w:r>
      <w:proofErr w:type="gramEnd"/>
      <w:r w:rsidRPr="005238A3">
        <w:rPr>
          <w:rFonts w:ascii="Times New Roman" w:hAnsi="Times New Roman"/>
          <w:szCs w:val="24"/>
          <w:lang w:val="fr-BE"/>
        </w:rPr>
        <w:t xml:space="preserve"> ne présenter que des projets de règlement d’exécution en vue de prolonger les périodes d’approbation de substances pour lesquelles, au regard de l’état des connaissances scientifiques, elle ne peut pas être amenée à présenter une proposition de non-renouvellement de l’approbation de la substance active concernée (</w:t>
      </w:r>
      <w:r w:rsidRPr="005238A3">
        <w:rPr>
          <w:rFonts w:ascii="Times New Roman" w:hAnsi="Times New Roman"/>
          <w:b/>
          <w:szCs w:val="24"/>
          <w:lang w:val="fr-BE"/>
        </w:rPr>
        <w:t>paragraphe 5</w:t>
      </w:r>
      <w:r w:rsidRPr="005238A3">
        <w:rPr>
          <w:rFonts w:ascii="Times New Roman" w:hAnsi="Times New Roman"/>
          <w:szCs w:val="24"/>
          <w:lang w:val="fr-BE"/>
        </w:rPr>
        <w:t>);</w:t>
      </w:r>
    </w:p>
    <w:p w:rsidR="00813CC8" w:rsidRPr="005238A3" w:rsidRDefault="00813CC8" w:rsidP="00813CC8">
      <w:pPr>
        <w:widowControl w:val="0"/>
        <w:numPr>
          <w:ilvl w:val="0"/>
          <w:numId w:val="2"/>
        </w:numPr>
        <w:spacing w:after="120"/>
        <w:rPr>
          <w:rFonts w:ascii="Times New Roman" w:hAnsi="Times New Roman"/>
          <w:szCs w:val="24"/>
          <w:lang w:val="fr-BE"/>
        </w:rPr>
      </w:pPr>
      <w:proofErr w:type="gramStart"/>
      <w:r w:rsidRPr="005238A3">
        <w:rPr>
          <w:rFonts w:ascii="Times New Roman" w:hAnsi="Times New Roman"/>
          <w:szCs w:val="24"/>
          <w:lang w:val="fr-BE"/>
        </w:rPr>
        <w:t>de</w:t>
      </w:r>
      <w:proofErr w:type="gramEnd"/>
      <w:r w:rsidRPr="005238A3">
        <w:rPr>
          <w:rFonts w:ascii="Times New Roman" w:hAnsi="Times New Roman"/>
          <w:szCs w:val="24"/>
          <w:lang w:val="fr-BE"/>
        </w:rPr>
        <w:t xml:space="preserve"> retirer les approbations concernant des substances pour lesquelles il existe des preuves ou des doutes raisonnables qu’elles ne satisferont pas aux critères de sécurité énoncés dans le règlement (CE) nº 1107/2009 (</w:t>
      </w:r>
      <w:r w:rsidRPr="005238A3">
        <w:rPr>
          <w:rFonts w:ascii="Times New Roman" w:hAnsi="Times New Roman"/>
          <w:b/>
          <w:szCs w:val="24"/>
          <w:lang w:val="fr-BE"/>
        </w:rPr>
        <w:t>paragraphe 6</w:t>
      </w:r>
      <w:r w:rsidRPr="005238A3">
        <w:rPr>
          <w:rFonts w:ascii="Times New Roman" w:hAnsi="Times New Roman"/>
          <w:szCs w:val="24"/>
          <w:lang w:val="fr-BE"/>
        </w:rPr>
        <w:t>).</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Il invite en outre les États membres à assurer la réévaluation rapide des autorisations des substances actives pour lesquelles ils sont les États membres rapporteurs et à résorber efficacement les retards actuels (</w:t>
      </w:r>
      <w:r w:rsidRPr="005238A3">
        <w:rPr>
          <w:rFonts w:ascii="Times New Roman" w:hAnsi="Times New Roman"/>
          <w:b/>
          <w:szCs w:val="24"/>
          <w:lang w:val="fr-BE"/>
        </w:rPr>
        <w:t>paragraphe 7</w:t>
      </w:r>
      <w:r w:rsidRPr="005238A3">
        <w:rPr>
          <w:rFonts w:ascii="Times New Roman" w:hAnsi="Times New Roman"/>
          <w:szCs w:val="24"/>
          <w:lang w:val="fr-BE"/>
        </w:rPr>
        <w:t>).</w:t>
      </w:r>
    </w:p>
    <w:p w:rsidR="00813CC8" w:rsidRPr="005238A3" w:rsidRDefault="00813CC8" w:rsidP="00813CC8">
      <w:pPr>
        <w:widowControl w:val="0"/>
        <w:numPr>
          <w:ilvl w:val="0"/>
          <w:numId w:val="1"/>
        </w:numPr>
        <w:ind w:left="567" w:hanging="567"/>
        <w:rPr>
          <w:rFonts w:ascii="Times New Roman" w:hAnsi="Times New Roman"/>
          <w:b/>
          <w:bCs/>
          <w:i/>
          <w:iCs/>
          <w:szCs w:val="24"/>
          <w:lang w:val="fr-BE"/>
        </w:rPr>
      </w:pPr>
      <w:r w:rsidRPr="005238A3">
        <w:rPr>
          <w:rFonts w:ascii="Times New Roman" w:hAnsi="Times New Roman"/>
          <w:b/>
          <w:bCs/>
          <w:szCs w:val="24"/>
          <w:lang w:val="fr-BE"/>
        </w:rPr>
        <w:t>Réponse à ces demandes et aperçu des mesures que la Commission a prises ou envisage de prendre:</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 xml:space="preserve">En réponse aux </w:t>
      </w:r>
      <w:r w:rsidRPr="005238A3">
        <w:rPr>
          <w:rFonts w:ascii="Times New Roman" w:hAnsi="Times New Roman"/>
          <w:b/>
          <w:szCs w:val="24"/>
          <w:lang w:val="fr-BE"/>
        </w:rPr>
        <w:t xml:space="preserve">paragraphes 1 </w:t>
      </w:r>
      <w:r w:rsidRPr="005238A3">
        <w:rPr>
          <w:rFonts w:ascii="Times New Roman" w:hAnsi="Times New Roman"/>
          <w:szCs w:val="24"/>
          <w:lang w:val="fr-BE"/>
        </w:rPr>
        <w:t>et </w:t>
      </w:r>
      <w:r w:rsidRPr="005238A3">
        <w:rPr>
          <w:rFonts w:ascii="Times New Roman" w:hAnsi="Times New Roman"/>
          <w:b/>
          <w:szCs w:val="24"/>
          <w:lang w:val="fr-BE"/>
        </w:rPr>
        <w:t>4</w:t>
      </w:r>
      <w:r w:rsidRPr="005238A3">
        <w:rPr>
          <w:rFonts w:ascii="Times New Roman" w:hAnsi="Times New Roman"/>
          <w:szCs w:val="24"/>
          <w:lang w:val="fr-BE"/>
        </w:rPr>
        <w:t>, la Commission tient à souligner que le projet de règlement d’exécution de la Commission était pleinement conforme aux pouvoirs d’exécution prévus dans l’acte de base.</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 xml:space="preserve">Les prolongations prévues par le règlement sont nécessaires, car il n’a pas été possible d’adopter une décision sur le renouvellement ou le non-renouvellement de l’approbation des substances actives avant l’expiration de l’approbation pour des raisons indépendantes de la volonté des demandeurs. En pareille situation, l’article 17 du règlement (CE) nº 1107/2009 oblige la Commission à prolonger la période d’approbation des substances concernées. Dans le cas du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l’État membre rapporteur (Bulgarie) n’a remis que récemment le projet de rapport d’évaluation, avec un retard de quatre ans et demi, et l’examen par les pairs par les autres États membres et l’Autorité européenne de sécurité des aliments (EFSA) est sur le point de commencer.</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Il convient également de noter que la médiatrice européenne, dans sa décision dans l’affaire 687/2018/TE, a confirmé que la Commission était tenue de prolonger l’approbation des substances actives dans le cas où la réévaluation n’était pas achevée à temps, à condition que le retard ne soit pas causé par le demandeur.</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 xml:space="preserve">La Commission considère par conséquent qu’en adoptant un règlement qui respecte pleinement les phases de procédure et les exigences légales définies par les </w:t>
      </w:r>
      <w:proofErr w:type="spellStart"/>
      <w:r w:rsidRPr="005238A3">
        <w:rPr>
          <w:rFonts w:ascii="Times New Roman" w:hAnsi="Times New Roman"/>
          <w:szCs w:val="24"/>
          <w:lang w:val="fr-BE"/>
        </w:rPr>
        <w:t>colégislateurs</w:t>
      </w:r>
      <w:proofErr w:type="spellEnd"/>
      <w:r w:rsidRPr="005238A3">
        <w:rPr>
          <w:rFonts w:ascii="Times New Roman" w:hAnsi="Times New Roman"/>
          <w:szCs w:val="24"/>
          <w:lang w:val="fr-BE"/>
        </w:rPr>
        <w:t xml:space="preserve"> dans la législation sur les produits phytopharmaceutiques, elle n’outrepasse pas ses compétences d’exécution. Par conséquent, il n’y a aucune raison de retirer le règlement d’exécution (UE) 2020/1511.</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 xml:space="preserve">Pour ce qui est des autres points de la résolution, la Commission estime qu’ils ne relèvent pas du droit de regard, lequel se limite à la question de savoir si le projet d’acte d’exécution va au-delà des compétences d’exécution prévues dans l’acte de base. La Commission n’est pas tenue de justifier le projet d’acte d’exécution en ce qui concerne ces points. Néanmoins, la </w:t>
      </w:r>
      <w:r w:rsidRPr="005238A3">
        <w:rPr>
          <w:rFonts w:ascii="Times New Roman" w:hAnsi="Times New Roman"/>
          <w:szCs w:val="24"/>
          <w:lang w:val="fr-BE"/>
        </w:rPr>
        <w:lastRenderedPageBreak/>
        <w:t>Commission a examiné avec attention les positions exprimées par le Parlement et souhaite formuler les observations qui suivent:</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 xml:space="preserve">En ce qui concerne les </w:t>
      </w:r>
      <w:r w:rsidRPr="005238A3">
        <w:rPr>
          <w:rFonts w:ascii="Times New Roman" w:hAnsi="Times New Roman"/>
          <w:b/>
          <w:szCs w:val="24"/>
          <w:lang w:val="fr-BE"/>
        </w:rPr>
        <w:t>paragraphes 2 et 3</w:t>
      </w:r>
      <w:r w:rsidRPr="005238A3">
        <w:rPr>
          <w:rFonts w:ascii="Times New Roman" w:hAnsi="Times New Roman"/>
          <w:szCs w:val="24"/>
          <w:lang w:val="fr-BE"/>
        </w:rPr>
        <w:t xml:space="preserve">, la Commission souligne que l’article 17 du règlement (CE) nº 1107/2009 reflète la volonté des </w:t>
      </w:r>
      <w:proofErr w:type="spellStart"/>
      <w:r w:rsidRPr="005238A3">
        <w:rPr>
          <w:rFonts w:ascii="Times New Roman" w:hAnsi="Times New Roman"/>
          <w:szCs w:val="24"/>
          <w:lang w:val="fr-BE"/>
        </w:rPr>
        <w:t>colégislateurs</w:t>
      </w:r>
      <w:proofErr w:type="spellEnd"/>
      <w:r w:rsidRPr="005238A3">
        <w:rPr>
          <w:rFonts w:ascii="Times New Roman" w:hAnsi="Times New Roman"/>
          <w:szCs w:val="24"/>
          <w:lang w:val="fr-BE"/>
        </w:rPr>
        <w:t xml:space="preserve"> qu’il doive être pleinement démontré que les critères d’approbation de la substance active énoncés à l’article 4 devraient être remplis avant qu’une décision sur le renouvellement de l’approbation d’une substance active ne soit prise. L’article 17 dudit règlement ne fait pas de distinction entre les substances qui remplissent les critères d’exclusion, les substances qui remplissent les critères requis pour être considérées comme des substances dont on envisage la substitution, et les substances qui ne remplissent pas ces critères. En ce qui concerne les propriétés spécifiques mentionnées dans la résolution, la Commission tient à faire observer que le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xml:space="preserve"> avait été reconnu comme étant un perturbateur endocrinien sur la base des critères provisoires précisés dans le règlement (CE) nº 1107/2009, avant l’adoption des critères scientifiques établis par le règlement (UE) 2018/605. Les critères provisoires ne sont plus valables et le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xml:space="preserve"> n’a pas été reconnu comme un perturbateur endocrinien potentiel dans l’étude sous-tendant l’analyse d’impact réalisée avant l’adoption des critères définis dans le règlement (UE) 2018/605 de la Commission établissant des critères scientifiques pour la détermination des propriétés perturbant le système endocrinien.</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 xml:space="preserve">En ce qui concerne les </w:t>
      </w:r>
      <w:r w:rsidRPr="005238A3">
        <w:rPr>
          <w:rFonts w:ascii="Times New Roman" w:hAnsi="Times New Roman"/>
          <w:b/>
          <w:szCs w:val="24"/>
          <w:lang w:val="fr-BE"/>
        </w:rPr>
        <w:t>paragraphes 5</w:t>
      </w:r>
      <w:r w:rsidRPr="005238A3">
        <w:rPr>
          <w:rFonts w:ascii="Times New Roman" w:hAnsi="Times New Roman"/>
          <w:szCs w:val="24"/>
          <w:lang w:val="fr-BE"/>
        </w:rPr>
        <w:t xml:space="preserve"> et </w:t>
      </w:r>
      <w:r w:rsidRPr="005238A3">
        <w:rPr>
          <w:rFonts w:ascii="Times New Roman" w:hAnsi="Times New Roman"/>
          <w:b/>
          <w:szCs w:val="24"/>
          <w:lang w:val="fr-BE"/>
        </w:rPr>
        <w:t>6</w:t>
      </w:r>
      <w:r w:rsidRPr="005238A3">
        <w:rPr>
          <w:rFonts w:ascii="Times New Roman" w:hAnsi="Times New Roman"/>
          <w:szCs w:val="24"/>
          <w:lang w:val="fr-BE"/>
        </w:rPr>
        <w:t xml:space="preserve">, la Commission souhaite insister sur le fait qu’au stade actuel de la procédure, il n’y a pas de raisons manifestes de penser que l’approbation du </w:t>
      </w:r>
      <w:proofErr w:type="spellStart"/>
      <w:r w:rsidRPr="005238A3">
        <w:rPr>
          <w:rFonts w:ascii="Times New Roman" w:hAnsi="Times New Roman"/>
          <w:szCs w:val="24"/>
          <w:lang w:val="fr-BE"/>
        </w:rPr>
        <w:t>chlorotoluron</w:t>
      </w:r>
      <w:proofErr w:type="spellEnd"/>
      <w:r w:rsidRPr="005238A3">
        <w:rPr>
          <w:rFonts w:ascii="Times New Roman" w:hAnsi="Times New Roman"/>
          <w:szCs w:val="24"/>
          <w:lang w:val="fr-BE"/>
        </w:rPr>
        <w:t xml:space="preserve"> ne puisse pas être renouvelée. Il en va différemment pour d’autres substances, par exemple le </w:t>
      </w:r>
      <w:proofErr w:type="spellStart"/>
      <w:r w:rsidRPr="005238A3">
        <w:rPr>
          <w:rFonts w:ascii="Times New Roman" w:hAnsi="Times New Roman"/>
          <w:szCs w:val="24"/>
          <w:lang w:val="fr-BE"/>
        </w:rPr>
        <w:t>chlorpyrifos</w:t>
      </w:r>
      <w:proofErr w:type="spellEnd"/>
      <w:r w:rsidRPr="005238A3">
        <w:rPr>
          <w:rFonts w:ascii="Times New Roman" w:hAnsi="Times New Roman"/>
          <w:szCs w:val="24"/>
          <w:lang w:val="fr-BE"/>
        </w:rPr>
        <w:t xml:space="preserve"> ou le </w:t>
      </w:r>
      <w:proofErr w:type="spellStart"/>
      <w:r w:rsidRPr="005238A3">
        <w:rPr>
          <w:rFonts w:ascii="Times New Roman" w:hAnsi="Times New Roman"/>
          <w:szCs w:val="24"/>
          <w:lang w:val="fr-BE"/>
        </w:rPr>
        <w:t>chlorpyriphos</w:t>
      </w:r>
      <w:proofErr w:type="spellEnd"/>
      <w:r w:rsidRPr="005238A3">
        <w:rPr>
          <w:rFonts w:ascii="Times New Roman" w:hAnsi="Times New Roman"/>
          <w:szCs w:val="24"/>
          <w:lang w:val="fr-BE"/>
        </w:rPr>
        <w:t>-méthyl, pour lesquelles il est apparu clairement, au cours de l’examen par les pairs du projet d’évaluation présenté par l’État membre rapporteur, que les critères d’approbation n’étaient plus remplis. La Commission n’a pas prolongé les approbations de ces deux substances afin d’achever l’évaluation complète et n’a pas renouvelé les approbations.</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 xml:space="preserve">En ce qui concerne le </w:t>
      </w:r>
      <w:r w:rsidRPr="005238A3">
        <w:rPr>
          <w:rFonts w:ascii="Times New Roman" w:hAnsi="Times New Roman"/>
          <w:b/>
          <w:szCs w:val="24"/>
          <w:lang w:val="fr-BE"/>
        </w:rPr>
        <w:t>paragraphe 7</w:t>
      </w:r>
      <w:r w:rsidRPr="005238A3">
        <w:rPr>
          <w:rFonts w:ascii="Times New Roman" w:hAnsi="Times New Roman"/>
          <w:szCs w:val="24"/>
          <w:lang w:val="fr-BE"/>
        </w:rPr>
        <w:t>, la Commission partage le point de vue du Parlement européen selon lequel les États membres devraient présenter leurs rapports d’évaluation en temps utile.</w:t>
      </w:r>
    </w:p>
    <w:p w:rsidR="00813CC8" w:rsidRPr="005238A3" w:rsidRDefault="00813CC8" w:rsidP="00813CC8">
      <w:pPr>
        <w:widowControl w:val="0"/>
        <w:spacing w:after="120"/>
        <w:rPr>
          <w:rFonts w:ascii="Times New Roman" w:hAnsi="Times New Roman"/>
          <w:szCs w:val="24"/>
          <w:lang w:val="fr-BE"/>
        </w:rPr>
      </w:pPr>
      <w:r w:rsidRPr="005238A3">
        <w:rPr>
          <w:rFonts w:ascii="Times New Roman" w:hAnsi="Times New Roman"/>
          <w:szCs w:val="24"/>
          <w:lang w:val="fr-BE"/>
        </w:rPr>
        <w:t>La Commission regrette que l’article 17 doive être appliqué régulièrement en raison de retards considérables dans l’achèvement des processus de renouvellement des substances actives. Les écarts par rapport aux délais du processus de renouvellement se produisent pour diverses raisons non liées au demandeur. Les retards peuvent être dus à la complexité de l’évaluation ou à la nécessité d’approfondir des aspects spécifiques de l’évaluation des risques, comme l’évaluation des propriétés perturbant le système endocrinien selon les nouveaux critères ou l’évaluation des possibilités de dérogation aux critères d’exclusion.</w:t>
      </w:r>
    </w:p>
    <w:p w:rsidR="00841B62" w:rsidRPr="00813CC8" w:rsidRDefault="00813CC8" w:rsidP="00813CC8">
      <w:pPr>
        <w:rPr>
          <w:lang w:val="fr-BE"/>
        </w:rPr>
      </w:pPr>
      <w:r w:rsidRPr="005238A3">
        <w:rPr>
          <w:rFonts w:ascii="Times New Roman" w:hAnsi="Times New Roman"/>
          <w:szCs w:val="24"/>
          <w:lang w:val="fr-BE"/>
        </w:rPr>
        <w:t>La prolongation proposée est limitée au minimum, c’est-à-dire à la période suffisante pour achever l’évaluation. C’est également la raison pour laquelle la Commission, dans sa décision de prolongation, opte pour une prolongation pour une période limitée (qui sera à nouveau prolongée si nécessaire), plutôt que pour une période de prolongation unique et plus longue. En outre, un considérant type dans les règlements de prolongation précise que la période de prolongation sera annulée si des règlements de non-renouvellement sont adoptés pendant la période d’approbation prolongée en cours.</w:t>
      </w:r>
    </w:p>
    <w:sectPr w:rsidR="00841B62" w:rsidRPr="00813CC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9C0298"/>
    <w:multiLevelType w:val="hybridMultilevel"/>
    <w:tmpl w:val="7494E44A"/>
    <w:lvl w:ilvl="0" w:tplc="3C4813B0">
      <w:start w:val="1"/>
      <w:numFmt w:val="bullet"/>
      <w:lvlText w:val=""/>
      <w:lvlJc w:val="left"/>
      <w:pPr>
        <w:ind w:left="1080" w:hanging="360"/>
      </w:pPr>
      <w:rPr>
        <w:rFonts w:ascii="Symbol" w:hAnsi="Symbol" w:hint="default"/>
        <w:b/>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461544C0"/>
    <w:multiLevelType w:val="hybridMultilevel"/>
    <w:tmpl w:val="C66A48E8"/>
    <w:lvl w:ilvl="0" w:tplc="492C7160">
      <w:start w:val="1"/>
      <w:numFmt w:val="decimal"/>
      <w:lvlText w:val="%1."/>
      <w:lvlJc w:val="left"/>
      <w:pPr>
        <w:ind w:left="720" w:hanging="720"/>
      </w:pPr>
      <w:rPr>
        <w:rFonts w:hint="default"/>
        <w:b/>
        <w:i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3CC8"/>
    <w:rsid w:val="00813CC8"/>
    <w:rsid w:val="00841B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A8B024-7AA5-4CE6-9AB3-4A6836563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3CC8"/>
    <w:pPr>
      <w:spacing w:after="240" w:line="240" w:lineRule="auto"/>
      <w:jc w:val="both"/>
    </w:pPr>
    <w:rPr>
      <w:rFonts w:ascii="Courier New" w:eastAsia="Times New Roman" w:hAnsi="Courier New"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1569</Words>
  <Characters>8916</Characters>
  <Application>Microsoft Office Word</Application>
  <DocSecurity>0</DocSecurity>
  <Lines>125</Lines>
  <Paragraphs>21</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10464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DODEKOVA Gabriela (SG)</dc:creator>
  <cp:keywords/>
  <dc:description/>
  <cp:lastModifiedBy>DODEKOVA Gabriela (SG)</cp:lastModifiedBy>
  <cp:revision>1</cp:revision>
  <dcterms:created xsi:type="dcterms:W3CDTF">2021-05-28T16:09:00Z</dcterms:created>
  <dcterms:modified xsi:type="dcterms:W3CDTF">2021-05-28T16:10:00Z</dcterms:modified>
</cp:coreProperties>
</file>