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A03" w:rsidRPr="00C51A03" w:rsidRDefault="00C51A03" w:rsidP="00C51A03">
      <w:pPr>
        <w:spacing w:after="600" w:line="240" w:lineRule="auto"/>
        <w:jc w:val="center"/>
        <w:rPr>
          <w:rFonts w:eastAsia="Times New Roman" w:cs="Times New Roman"/>
          <w:b/>
          <w:bCs/>
          <w:szCs w:val="24"/>
          <w:lang w:val="fr-BE" w:eastAsia="en-GB"/>
        </w:rPr>
      </w:pPr>
      <w:r w:rsidRPr="00C51A03">
        <w:rPr>
          <w:rFonts w:eastAsia="Times New Roman" w:cs="Times New Roman"/>
          <w:b/>
          <w:bCs/>
          <w:szCs w:val="24"/>
          <w:lang w:val="fr-BE" w:eastAsia="en-GB"/>
        </w:rPr>
        <w:t xml:space="preserve">Suite donnée à la </w:t>
      </w:r>
      <w:r w:rsidRPr="00C51A03">
        <w:rPr>
          <w:rFonts w:eastAsia="Times New Roman" w:cs="Times New Roman"/>
          <w:b/>
          <w:szCs w:val="24"/>
          <w:lang w:val="fr-BE" w:eastAsia="en-GB"/>
        </w:rPr>
        <w:t xml:space="preserve">résolution non législative du Parlement européen </w:t>
      </w:r>
      <w:r w:rsidRPr="00C51A03">
        <w:rPr>
          <w:rFonts w:eastAsia="Times New Roman" w:cs="Times New Roman"/>
          <w:b/>
          <w:szCs w:val="24"/>
          <w:shd w:val="clear" w:color="auto" w:fill="FFFFFF"/>
          <w:lang w:val="fr-BE" w:eastAsia="en-GB"/>
        </w:rPr>
        <w:t xml:space="preserve">sur le projet de décision d’exécution de la Commission autorisant la mise sur le marché de produits contenant du maïs génétiquement modifié MON 87427 × MON 89034 × MIR162 × MON 87411 ou du maïs génétiquement modifié combinant deux ou trois des </w:t>
      </w:r>
      <w:r>
        <w:rPr>
          <w:rFonts w:eastAsia="Times New Roman" w:cs="Times New Roman"/>
          <w:b/>
          <w:szCs w:val="24"/>
          <w:shd w:val="clear" w:color="auto" w:fill="FFFFFF"/>
          <w:lang w:val="fr-BE" w:eastAsia="en-GB"/>
        </w:rPr>
        <w:br/>
      </w:r>
      <w:r w:rsidRPr="00C51A03">
        <w:rPr>
          <w:rFonts w:eastAsia="Times New Roman" w:cs="Times New Roman"/>
          <w:b/>
          <w:szCs w:val="24"/>
          <w:shd w:val="clear" w:color="auto" w:fill="FFFFFF"/>
          <w:lang w:val="fr-BE" w:eastAsia="en-GB"/>
        </w:rPr>
        <w:t xml:space="preserve">événements uniques MON 87427, MON 89034, MIR162 et MON 87411, de produits consistant en ces maïs ou produits à partir de ceux-ci, en application du </w:t>
      </w:r>
      <w:r>
        <w:rPr>
          <w:rFonts w:eastAsia="Times New Roman" w:cs="Times New Roman"/>
          <w:b/>
          <w:szCs w:val="24"/>
          <w:shd w:val="clear" w:color="auto" w:fill="FFFFFF"/>
          <w:lang w:val="fr-BE" w:eastAsia="en-GB"/>
        </w:rPr>
        <w:br/>
      </w:r>
      <w:r w:rsidRPr="00C51A03">
        <w:rPr>
          <w:rFonts w:eastAsia="Times New Roman" w:cs="Times New Roman"/>
          <w:b/>
          <w:szCs w:val="24"/>
          <w:shd w:val="clear" w:color="auto" w:fill="FFFFFF"/>
          <w:lang w:val="fr-BE" w:eastAsia="en-GB"/>
        </w:rPr>
        <w:t>règlement (CE) nº 1829/2003 du Parlement européen et du Conseil</w:t>
      </w:r>
    </w:p>
    <w:p w:rsidR="00C51A03" w:rsidRPr="00C51A03" w:rsidRDefault="00C51A03" w:rsidP="00C51A03">
      <w:pPr>
        <w:numPr>
          <w:ilvl w:val="0"/>
          <w:numId w:val="2"/>
        </w:numPr>
        <w:spacing w:after="240" w:line="240" w:lineRule="auto"/>
        <w:jc w:val="both"/>
        <w:rPr>
          <w:rFonts w:eastAsia="Times New Roman" w:cs="Times New Roman"/>
          <w:b/>
          <w:bCs/>
          <w:szCs w:val="24"/>
          <w:lang w:val="fr-BE" w:eastAsia="en-GB"/>
        </w:rPr>
      </w:pPr>
      <w:r w:rsidRPr="00C51A03">
        <w:rPr>
          <w:rFonts w:eastAsia="Times New Roman" w:cs="Times New Roman"/>
          <w:b/>
          <w:bCs/>
          <w:szCs w:val="24"/>
          <w:lang w:val="fr-BE" w:eastAsia="en-GB"/>
        </w:rPr>
        <w:t>Résolution présentée conformément à l’article 112, paragraphe 2, du règlement du Parlement européen</w:t>
      </w:r>
    </w:p>
    <w:p w:rsidR="00C51A03" w:rsidRPr="00C51A03" w:rsidRDefault="00C51A03" w:rsidP="00C51A03">
      <w:pPr>
        <w:numPr>
          <w:ilvl w:val="0"/>
          <w:numId w:val="2"/>
        </w:numPr>
        <w:spacing w:after="240" w:line="240" w:lineRule="auto"/>
        <w:jc w:val="both"/>
        <w:rPr>
          <w:rFonts w:eastAsia="Times New Roman" w:cs="Times New Roman"/>
          <w:i/>
          <w:iCs/>
          <w:szCs w:val="24"/>
          <w:lang w:val="fr-BE" w:eastAsia="en-GB"/>
        </w:rPr>
      </w:pPr>
      <w:r w:rsidRPr="00C51A03">
        <w:rPr>
          <w:rFonts w:eastAsia="Times New Roman" w:cs="Times New Roman"/>
          <w:b/>
          <w:bCs/>
          <w:szCs w:val="24"/>
          <w:lang w:val="fr-BE" w:eastAsia="en-GB"/>
        </w:rPr>
        <w:t xml:space="preserve">Numéros de référence: </w:t>
      </w:r>
      <w:r w:rsidRPr="00C51A03">
        <w:rPr>
          <w:rFonts w:eastAsia="Times New Roman" w:cs="Times New Roman"/>
          <w:szCs w:val="24"/>
          <w:lang w:val="fr-BE" w:eastAsia="en-GB"/>
        </w:rPr>
        <w:t>2020/2892 (RSP) / B9-0413/2020 / P9_TA-</w:t>
      </w:r>
      <w:proofErr w:type="gramStart"/>
      <w:r w:rsidRPr="00C51A03">
        <w:rPr>
          <w:rFonts w:eastAsia="Times New Roman" w:cs="Times New Roman"/>
          <w:szCs w:val="24"/>
          <w:lang w:val="fr-BE" w:eastAsia="en-GB"/>
        </w:rPr>
        <w:t>PROV(</w:t>
      </w:r>
      <w:proofErr w:type="gramEnd"/>
      <w:r w:rsidRPr="00C51A03">
        <w:rPr>
          <w:rFonts w:eastAsia="Times New Roman" w:cs="Times New Roman"/>
          <w:szCs w:val="24"/>
          <w:lang w:val="fr-BE" w:eastAsia="en-GB"/>
        </w:rPr>
        <w:t>2020)0366</w:t>
      </w:r>
    </w:p>
    <w:p w:rsidR="00C51A03" w:rsidRPr="00C51A03" w:rsidRDefault="00C51A03" w:rsidP="00C51A03">
      <w:pPr>
        <w:numPr>
          <w:ilvl w:val="0"/>
          <w:numId w:val="2"/>
        </w:numPr>
        <w:spacing w:after="240" w:line="240" w:lineRule="auto"/>
        <w:jc w:val="both"/>
        <w:rPr>
          <w:rFonts w:eastAsia="Times New Roman" w:cs="Times New Roman"/>
          <w:szCs w:val="24"/>
          <w:lang w:val="fr-BE" w:eastAsia="en-GB"/>
        </w:rPr>
      </w:pPr>
      <w:r w:rsidRPr="00C51A03">
        <w:rPr>
          <w:rFonts w:eastAsia="Times New Roman" w:cs="Times New Roman"/>
          <w:b/>
          <w:bCs/>
          <w:szCs w:val="24"/>
          <w:lang w:val="fr-BE" w:eastAsia="en-GB"/>
        </w:rPr>
        <w:t xml:space="preserve">Date d’adoption de la résolution: </w:t>
      </w:r>
      <w:r w:rsidRPr="00C51A03">
        <w:rPr>
          <w:rFonts w:eastAsia="Times New Roman" w:cs="Times New Roman"/>
          <w:szCs w:val="24"/>
          <w:lang w:val="fr-BE" w:eastAsia="en-GB"/>
        </w:rPr>
        <w:t>17 décembre 2020</w:t>
      </w:r>
    </w:p>
    <w:p w:rsidR="00C51A03" w:rsidRPr="00C51A03" w:rsidRDefault="00C51A03" w:rsidP="00C51A03">
      <w:pPr>
        <w:numPr>
          <w:ilvl w:val="0"/>
          <w:numId w:val="2"/>
        </w:numPr>
        <w:spacing w:after="240" w:line="240" w:lineRule="auto"/>
        <w:jc w:val="both"/>
        <w:rPr>
          <w:rFonts w:eastAsia="Times New Roman" w:cs="Times New Roman"/>
          <w:i/>
          <w:iCs/>
          <w:szCs w:val="24"/>
          <w:lang w:val="fr-BE" w:eastAsia="en-GB"/>
        </w:rPr>
      </w:pPr>
      <w:r w:rsidRPr="00C51A03">
        <w:rPr>
          <w:rFonts w:eastAsia="Times New Roman" w:cs="Times New Roman"/>
          <w:b/>
          <w:bCs/>
          <w:szCs w:val="24"/>
          <w:lang w:val="fr-BE" w:eastAsia="en-GB"/>
        </w:rPr>
        <w:t xml:space="preserve">Commission parlementaire compétente: </w:t>
      </w:r>
      <w:r w:rsidRPr="00C51A03">
        <w:rPr>
          <w:rFonts w:eastAsia="Times New Roman" w:cs="Times New Roman"/>
          <w:szCs w:val="24"/>
          <w:lang w:val="fr-BE" w:eastAsia="en-GB"/>
        </w:rPr>
        <w:t>commission de</w:t>
      </w:r>
      <w:r w:rsidRPr="00C51A03">
        <w:rPr>
          <w:rFonts w:ascii="inherit" w:eastAsia="Times New Roman" w:hAnsi="inherit" w:cs="Times New Roman"/>
          <w:szCs w:val="20"/>
          <w:bdr w:val="none" w:sz="0" w:space="0" w:color="auto" w:frame="1"/>
          <w:lang w:val="fr-BE" w:eastAsia="en-GB"/>
        </w:rPr>
        <w:t xml:space="preserve"> l’environnement, de la santé publique et de la sécurité alimentaire (ENVI)</w:t>
      </w:r>
    </w:p>
    <w:p w:rsidR="00C51A03" w:rsidRPr="00C51A03" w:rsidRDefault="00C51A03" w:rsidP="00C51A03">
      <w:pPr>
        <w:widowControl w:val="0"/>
        <w:numPr>
          <w:ilvl w:val="0"/>
          <w:numId w:val="2"/>
        </w:numPr>
        <w:spacing w:after="240" w:line="240" w:lineRule="auto"/>
        <w:jc w:val="both"/>
        <w:rPr>
          <w:rFonts w:eastAsia="Times New Roman" w:cs="Times New Roman"/>
          <w:szCs w:val="24"/>
          <w:lang w:val="fr-BE" w:eastAsia="en-GB"/>
        </w:rPr>
      </w:pPr>
      <w:r w:rsidRPr="00C51A03">
        <w:rPr>
          <w:rFonts w:eastAsia="Times New Roman" w:cs="Times New Roman"/>
          <w:b/>
          <w:bCs/>
          <w:szCs w:val="24"/>
          <w:lang w:val="fr-BE" w:eastAsia="en-GB"/>
        </w:rPr>
        <w:t>Analyse/évaluation succincte de la résolution et des demandes qu’elle contient:</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Dans sa résolution, le Parlement européen demande le retrait du projet de décision d’exécution de la Commission </w:t>
      </w:r>
      <w:r w:rsidRPr="00C51A03">
        <w:rPr>
          <w:rFonts w:eastAsia="Times New Roman" w:cs="Times New Roman"/>
          <w:b/>
          <w:szCs w:val="24"/>
          <w:lang w:val="fr-BE" w:eastAsia="en-GB"/>
        </w:rPr>
        <w:t>(paragraphe 3)</w:t>
      </w:r>
      <w:r w:rsidRPr="00C51A03">
        <w:rPr>
          <w:rFonts w:eastAsia="Times New Roman" w:cs="Times New Roman"/>
          <w:szCs w:val="24"/>
          <w:lang w:val="fr-BE" w:eastAsia="en-GB"/>
        </w:rPr>
        <w:t xml:space="preserve">, au motif que ce projet de mesure excède les compétences d’exécution prévues dans le règlement (CE) nº 1829/2003 </w:t>
      </w:r>
      <w:r w:rsidRPr="00C51A03">
        <w:rPr>
          <w:rFonts w:eastAsia="Times New Roman" w:cs="Times New Roman"/>
          <w:b/>
          <w:szCs w:val="24"/>
          <w:lang w:val="fr-BE" w:eastAsia="en-GB"/>
        </w:rPr>
        <w:t>(paragraphe 1)</w:t>
      </w:r>
      <w:r w:rsidRPr="00C51A03">
        <w:rPr>
          <w:rFonts w:eastAsia="Times New Roman" w:cs="Times New Roman"/>
          <w:szCs w:val="24"/>
          <w:lang w:val="fr-BE" w:eastAsia="en-GB"/>
        </w:rPr>
        <w:t xml:space="preserve">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C51A03">
        <w:rPr>
          <w:rFonts w:eastAsia="Times New Roman" w:cs="Times New Roman"/>
          <w:b/>
          <w:szCs w:val="24"/>
          <w:lang w:val="fr-BE" w:eastAsia="en-GB"/>
        </w:rPr>
        <w:t>(paragraphe 2)</w:t>
      </w:r>
      <w:r w:rsidRPr="00C51A03">
        <w:rPr>
          <w:rFonts w:eastAsia="Times New Roman" w:cs="Times New Roman"/>
          <w:szCs w:val="24"/>
          <w:lang w:val="fr-BE" w:eastAsia="en-GB"/>
        </w:rPr>
        <w:t xml:space="preserve">. Il appelle la Commission à cesser d’autoriser les OGM lorsqu’aucun avis n’est émis par les États membres au sein du comité d’appel </w:t>
      </w:r>
      <w:r w:rsidRPr="00C51A03">
        <w:rPr>
          <w:rFonts w:eastAsia="Times New Roman" w:cs="Times New Roman"/>
          <w:b/>
          <w:szCs w:val="24"/>
          <w:lang w:val="fr-BE" w:eastAsia="en-GB"/>
        </w:rPr>
        <w:t>(paragraphe 7)</w:t>
      </w:r>
      <w:r w:rsidRPr="00C51A03">
        <w:rPr>
          <w:rFonts w:eastAsia="Times New Roman" w:cs="Times New Roman"/>
          <w:szCs w:val="24"/>
          <w:lang w:val="fr-BE" w:eastAsia="en-GB"/>
        </w:rPr>
        <w:t>.</w:t>
      </w:r>
    </w:p>
    <w:p w:rsidR="00C51A03" w:rsidRPr="00C51A03" w:rsidRDefault="00C51A03" w:rsidP="00C51A03">
      <w:pPr>
        <w:autoSpaceDE w:val="0"/>
        <w:autoSpaceDN w:val="0"/>
        <w:adjustRightInd w:val="0"/>
        <w:spacing w:after="120" w:line="240" w:lineRule="auto"/>
        <w:jc w:val="both"/>
        <w:rPr>
          <w:rFonts w:eastAsia="Times New Roman" w:cs="Times New Roman"/>
          <w:b/>
          <w:szCs w:val="24"/>
          <w:lang w:val="fr-BE" w:eastAsia="en-GB"/>
        </w:rPr>
      </w:pPr>
      <w:r w:rsidRPr="00C51A03">
        <w:rPr>
          <w:rFonts w:eastAsia="Times New Roman" w:cs="Times New Roman"/>
          <w:szCs w:val="24"/>
          <w:lang w:val="fr-BE" w:eastAsia="en-GB"/>
        </w:rPr>
        <w:t>Le Parlement rappelle que le maïs génétiquement modifié (GM) est tolérant aux herbicides contenant du glyphosate et du glufosinate-ammonium (</w:t>
      </w:r>
      <w:r w:rsidRPr="00C51A03">
        <w:rPr>
          <w:rFonts w:eastAsia="Times New Roman" w:cs="Times New Roman"/>
          <w:b/>
          <w:szCs w:val="24"/>
          <w:lang w:val="fr-BE" w:eastAsia="en-GB"/>
        </w:rPr>
        <w:t>considérant D</w:t>
      </w:r>
      <w:r w:rsidRPr="00C51A03">
        <w:rPr>
          <w:rFonts w:eastAsia="Times New Roman" w:cs="Times New Roman"/>
          <w:szCs w:val="24"/>
          <w:lang w:val="fr-BE" w:eastAsia="en-GB"/>
        </w:rPr>
        <w:t>) et invite la Commission à ne pas autoriser les cultures génétiquement modifiées tolérantes aux herbicides sans une évaluation complète des résidus de la pulvérisation avec des herbicides complémentaires, des métabolites et de leurs éventuels effets combinés (</w:t>
      </w:r>
      <w:r w:rsidRPr="00C51A03">
        <w:rPr>
          <w:rFonts w:eastAsia="Times New Roman" w:cs="Times New Roman"/>
          <w:b/>
          <w:szCs w:val="24"/>
          <w:lang w:val="fr-BE" w:eastAsia="en-GB"/>
        </w:rPr>
        <w:t>paragraphe 8</w:t>
      </w:r>
      <w:r w:rsidRPr="00C51A03">
        <w:rPr>
          <w:rFonts w:eastAsia="Times New Roman" w:cs="Times New Roman"/>
          <w:szCs w:val="24"/>
          <w:lang w:val="fr-BE" w:eastAsia="en-GB"/>
        </w:rPr>
        <w:t>).</w:t>
      </w:r>
    </w:p>
    <w:p w:rsidR="00C51A03" w:rsidRPr="00C51A03" w:rsidRDefault="00C51A03" w:rsidP="00C51A03">
      <w:pPr>
        <w:autoSpaceDE w:val="0"/>
        <w:autoSpaceDN w:val="0"/>
        <w:adjustRightInd w:val="0"/>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Le Parlement demande à la Commission de n’autoriser des sous-combinaisons d’événements génétiquement modifiés empilés que si elles ont été évaluées de manière approfondie par l’Autorité européenne de sécurité des aliments (</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sur la base de données complètes présentées par le demandeur (</w:t>
      </w:r>
      <w:r w:rsidRPr="00C51A03">
        <w:rPr>
          <w:rFonts w:eastAsia="Times New Roman" w:cs="Times New Roman"/>
          <w:b/>
          <w:szCs w:val="24"/>
          <w:lang w:val="fr-BE" w:eastAsia="en-GB"/>
        </w:rPr>
        <w:t>paragraphe 9</w:t>
      </w:r>
      <w:r w:rsidRPr="00C51A03">
        <w:rPr>
          <w:rFonts w:eastAsia="Times New Roman" w:cs="Times New Roman"/>
          <w:szCs w:val="24"/>
          <w:lang w:val="fr-BE" w:eastAsia="en-GB"/>
        </w:rPr>
        <w:t>) et estime que l’approbation de sous-combinaisons pour lesquelles aucune information relative à la sécurité n’a été fournie est contraire aux principes du règlement (CE) nº 178/2002 (</w:t>
      </w:r>
      <w:r w:rsidRPr="00C51A03">
        <w:rPr>
          <w:rFonts w:eastAsia="Times New Roman" w:cs="Times New Roman"/>
          <w:b/>
          <w:szCs w:val="24"/>
          <w:lang w:val="fr-BE" w:eastAsia="en-GB"/>
        </w:rPr>
        <w:t>paragraphe 10</w:t>
      </w:r>
      <w:r w:rsidRPr="00C51A03">
        <w:rPr>
          <w:rFonts w:eastAsia="Times New Roman" w:cs="Times New Roman"/>
          <w:szCs w:val="24"/>
          <w:lang w:val="fr-BE" w:eastAsia="en-GB"/>
        </w:rPr>
        <w:t>). Il demande à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de mettre au point et d’utiliser systématiquement des méthodes permettant l’identification des effets non désirés d’événements génétiquement modifiés empilés, par exemple en ce qui concerne les propriétés adjuvantes des protéines </w:t>
      </w:r>
      <w:proofErr w:type="spellStart"/>
      <w:r w:rsidRPr="00C51A03">
        <w:rPr>
          <w:rFonts w:eastAsia="Times New Roman" w:cs="Times New Roman"/>
          <w:szCs w:val="24"/>
          <w:lang w:val="fr-BE" w:eastAsia="en-GB"/>
        </w:rPr>
        <w:t>Bt</w:t>
      </w:r>
      <w:proofErr w:type="spellEnd"/>
      <w:r w:rsidRPr="00C51A03">
        <w:rPr>
          <w:rFonts w:eastAsia="Times New Roman" w:cs="Times New Roman"/>
          <w:szCs w:val="24"/>
          <w:lang w:val="fr-BE" w:eastAsia="en-GB"/>
        </w:rPr>
        <w:t xml:space="preserve"> (</w:t>
      </w:r>
      <w:r w:rsidRPr="00C51A03">
        <w:rPr>
          <w:rFonts w:eastAsia="Times New Roman" w:cs="Times New Roman"/>
          <w:b/>
          <w:szCs w:val="24"/>
          <w:lang w:val="fr-BE" w:eastAsia="en-GB"/>
        </w:rPr>
        <w:t>paragraphe 11</w:t>
      </w:r>
      <w:r w:rsidRPr="00C51A03">
        <w:rPr>
          <w:rFonts w:eastAsia="Times New Roman" w:cs="Times New Roman"/>
          <w:szCs w:val="24"/>
          <w:lang w:val="fr-BE" w:eastAsia="en-GB"/>
        </w:rPr>
        <w:t>).</w:t>
      </w:r>
    </w:p>
    <w:p w:rsidR="00C51A03" w:rsidRPr="00C51A03" w:rsidRDefault="00C51A03" w:rsidP="00C51A03">
      <w:pPr>
        <w:autoSpaceDE w:val="0"/>
        <w:autoSpaceDN w:val="0"/>
        <w:adjustRightInd w:val="0"/>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Il demande instamment à la Commission, une fois encore, de tenir compte des obligations qui incombent à l’Union en vertu d’accords internationaux, tels que l’accord de Paris sur le climat, la convention des Nations unies sur la diversité biologique et les objectifs de développement durable des Nations unies (</w:t>
      </w:r>
      <w:r w:rsidRPr="00C51A03">
        <w:rPr>
          <w:rFonts w:eastAsia="Times New Roman" w:cs="Times New Roman"/>
          <w:b/>
          <w:szCs w:val="24"/>
          <w:lang w:val="fr-BE" w:eastAsia="en-GB"/>
        </w:rPr>
        <w:t>paragraphe 6</w:t>
      </w:r>
      <w:r w:rsidRPr="00C51A03">
        <w:rPr>
          <w:rFonts w:eastAsia="Times New Roman" w:cs="Times New Roman"/>
          <w:szCs w:val="24"/>
          <w:lang w:val="fr-BE" w:eastAsia="en-GB"/>
        </w:rPr>
        <w:t>).</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0"/>
          <w:lang w:val="fr-BE" w:eastAsia="en-GB"/>
        </w:rPr>
        <w:lastRenderedPageBreak/>
        <w:t>La résolution rappelle que le demandeur n’a pas fourni de données expérimentales pour les six sous-combinaisons actuellement non autorisées de ce maïs GM empilé (</w:t>
      </w:r>
      <w:r w:rsidRPr="00C51A03">
        <w:rPr>
          <w:rFonts w:eastAsia="Times New Roman" w:cs="Times New Roman"/>
          <w:b/>
          <w:szCs w:val="20"/>
          <w:lang w:val="fr-BE" w:eastAsia="en-GB"/>
        </w:rPr>
        <w:t>considérant J</w:t>
      </w:r>
      <w:r w:rsidRPr="00C51A03">
        <w:rPr>
          <w:rFonts w:eastAsia="Times New Roman" w:cs="Times New Roman"/>
          <w:szCs w:val="20"/>
          <w:lang w:val="fr-BE" w:eastAsia="en-GB"/>
        </w:rPr>
        <w:t xml:space="preserve">). </w:t>
      </w:r>
      <w:r w:rsidRPr="00C51A03">
        <w:rPr>
          <w:rFonts w:eastAsia="Times New Roman" w:cs="Times New Roman"/>
          <w:szCs w:val="24"/>
          <w:lang w:val="fr-BE" w:eastAsia="en-GB"/>
        </w:rPr>
        <w:t xml:space="preserve">Le Parlement rappelle les observations critiques formulées par les États membres au cours des trois mois de consultation </w:t>
      </w:r>
      <w:r w:rsidRPr="00C51A03">
        <w:rPr>
          <w:rFonts w:eastAsia="Times New Roman" w:cs="Times New Roman"/>
          <w:b/>
          <w:szCs w:val="24"/>
          <w:lang w:val="fr-BE" w:eastAsia="en-GB"/>
        </w:rPr>
        <w:t>(considérant H</w:t>
      </w:r>
      <w:r w:rsidRPr="00C51A03">
        <w:rPr>
          <w:rFonts w:eastAsia="Times New Roman" w:cs="Times New Roman"/>
          <w:szCs w:val="24"/>
          <w:lang w:val="fr-BE" w:eastAsia="en-GB"/>
        </w:rPr>
        <w:t>). Il précise qu’une analyse scientifique indépendante a montré qu’aucune conclusion ne pouvait être tirée en ce qui concerne la sûreté du maïs GM empilé, que l’évaluation toxicologique et l’évaluation des risques pour l’environnement n’étaient pas acceptables et que l’évaluation des risques ne satisfaisait pas aux exigences en matière d’évaluation des risques pour le système immunitaire (</w:t>
      </w:r>
      <w:r w:rsidRPr="00C51A03">
        <w:rPr>
          <w:rFonts w:eastAsia="Times New Roman" w:cs="Times New Roman"/>
          <w:b/>
          <w:szCs w:val="24"/>
          <w:lang w:val="fr-BE" w:eastAsia="en-GB"/>
        </w:rPr>
        <w:t>considérant I</w:t>
      </w:r>
      <w:r w:rsidRPr="00C51A03">
        <w:rPr>
          <w:rFonts w:eastAsia="Times New Roman" w:cs="Times New Roman"/>
          <w:szCs w:val="24"/>
          <w:lang w:val="fr-BE" w:eastAsia="en-GB"/>
        </w:rPr>
        <w:t>).</w:t>
      </w:r>
    </w:p>
    <w:p w:rsidR="00C51A03" w:rsidRPr="00C51A03" w:rsidRDefault="00C51A03" w:rsidP="00C51A03">
      <w:pPr>
        <w:spacing w:after="120" w:line="240" w:lineRule="auto"/>
        <w:jc w:val="both"/>
        <w:rPr>
          <w:rFonts w:eastAsia="Times New Roman" w:cs="Times New Roman"/>
          <w:color w:val="000000"/>
          <w:szCs w:val="24"/>
          <w:lang w:val="fr-BE" w:eastAsia="en-GB"/>
        </w:rPr>
      </w:pPr>
      <w:r w:rsidRPr="00C51A03">
        <w:rPr>
          <w:rFonts w:eastAsia="Times New Roman" w:cs="Times New Roman"/>
          <w:szCs w:val="24"/>
          <w:lang w:val="fr-BE" w:eastAsia="en-GB"/>
        </w:rPr>
        <w:t>La résolution mentionne que des questions se posent encore sur le caractère carcinogène du glyphosate (</w:t>
      </w:r>
      <w:r w:rsidRPr="00C51A03">
        <w:rPr>
          <w:rFonts w:eastAsia="Times New Roman" w:cs="Times New Roman"/>
          <w:b/>
          <w:szCs w:val="24"/>
          <w:lang w:val="fr-BE" w:eastAsia="en-GB"/>
        </w:rPr>
        <w:t>considérant L</w:t>
      </w:r>
      <w:r w:rsidRPr="00C51A03">
        <w:rPr>
          <w:rFonts w:eastAsia="Times New Roman" w:cs="Times New Roman"/>
          <w:szCs w:val="24"/>
          <w:lang w:val="fr-BE" w:eastAsia="en-GB"/>
        </w:rPr>
        <w:t>), que les données sur les métabolites utiles pour les cultures génétiquement modifiées tolérantes au glyphosate sont insuffisantes pour fixer des limites maximales applicables aux résidus et que les données toxicologiques nécessaires à l’évaluation des risques pour les consommateurs ne sont pas disponibles (</w:t>
      </w:r>
      <w:r w:rsidRPr="00C51A03">
        <w:rPr>
          <w:rFonts w:eastAsia="Times New Roman" w:cs="Times New Roman"/>
          <w:b/>
          <w:szCs w:val="24"/>
          <w:lang w:val="fr-BE" w:eastAsia="en-GB"/>
        </w:rPr>
        <w:t>considérants M et N</w:t>
      </w:r>
      <w:r w:rsidRPr="00C51A03">
        <w:rPr>
          <w:rFonts w:eastAsia="Times New Roman" w:cs="Times New Roman"/>
          <w:szCs w:val="24"/>
          <w:lang w:val="fr-BE" w:eastAsia="en-GB"/>
        </w:rPr>
        <w:t>). Le Parlement indique dans sa résolution que le fait que l’évaluation des herbicides et de leurs résidus soit considérée comme ne relevant pas des compétences du groupe scientifique sur les organismes génétiquement modifiés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(groupe sur les OGM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pose problème car la formation des métabolites, leur composition et leur toxicité, ainsi que les effets combinés éventuels, peuvent être influencés par la modification génétique elle-même (</w:t>
      </w:r>
      <w:r w:rsidRPr="00C51A03">
        <w:rPr>
          <w:rFonts w:eastAsia="Times New Roman" w:cs="Times New Roman"/>
          <w:b/>
          <w:szCs w:val="24"/>
          <w:lang w:val="fr-BE" w:eastAsia="en-GB"/>
        </w:rPr>
        <w:t>considérant O</w:t>
      </w:r>
      <w:r w:rsidRPr="00C51A03">
        <w:rPr>
          <w:rFonts w:eastAsia="Times New Roman" w:cs="Times New Roman"/>
          <w:szCs w:val="24"/>
          <w:lang w:val="fr-BE" w:eastAsia="en-GB"/>
        </w:rPr>
        <w:t>).</w:t>
      </w:r>
      <w:r w:rsidRPr="00C51A03">
        <w:rPr>
          <w:rFonts w:eastAsia="Times New Roman" w:cs="Times New Roman"/>
          <w:b/>
          <w:szCs w:val="24"/>
          <w:lang w:val="fr-BE" w:eastAsia="en-GB"/>
        </w:rPr>
        <w:t xml:space="preserve"> </w:t>
      </w:r>
      <w:r w:rsidRPr="00C51A03">
        <w:rPr>
          <w:rFonts w:eastAsia="Times New Roman" w:cs="Times New Roman"/>
          <w:color w:val="000000"/>
          <w:szCs w:val="24"/>
          <w:lang w:val="fr-BE" w:eastAsia="en-GB"/>
        </w:rPr>
        <w:t xml:space="preserve">Le Parlement européen indique qu’aucun effet non désiré sur le système immunitaire n’a jamais été constaté pour les protéines </w:t>
      </w:r>
      <w:proofErr w:type="spellStart"/>
      <w:r w:rsidRPr="00C51A03">
        <w:rPr>
          <w:rFonts w:eastAsia="Times New Roman" w:cs="Times New Roman"/>
          <w:color w:val="000000"/>
          <w:szCs w:val="24"/>
          <w:lang w:val="fr-BE" w:eastAsia="en-GB"/>
        </w:rPr>
        <w:t>Bt</w:t>
      </w:r>
      <w:proofErr w:type="spellEnd"/>
      <w:r w:rsidRPr="00C51A03">
        <w:rPr>
          <w:rFonts w:eastAsia="Times New Roman" w:cs="Times New Roman"/>
          <w:color w:val="000000"/>
          <w:szCs w:val="24"/>
          <w:lang w:val="fr-BE" w:eastAsia="en-GB"/>
        </w:rPr>
        <w:t xml:space="preserve"> en raison de l’absence d’essais appropriés à cette fin (</w:t>
      </w:r>
      <w:r w:rsidRPr="00C51A03">
        <w:rPr>
          <w:rFonts w:eastAsia="Times New Roman" w:cs="Times New Roman"/>
          <w:b/>
          <w:color w:val="000000"/>
          <w:szCs w:val="24"/>
          <w:lang w:val="fr-BE" w:eastAsia="en-GB"/>
        </w:rPr>
        <w:t>considérant Q</w:t>
      </w:r>
      <w:r w:rsidRPr="00C51A03">
        <w:rPr>
          <w:rFonts w:eastAsia="Times New Roman" w:cs="Times New Roman"/>
          <w:color w:val="000000"/>
          <w:szCs w:val="24"/>
          <w:lang w:val="fr-BE" w:eastAsia="en-GB"/>
        </w:rPr>
        <w:t>) et conclut qu’il n’est pas démontré que la consommation du maïs GM empilé et de ses sous-combinaisons est sans danger pour la santé humaine et animale (</w:t>
      </w:r>
      <w:r w:rsidRPr="00C51A03">
        <w:rPr>
          <w:rFonts w:eastAsia="Times New Roman" w:cs="Times New Roman"/>
          <w:b/>
          <w:color w:val="000000"/>
          <w:szCs w:val="24"/>
          <w:lang w:val="fr-BE" w:eastAsia="en-GB"/>
        </w:rPr>
        <w:t>considérant R</w:t>
      </w:r>
      <w:r w:rsidRPr="00C51A03">
        <w:rPr>
          <w:rFonts w:eastAsia="Times New Roman" w:cs="Times New Roman"/>
          <w:color w:val="000000"/>
          <w:szCs w:val="24"/>
          <w:lang w:val="fr-BE" w:eastAsia="en-GB"/>
        </w:rPr>
        <w:t>).</w:t>
      </w:r>
    </w:p>
    <w:p w:rsidR="00C51A03" w:rsidRPr="00C51A03" w:rsidRDefault="00C51A03" w:rsidP="00C51A03">
      <w:pPr>
        <w:widowControl w:val="0"/>
        <w:spacing w:after="120" w:line="240" w:lineRule="auto"/>
        <w:jc w:val="both"/>
        <w:rPr>
          <w:rFonts w:eastAsia="Times New Roman" w:cs="Times New Roman"/>
          <w:szCs w:val="24"/>
          <w:lang w:val="fr-BE" w:eastAsia="en-GB"/>
        </w:rPr>
      </w:pPr>
      <w:r w:rsidRPr="00C51A03">
        <w:rPr>
          <w:rFonts w:eastAsia="Times New Roman" w:cs="Times New Roman"/>
          <w:szCs w:val="20"/>
          <w:lang w:val="fr-BE" w:eastAsia="en-GB"/>
        </w:rPr>
        <w:t xml:space="preserve">Dans sa résolution, le Parlement rappelle les résultats du vote du comité permanent concernant le projet de décision d’exécution </w:t>
      </w:r>
      <w:r w:rsidRPr="00C51A03">
        <w:rPr>
          <w:rFonts w:eastAsia="Times New Roman" w:cs="Times New Roman"/>
          <w:b/>
          <w:szCs w:val="20"/>
          <w:lang w:val="fr-BE" w:eastAsia="en-GB"/>
        </w:rPr>
        <w:t>(considérant S)</w:t>
      </w:r>
      <w:r w:rsidRPr="00C51A03">
        <w:rPr>
          <w:rFonts w:eastAsia="Times New Roman" w:cs="Times New Roman"/>
          <w:szCs w:val="20"/>
          <w:lang w:val="fr-BE" w:eastAsia="en-GB"/>
        </w:rPr>
        <w:t xml:space="preserve">.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w:t>
      </w:r>
      <w:r w:rsidRPr="00C51A03">
        <w:rPr>
          <w:rFonts w:eastAsia="Times New Roman" w:cs="Times New Roman"/>
          <w:b/>
          <w:szCs w:val="20"/>
          <w:lang w:val="fr-BE" w:eastAsia="en-GB"/>
        </w:rPr>
        <w:t>(considérant T)</w:t>
      </w:r>
      <w:r w:rsidRPr="00C51A03">
        <w:rPr>
          <w:rFonts w:eastAsia="Times New Roman" w:cs="Times New Roman"/>
          <w:szCs w:val="20"/>
          <w:lang w:val="fr-BE" w:eastAsia="en-GB"/>
        </w:rPr>
        <w:t xml:space="preserve">. Enfin, le Parlement rappelle les nombreuses résolutions s’opposant à l’autorisation d’OGM qu’il a adoptées au cours de sa huitième législature </w:t>
      </w:r>
      <w:r w:rsidRPr="00C51A03">
        <w:rPr>
          <w:rFonts w:eastAsia="Times New Roman" w:cs="Times New Roman"/>
          <w:b/>
          <w:szCs w:val="20"/>
          <w:lang w:val="fr-BE" w:eastAsia="en-GB"/>
        </w:rPr>
        <w:t>(considérant U)</w:t>
      </w:r>
      <w:r w:rsidRPr="00C51A03">
        <w:rPr>
          <w:rFonts w:eastAsia="Times New Roman" w:cs="Times New Roman"/>
          <w:szCs w:val="20"/>
          <w:lang w:val="fr-BE" w:eastAsia="en-GB"/>
        </w:rPr>
        <w:t xml:space="preserve"> et déclare qu’il n’est pas nécessaire de modifier la législation pour que la Commission puisse refuser d’autoriser des OGM en l’absence d’une majorité qualifiée d’États membres favorables au sein du comité d’appel </w:t>
      </w:r>
      <w:r w:rsidRPr="00C51A03">
        <w:rPr>
          <w:rFonts w:eastAsia="Times New Roman" w:cs="Times New Roman"/>
          <w:b/>
          <w:szCs w:val="20"/>
          <w:lang w:val="fr-BE" w:eastAsia="en-GB"/>
        </w:rPr>
        <w:t>(considérant V)</w:t>
      </w:r>
      <w:r w:rsidRPr="00C51A03">
        <w:rPr>
          <w:rFonts w:eastAsia="Times New Roman" w:cs="Times New Roman"/>
          <w:szCs w:val="20"/>
          <w:lang w:val="fr-BE" w:eastAsia="en-GB"/>
        </w:rPr>
        <w:t>.</w:t>
      </w:r>
    </w:p>
    <w:p w:rsidR="00C51A03" w:rsidRPr="00C51A03" w:rsidRDefault="00C51A03" w:rsidP="00C51A03">
      <w:pPr>
        <w:widowControl w:val="0"/>
        <w:numPr>
          <w:ilvl w:val="0"/>
          <w:numId w:val="2"/>
        </w:numPr>
        <w:spacing w:after="240" w:line="240" w:lineRule="auto"/>
        <w:jc w:val="both"/>
        <w:rPr>
          <w:rFonts w:eastAsia="Times New Roman" w:cs="Times New Roman"/>
          <w:b/>
          <w:bCs/>
          <w:i/>
          <w:iCs/>
          <w:szCs w:val="24"/>
          <w:lang w:val="fr-BE" w:eastAsia="en-GB"/>
        </w:rPr>
      </w:pPr>
      <w:r w:rsidRPr="00C51A03">
        <w:rPr>
          <w:rFonts w:eastAsia="Times New Roman" w:cs="Times New Roman"/>
          <w:b/>
          <w:bCs/>
          <w:szCs w:val="24"/>
          <w:lang w:val="fr-BE" w:eastAsia="en-GB"/>
        </w:rPr>
        <w:t>Réponse à ces demandes et aperçu des mesures que la Commission a prises ou envisage de prendre:</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La Commission tient à rappeler que le projet de décision d’exécution en question autorise la mise sur le marché de produits contenant du maïs génétiquement modifié MON 87427 × MON 89034 × MIR162 × MON 8741 et ses sous-combinaisons, mais pas la culture de ce maïs.</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En ce qui concerne les </w:t>
      </w:r>
      <w:r w:rsidRPr="00C51A03">
        <w:rPr>
          <w:rFonts w:eastAsia="Times New Roman" w:cs="Times New Roman"/>
          <w:b/>
          <w:szCs w:val="24"/>
          <w:lang w:val="fr-BE" w:eastAsia="en-GB"/>
        </w:rPr>
        <w:t>paragraphes 1, 2, 3 et 10</w:t>
      </w:r>
      <w:r w:rsidRPr="00C51A03">
        <w:rPr>
          <w:rFonts w:eastAsia="Times New Roman" w:cs="Times New Roman"/>
          <w:szCs w:val="24"/>
          <w:lang w:val="fr-BE" w:eastAsia="en-GB"/>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 xml:space="preserve">Le 24 mai 2017, l’entreprise Monsanto a introduit une demande auprès des Pays-Bas, conformément aux articles 5 et 17 du règlement (CE) nº 1829/2003, en vue de </w:t>
      </w:r>
      <w:r w:rsidRPr="00C51A03">
        <w:rPr>
          <w:rFonts w:eastAsia="Times New Roman" w:cs="Times New Roman"/>
          <w:szCs w:val="24"/>
          <w:lang w:val="fr-BE" w:eastAsia="en-GB"/>
        </w:rPr>
        <w:lastRenderedPageBreak/>
        <w:t>l’autorisation de mise sur le marché du maïs génétiquement modifié MON 87427 × MON 89034 × MIR162 × MON 87411 et ses sous-combinaisons, destinés à l’alimentation humaine et animale.</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Le 7 novembre 2019,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publié un avis favorable conformément aux articles 6 et 18 du règlement (CE) nº 1829/2003. Les autorités ont conclu que le maïs génétiquement modifié MON 87427 × MON 89034 × MIR162 × MON 87411 et ses sous-combinaisons décrit dans la demande était aussi sûr que le produit conventionnel de référence et que les variétés de référence de soja non génétiquement modifié testées en ce qui concerne ses effets potentiels sur la santé humaine et animale et sur l’environnement, et leur était équivalent sur le plan nutritionnel.</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Dans son avis,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Le public a transmis ses commentaires sur l’avis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et l’ensemble des commentaires scientifiques reçus ont été examinés par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vertAlign w:val="superscript"/>
          <w:lang w:eastAsia="en-GB"/>
        </w:rPr>
        <w:footnoteReference w:id="1"/>
      </w:r>
      <w:r w:rsidRPr="00C51A03">
        <w:rPr>
          <w:rFonts w:eastAsia="Times New Roman" w:cs="Times New Roman"/>
          <w:szCs w:val="24"/>
          <w:lang w:val="fr-BE" w:eastAsia="en-GB"/>
        </w:rPr>
        <w:t>.</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Le projet de décision a été présenté au comité permanent le 7 octobre 2020, où aucune majorité qualifiée ne s’est dégagée pour ou contre la décision au moyen de la procédure écrite le 26 octobre 2020.</w:t>
      </w:r>
    </w:p>
    <w:p w:rsidR="00C51A03" w:rsidRPr="00C51A03" w:rsidRDefault="00C51A03" w:rsidP="00780687">
      <w:pPr>
        <w:numPr>
          <w:ilvl w:val="0"/>
          <w:numId w:val="1"/>
        </w:numPr>
        <w:spacing w:after="120" w:line="240" w:lineRule="auto"/>
        <w:ind w:left="567"/>
        <w:jc w:val="both"/>
        <w:rPr>
          <w:rFonts w:eastAsia="Times New Roman" w:cs="Times New Roman"/>
          <w:szCs w:val="24"/>
          <w:lang w:val="fr-BE" w:eastAsia="en-GB"/>
        </w:rPr>
      </w:pPr>
      <w:r w:rsidRPr="00C51A03">
        <w:rPr>
          <w:rFonts w:eastAsia="Times New Roman" w:cs="Times New Roman"/>
          <w:szCs w:val="24"/>
          <w:lang w:val="fr-BE" w:eastAsia="en-GB"/>
        </w:rPr>
        <w:t>Conformément aux règles établies dans le règlement (UE) nº 182/2011 relatif à la comitologie, la Commission a proposé le projet de décision au comité d’appel du 3 décembre 2020, où aucune majorité qualifiée ne s’est non plus dégagée pour ou contre la décision lors de la procédure écrite le 11 décembre 2020.</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Aussi la Commission </w:t>
      </w:r>
      <w:bookmarkStart w:id="0" w:name="_GoBack"/>
      <w:bookmarkEnd w:id="0"/>
      <w:r w:rsidRPr="00C51A03">
        <w:rPr>
          <w:rFonts w:eastAsia="Times New Roman" w:cs="Times New Roman"/>
          <w:szCs w:val="24"/>
          <w:lang w:val="fr-BE" w:eastAsia="en-GB"/>
        </w:rPr>
        <w:t xml:space="preserve">considère-t-elle qu’en adoptant une décision pleinement conforme à la procédure fixée par les colégislateurs dans la législation sur les OGM, elle n’excède pas ses compétences d’exécution. </w:t>
      </w:r>
      <w:r w:rsidRPr="00C51A03">
        <w:rPr>
          <w:rFonts w:eastAsia="Times New Roman" w:cs="Times New Roman"/>
          <w:szCs w:val="20"/>
          <w:lang w:val="fr-BE" w:eastAsia="en-GB"/>
        </w:rPr>
        <w:t>En conséquence, aucun motif ne justifie le retrait du projet de décision d’autorisation du maïs GM MON 87427 × MON 89034 × MIR162 × MON 87411 et de ses sous-combinaisons.</w:t>
      </w:r>
      <w:r w:rsidRPr="00C51A03">
        <w:rPr>
          <w:rFonts w:eastAsia="Times New Roman" w:cs="Times New Roman"/>
          <w:szCs w:val="24"/>
          <w:lang w:val="fr-BE" w:eastAsia="en-GB"/>
        </w:rPr>
        <w:t xml:space="preserve"> En outre, à la suite de l’introduction d’une demande et de la publication de l’avis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s’y rapportant, l’article 7, paragraphe 3, et l’article 19, paragraphe 3, du règlement (CE) nº 1829/2003 imposent à la Commission d’agir, en l’occurrence d’adopter une décision finale concernant la demande.</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Pour ce qui est des </w:t>
      </w:r>
      <w:r w:rsidRPr="00C51A03">
        <w:rPr>
          <w:rFonts w:eastAsia="Times New Roman" w:cs="Times New Roman"/>
          <w:b/>
          <w:szCs w:val="24"/>
          <w:lang w:val="fr-BE" w:eastAsia="en-GB"/>
        </w:rPr>
        <w:t>autres dispositions de la résolution</w:t>
      </w:r>
      <w:r w:rsidRPr="00C51A03">
        <w:rPr>
          <w:rFonts w:eastAsia="Times New Roman" w:cs="Times New Roman"/>
          <w:szCs w:val="24"/>
          <w:lang w:val="fr-BE" w:eastAsia="en-GB"/>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commentaires suivants:</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En ce qui concerne les craintes soulevées au sujet de l’évaluation des produits phytopharmaceutiques </w:t>
      </w:r>
      <w:r w:rsidRPr="00C51A03">
        <w:rPr>
          <w:rFonts w:eastAsia="Times New Roman" w:cs="Times New Roman"/>
          <w:b/>
          <w:szCs w:val="24"/>
          <w:lang w:val="fr-BE" w:eastAsia="en-GB"/>
        </w:rPr>
        <w:t>(considérants K</w:t>
      </w:r>
      <w:r w:rsidRPr="00C51A03">
        <w:rPr>
          <w:rFonts w:eastAsia="Times New Roman" w:cs="Times New Roman"/>
          <w:szCs w:val="24"/>
          <w:lang w:val="fr-BE" w:eastAsia="en-GB"/>
        </w:rPr>
        <w:t xml:space="preserve"> à </w:t>
      </w:r>
      <w:r w:rsidRPr="00C51A03">
        <w:rPr>
          <w:rFonts w:eastAsia="Times New Roman" w:cs="Times New Roman"/>
          <w:b/>
          <w:szCs w:val="24"/>
          <w:lang w:val="fr-BE" w:eastAsia="en-GB"/>
        </w:rPr>
        <w:t>O)</w:t>
      </w:r>
      <w:r w:rsidRPr="00C51A03">
        <w:rPr>
          <w:rFonts w:eastAsia="Times New Roman" w:cs="Times New Roman"/>
          <w:szCs w:val="24"/>
          <w:lang w:val="fr-BE" w:eastAsia="en-GB"/>
        </w:rPr>
        <w:t xml:space="preserve">,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des hommes et des animaux et sur l’environnement. </w:t>
      </w:r>
      <w:r w:rsidRPr="00C51A03">
        <w:rPr>
          <w:rFonts w:eastAsia="Times New Roman" w:cs="Times New Roman"/>
          <w:szCs w:val="20"/>
          <w:lang w:val="fr-BE" w:eastAsia="en-GB"/>
        </w:rPr>
        <w:t xml:space="preserve">Les considérations relatives à la protection de l’environnement dans le domaine des pesticides relèvent du champ d’application du règlement (CE) nº 1107/2009 concernant la mise sur le marché des produits </w:t>
      </w:r>
      <w:r w:rsidRPr="00C51A03">
        <w:rPr>
          <w:rFonts w:eastAsia="Times New Roman" w:cs="Times New Roman"/>
          <w:szCs w:val="20"/>
          <w:lang w:val="fr-BE" w:eastAsia="en-GB"/>
        </w:rPr>
        <w:lastRenderedPageBreak/>
        <w:t>phytopharmaceutiques, en application duquel chaque substance active et chaque produit phytopharmaceutique est évalué au regard de sa sécurité environnementale avant qu’une décision de gestion des risques portant approbation de la substance ou autorisant l’utilisation du produit ne soit prise. L’autorisation des OGM n’est pas liée à l’autorisation des herbicides. Toutefois, les règlements (CE) nº 1107/2009 et (CE) nº 396/2005, qui régissent respectivement les herbicides et les limites maximales applicables à leurs résidus, s’appliquent à l’ensemble des produits en question, qu’ils soient génétiquement modifiés ou non. Comme annoncé dans la stratégie</w:t>
      </w:r>
      <w:proofErr w:type="gramStart"/>
      <w:r w:rsidRPr="00C51A03">
        <w:rPr>
          <w:rFonts w:eastAsia="Times New Roman" w:cs="Times New Roman"/>
          <w:szCs w:val="20"/>
          <w:lang w:val="fr-BE" w:eastAsia="en-GB"/>
        </w:rPr>
        <w:t xml:space="preserve"> «De</w:t>
      </w:r>
      <w:proofErr w:type="gramEnd"/>
      <w:r w:rsidRPr="00C51A03">
        <w:rPr>
          <w:rFonts w:eastAsia="Times New Roman" w:cs="Times New Roman"/>
          <w:szCs w:val="20"/>
          <w:lang w:val="fr-BE" w:eastAsia="en-GB"/>
        </w:rPr>
        <w:t xml:space="preserv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En ce qui concerne les </w:t>
      </w:r>
      <w:r w:rsidRPr="00C51A03">
        <w:rPr>
          <w:rFonts w:eastAsia="Times New Roman" w:cs="Times New Roman"/>
          <w:b/>
          <w:szCs w:val="24"/>
          <w:lang w:val="fr-BE" w:eastAsia="en-GB"/>
        </w:rPr>
        <w:t>considérants J, P et Q</w:t>
      </w:r>
      <w:r w:rsidRPr="00C51A03">
        <w:rPr>
          <w:rFonts w:eastAsia="Times New Roman" w:cs="Times New Roman"/>
          <w:szCs w:val="24"/>
          <w:lang w:val="fr-BE" w:eastAsia="en-GB"/>
        </w:rPr>
        <w:t xml:space="preserve"> sur l’évaluation des sous-combinaisons pour lesquelles aucune donnée expérimentale n’a été fournie, le groupe scientifique sur les OGM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évalué la plus grande combinaison possible (appelée</w:t>
      </w:r>
      <w:proofErr w:type="gramStart"/>
      <w:r w:rsidRPr="00C51A03">
        <w:rPr>
          <w:rFonts w:eastAsia="Times New Roman" w:cs="Times New Roman"/>
          <w:szCs w:val="24"/>
          <w:lang w:val="fr-BE" w:eastAsia="en-GB"/>
        </w:rPr>
        <w:t xml:space="preserve"> «high</w:t>
      </w:r>
      <w:proofErr w:type="gramEnd"/>
      <w:r w:rsidRPr="00C51A03">
        <w:rPr>
          <w:rFonts w:eastAsia="Times New Roman" w:cs="Times New Roman"/>
          <w:szCs w:val="24"/>
          <w:lang w:val="fr-BE" w:eastAsia="en-GB"/>
        </w:rPr>
        <w:t xml:space="preserve"> </w:t>
      </w:r>
      <w:proofErr w:type="spellStart"/>
      <w:r w:rsidRPr="00C51A03">
        <w:rPr>
          <w:rFonts w:eastAsia="Times New Roman" w:cs="Times New Roman"/>
          <w:szCs w:val="24"/>
          <w:lang w:val="fr-BE" w:eastAsia="en-GB"/>
        </w:rPr>
        <w:t>stack</w:t>
      </w:r>
      <w:proofErr w:type="spellEnd"/>
      <w:r w:rsidRPr="00C51A03">
        <w:rPr>
          <w:rFonts w:eastAsia="Times New Roman" w:cs="Times New Roman"/>
          <w:szCs w:val="24"/>
          <w:lang w:val="fr-BE" w:eastAsia="en-GB"/>
        </w:rPr>
        <w:t>», le maïs GM combinant quatre événements) et a conclu qu’elle était sans danger. Par ailleurs,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évalué précédemment tous les événements uniques et a conclu qu’ils étaient sans danger. En outre,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évalué certaines combinaisons plus petites (sous-combinaisons) et a constaté qu’elles étaient sans danger. Sur la base de toutes ces données,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a conclu que les autres combinaisons plus petites étaient également sûres. En ce qui concerne les sous-combinaisons pour lesquelles aucune donnée spécifique n’a été fournie, tous les membres du groupe scientifique sur les OGM de l’</w:t>
      </w:r>
      <w:proofErr w:type="spellStart"/>
      <w:r w:rsidRPr="00C51A03">
        <w:rPr>
          <w:rFonts w:eastAsia="Times New Roman" w:cs="Times New Roman"/>
          <w:szCs w:val="24"/>
          <w:lang w:val="fr-BE" w:eastAsia="en-GB"/>
        </w:rPr>
        <w:t>EFSA</w:t>
      </w:r>
      <w:proofErr w:type="spellEnd"/>
      <w:r w:rsidRPr="00C51A03">
        <w:rPr>
          <w:rFonts w:eastAsia="Times New Roman" w:cs="Times New Roman"/>
          <w:szCs w:val="24"/>
          <w:lang w:val="fr-BE" w:eastAsia="en-GB"/>
        </w:rPr>
        <w:t xml:space="preserve"> ont tiré des conclusions positives à leur sujet, en appliquant une approche fondée sur la force probante des données, sur la base de l’évaluation i) du «high </w:t>
      </w:r>
      <w:proofErr w:type="spellStart"/>
      <w:r w:rsidRPr="00C51A03">
        <w:rPr>
          <w:rFonts w:eastAsia="Times New Roman" w:cs="Times New Roman"/>
          <w:szCs w:val="24"/>
          <w:lang w:val="fr-BE" w:eastAsia="en-GB"/>
        </w:rPr>
        <w:t>stack</w:t>
      </w:r>
      <w:proofErr w:type="spellEnd"/>
      <w:r w:rsidRPr="00C51A03">
        <w:rPr>
          <w:rFonts w:eastAsia="Times New Roman" w:cs="Times New Roman"/>
          <w:szCs w:val="24"/>
          <w:lang w:val="fr-BE" w:eastAsia="en-GB"/>
        </w:rPr>
        <w:t xml:space="preserve">» (avec toutes les protéines), ii) de tous les événements uniques et iii) des autres sous-combinaisons, qui sont toutes sans danger (aucune interaction entre les protéines n’a été observée dans le plus grand «high </w:t>
      </w:r>
      <w:proofErr w:type="spellStart"/>
      <w:r w:rsidRPr="00C51A03">
        <w:rPr>
          <w:rFonts w:eastAsia="Times New Roman" w:cs="Times New Roman"/>
          <w:szCs w:val="24"/>
          <w:lang w:val="fr-BE" w:eastAsia="en-GB"/>
        </w:rPr>
        <w:t>stack</w:t>
      </w:r>
      <w:proofErr w:type="spellEnd"/>
      <w:r w:rsidRPr="00C51A03">
        <w:rPr>
          <w:rFonts w:eastAsia="Times New Roman" w:cs="Times New Roman"/>
          <w:szCs w:val="24"/>
          <w:lang w:val="fr-BE" w:eastAsia="en-GB"/>
        </w:rPr>
        <w:t>» et les sous-combinaisons évalués).</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La Commission est très soucieuse du respect de ses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w:t>
      </w:r>
      <w:r w:rsidRPr="00C51A03">
        <w:rPr>
          <w:rFonts w:eastAsia="Times New Roman" w:cs="Times New Roman"/>
          <w:b/>
          <w:szCs w:val="24"/>
          <w:lang w:val="fr-BE" w:eastAsia="en-GB"/>
        </w:rPr>
        <w:t>(paragraphe 6).</w:t>
      </w:r>
      <w:r w:rsidRPr="00C51A03">
        <w:rPr>
          <w:rFonts w:eastAsia="Times New Roman" w:cs="Times New Roman"/>
          <w:szCs w:val="24"/>
          <w:lang w:val="fr-BE" w:eastAsia="en-GB"/>
        </w:rPr>
        <w:t xml:space="preserve">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C51A03" w:rsidRPr="00C51A03" w:rsidRDefault="00C51A03" w:rsidP="00C51A03">
      <w:pPr>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t xml:space="preserve">Pour ce qui est du manque de soutien des États membres en faveur des décisions sur les autorisations des OGM pour l’alimentation humaine et animale </w:t>
      </w:r>
      <w:r w:rsidRPr="00C51A03">
        <w:rPr>
          <w:rFonts w:eastAsia="Times New Roman" w:cs="Times New Roman"/>
          <w:b/>
          <w:szCs w:val="24"/>
          <w:lang w:val="fr-BE" w:eastAsia="en-GB"/>
        </w:rPr>
        <w:t>(considérants T</w:t>
      </w:r>
      <w:r w:rsidRPr="00C51A03">
        <w:rPr>
          <w:rFonts w:eastAsia="Times New Roman" w:cs="Times New Roman"/>
          <w:szCs w:val="24"/>
          <w:lang w:val="fr-BE" w:eastAsia="en-GB"/>
        </w:rPr>
        <w:t xml:space="preserve"> et</w:t>
      </w:r>
      <w:r w:rsidRPr="00C51A03">
        <w:rPr>
          <w:rFonts w:eastAsia="Times New Roman" w:cs="Times New Roman"/>
          <w:b/>
          <w:szCs w:val="24"/>
          <w:lang w:val="fr-BE" w:eastAsia="en-GB"/>
        </w:rPr>
        <w:t> U)</w:t>
      </w:r>
      <w:r w:rsidRPr="00C51A03">
        <w:rPr>
          <w:rFonts w:eastAsia="Times New Roman" w:cs="Times New Roman"/>
          <w:szCs w:val="24"/>
          <w:lang w:val="fr-BE" w:eastAsia="en-GB"/>
        </w:rPr>
        <w:t>, la Commission a présenté au Parlement européen et au Conseil, le 14 février 2017, une proposition de règlement modifiant le règlement (UE) nº 182/2011 visant à modifier les règles de vote du comité d’appel qui, si elle était adoptée par les colégislateurs, renforcerait la transparence et la responsabilité dans le processus décisionnel relatif aux OGM. La Commission souhaite également rappeler qu’elle regrette la décision du 28 octobre 2015 par laquelle le Parlement a rejeté la proposition du 22 avril 2015 modifiant le règlement (CE) nº 1829/2003, proposition qui, si elle était adoptée, permettrait aux États membres de tenir compte, au niveau national, de considérations qui ne sont pas couvertes par le processus de prise de décision de l’UE.</w:t>
      </w:r>
    </w:p>
    <w:p w:rsidR="00C51A03" w:rsidRPr="00C51A03" w:rsidRDefault="00C51A03" w:rsidP="00C51A03">
      <w:pPr>
        <w:widowControl w:val="0"/>
        <w:spacing w:after="120" w:line="240" w:lineRule="auto"/>
        <w:jc w:val="both"/>
        <w:rPr>
          <w:rFonts w:eastAsia="Times New Roman" w:cs="Times New Roman"/>
          <w:szCs w:val="24"/>
          <w:lang w:val="fr-BE" w:eastAsia="en-GB"/>
        </w:rPr>
      </w:pPr>
      <w:r w:rsidRPr="00C51A03">
        <w:rPr>
          <w:rFonts w:eastAsia="Times New Roman" w:cs="Times New Roman"/>
          <w:szCs w:val="24"/>
          <w:lang w:val="fr-BE" w:eastAsia="en-GB"/>
        </w:rPr>
        <w:lastRenderedPageBreak/>
        <w:t xml:space="preserve">En conclusion, s’agissant des </w:t>
      </w:r>
      <w:r w:rsidRPr="00C51A03">
        <w:rPr>
          <w:rFonts w:eastAsia="Times New Roman" w:cs="Times New Roman"/>
          <w:b/>
          <w:szCs w:val="24"/>
          <w:lang w:val="fr-BE" w:eastAsia="en-GB"/>
        </w:rPr>
        <w:t>paragraphes 4</w:t>
      </w:r>
      <w:r w:rsidRPr="00C51A03">
        <w:rPr>
          <w:rFonts w:eastAsia="Times New Roman" w:cs="Times New Roman"/>
          <w:szCs w:val="24"/>
          <w:lang w:val="fr-BE" w:eastAsia="en-GB"/>
        </w:rPr>
        <w:t xml:space="preserve"> et </w:t>
      </w:r>
      <w:r w:rsidRPr="00C51A03">
        <w:rPr>
          <w:rFonts w:eastAsia="Times New Roman" w:cs="Times New Roman"/>
          <w:b/>
          <w:szCs w:val="24"/>
          <w:lang w:val="fr-BE" w:eastAsia="en-GB"/>
        </w:rPr>
        <w:t>5</w:t>
      </w:r>
      <w:r w:rsidRPr="00C51A03">
        <w:rPr>
          <w:rFonts w:eastAsia="Times New Roman" w:cs="Times New Roman"/>
          <w:szCs w:val="24"/>
          <w:lang w:val="fr-BE" w:eastAsia="en-GB"/>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F36993" w:rsidRPr="00C51A03" w:rsidRDefault="00F36993">
      <w:pPr>
        <w:rPr>
          <w:lang w:val="fr-BE"/>
        </w:rPr>
      </w:pPr>
    </w:p>
    <w:sectPr w:rsidR="00F36993" w:rsidRPr="00C51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03" w:rsidRDefault="00C51A03" w:rsidP="00C51A03">
      <w:pPr>
        <w:spacing w:after="0" w:line="240" w:lineRule="auto"/>
      </w:pPr>
      <w:r>
        <w:separator/>
      </w:r>
    </w:p>
  </w:endnote>
  <w:endnote w:type="continuationSeparator" w:id="0">
    <w:p w:rsidR="00C51A03" w:rsidRDefault="00C51A03" w:rsidP="00C5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03" w:rsidRDefault="00C51A03" w:rsidP="00C51A03">
      <w:pPr>
        <w:spacing w:after="0" w:line="240" w:lineRule="auto"/>
      </w:pPr>
      <w:r>
        <w:separator/>
      </w:r>
    </w:p>
  </w:footnote>
  <w:footnote w:type="continuationSeparator" w:id="0">
    <w:p w:rsidR="00C51A03" w:rsidRDefault="00C51A03" w:rsidP="00C51A03">
      <w:pPr>
        <w:spacing w:after="0" w:line="240" w:lineRule="auto"/>
      </w:pPr>
      <w:r>
        <w:continuationSeparator/>
      </w:r>
    </w:p>
  </w:footnote>
  <w:footnote w:id="1">
    <w:p w:rsidR="00C51A03" w:rsidRPr="00C5084A" w:rsidRDefault="00C51A03" w:rsidP="00C51A03">
      <w:pPr>
        <w:pStyle w:val="FootnoteText"/>
      </w:pPr>
      <w:r>
        <w:rPr>
          <w:rStyle w:val="FootnoteReference"/>
        </w:rPr>
        <w:footnoteRef/>
      </w:r>
      <w:r>
        <w:t xml:space="preserve"> </w:t>
      </w:r>
      <w:r>
        <w:tab/>
      </w:r>
      <w:hyperlink r:id="rId1" w:history="1">
        <w:r>
          <w:rPr>
            <w:rStyle w:val="Hyperlink"/>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6F17CB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03"/>
    <w:rsid w:val="0065281F"/>
    <w:rsid w:val="00780687"/>
    <w:rsid w:val="00C51A03"/>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D94A"/>
  <w15:chartTrackingRefBased/>
  <w15:docId w15:val="{E75A2BC5-21EA-4185-8E4F-3823B54D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1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A03"/>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C51A03"/>
    <w:rPr>
      <w:vertAlign w:val="superscript"/>
    </w:rPr>
  </w:style>
  <w:style w:type="character" w:styleId="Hyperlink">
    <w:name w:val="Hyperlink"/>
    <w:aliases w:val="Char1"/>
    <w:uiPriority w:val="99"/>
    <w:rsid w:val="00C51A03"/>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C51A03"/>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2293</Words>
  <Characters>12892</Characters>
  <Application>Microsoft Office Word</Application>
  <DocSecurity>0</DocSecurity>
  <Lines>186</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2021-06-16T13:05:00Z</dcterms:created>
  <dcterms:modified xsi:type="dcterms:W3CDTF">2021-06-16T13:07:00Z</dcterms:modified>
</cp:coreProperties>
</file>