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F0D" w:rsidRPr="00B97F0D" w:rsidRDefault="00B97F0D" w:rsidP="00B97F0D">
      <w:pPr>
        <w:spacing w:after="600" w:line="240" w:lineRule="auto"/>
        <w:jc w:val="center"/>
        <w:rPr>
          <w:rFonts w:eastAsia="Times New Roman" w:cs="Times New Roman"/>
          <w:b/>
          <w:bCs/>
          <w:szCs w:val="24"/>
          <w:lang w:val="fr-BE" w:eastAsia="en-GB"/>
        </w:rPr>
      </w:pPr>
      <w:r w:rsidRPr="00B97F0D">
        <w:rPr>
          <w:rFonts w:eastAsia="Times New Roman" w:cs="Times New Roman"/>
          <w:b/>
          <w:bCs/>
          <w:szCs w:val="24"/>
          <w:lang w:val="fr-BE" w:eastAsia="en-GB"/>
        </w:rPr>
        <w:t>Suite donnée à la</w:t>
      </w:r>
      <w:r w:rsidRPr="00B97F0D">
        <w:rPr>
          <w:rFonts w:eastAsia="Times New Roman" w:cs="Times New Roman"/>
          <w:b/>
          <w:szCs w:val="24"/>
          <w:lang w:val="fr-BE" w:eastAsia="en-GB"/>
        </w:rPr>
        <w:t xml:space="preserve"> résolution non législative du Parlement européen </w:t>
      </w:r>
      <w:r w:rsidRPr="00B97F0D">
        <w:rPr>
          <w:rFonts w:eastAsia="Times New Roman" w:cs="Times New Roman"/>
          <w:b/>
          <w:szCs w:val="24"/>
          <w:shd w:val="clear" w:color="auto" w:fill="FFFFFF"/>
          <w:lang w:val="fr-BE" w:eastAsia="en-GB"/>
        </w:rPr>
        <w:t xml:space="preserve">sur le projet de décision d’exécution de la Commission renouvelant l’autorisation de mise sur le marché de produits contenant du maïs génétiquement modifié MIR604 (SYN-IR6Ø4-5), consistant en ce maïs ou produits à partir de celui-ci, en application du </w:t>
      </w:r>
      <w:r>
        <w:rPr>
          <w:rFonts w:eastAsia="Times New Roman" w:cs="Times New Roman"/>
          <w:b/>
          <w:szCs w:val="24"/>
          <w:shd w:val="clear" w:color="auto" w:fill="FFFFFF"/>
          <w:lang w:val="fr-BE" w:eastAsia="en-GB"/>
        </w:rPr>
        <w:br/>
      </w:r>
      <w:r w:rsidRPr="00B97F0D">
        <w:rPr>
          <w:rFonts w:eastAsia="Times New Roman" w:cs="Times New Roman"/>
          <w:b/>
          <w:szCs w:val="24"/>
          <w:shd w:val="clear" w:color="auto" w:fill="FFFFFF"/>
          <w:lang w:val="fr-BE" w:eastAsia="en-GB"/>
        </w:rPr>
        <w:t>règlement (CE) nº 1829/2003 du Parlement européen et du Conseil</w:t>
      </w:r>
    </w:p>
    <w:p w:rsidR="00B97F0D" w:rsidRPr="00B97F0D" w:rsidRDefault="00B97F0D" w:rsidP="00B97F0D">
      <w:pPr>
        <w:numPr>
          <w:ilvl w:val="0"/>
          <w:numId w:val="1"/>
        </w:numPr>
        <w:spacing w:after="240" w:line="240" w:lineRule="auto"/>
        <w:jc w:val="both"/>
        <w:rPr>
          <w:rFonts w:eastAsia="Times New Roman" w:cs="Times New Roman"/>
          <w:b/>
          <w:bCs/>
          <w:szCs w:val="24"/>
          <w:lang w:val="fr-BE" w:eastAsia="en-GB"/>
        </w:rPr>
      </w:pPr>
      <w:r w:rsidRPr="00B97F0D">
        <w:rPr>
          <w:rFonts w:eastAsia="Times New Roman" w:cs="Times New Roman"/>
          <w:b/>
          <w:bCs/>
          <w:szCs w:val="24"/>
          <w:lang w:val="fr-BE" w:eastAsia="en-GB"/>
        </w:rPr>
        <w:t>Résolution présentée conformément à l’article 112, paragraphe 2, du règlement du Parlement européen</w:t>
      </w:r>
    </w:p>
    <w:p w:rsidR="00B97F0D" w:rsidRPr="00B97F0D" w:rsidRDefault="00B97F0D" w:rsidP="00B97F0D">
      <w:pPr>
        <w:numPr>
          <w:ilvl w:val="0"/>
          <w:numId w:val="1"/>
        </w:numPr>
        <w:spacing w:after="240" w:line="240" w:lineRule="auto"/>
        <w:jc w:val="both"/>
        <w:rPr>
          <w:rFonts w:eastAsia="Times New Roman" w:cs="Times New Roman"/>
          <w:i/>
          <w:iCs/>
          <w:szCs w:val="24"/>
          <w:lang w:val="fr-BE" w:eastAsia="en-GB"/>
        </w:rPr>
      </w:pPr>
      <w:r w:rsidRPr="00B97F0D">
        <w:rPr>
          <w:rFonts w:eastAsia="Times New Roman" w:cs="Times New Roman"/>
          <w:b/>
          <w:bCs/>
          <w:szCs w:val="24"/>
          <w:lang w:val="fr-BE" w:eastAsia="en-GB"/>
        </w:rPr>
        <w:t xml:space="preserve">Numéros de référence: </w:t>
      </w:r>
      <w:r w:rsidRPr="00B97F0D">
        <w:rPr>
          <w:rFonts w:eastAsia="Times New Roman" w:cs="Times New Roman"/>
          <w:szCs w:val="24"/>
          <w:lang w:val="fr-BE" w:eastAsia="en-GB"/>
        </w:rPr>
        <w:t>2020/2893 (RSP) / B9-0414/2020 / P9_TA-</w:t>
      </w:r>
      <w:proofErr w:type="gramStart"/>
      <w:r w:rsidRPr="00B97F0D">
        <w:rPr>
          <w:rFonts w:eastAsia="Times New Roman" w:cs="Times New Roman"/>
          <w:szCs w:val="24"/>
          <w:lang w:val="fr-BE" w:eastAsia="en-GB"/>
        </w:rPr>
        <w:t>PROV(</w:t>
      </w:r>
      <w:proofErr w:type="gramEnd"/>
      <w:r w:rsidRPr="00B97F0D">
        <w:rPr>
          <w:rFonts w:eastAsia="Times New Roman" w:cs="Times New Roman"/>
          <w:szCs w:val="24"/>
          <w:lang w:val="fr-BE" w:eastAsia="en-GB"/>
        </w:rPr>
        <w:t>2020)0367</w:t>
      </w:r>
    </w:p>
    <w:p w:rsidR="00B97F0D" w:rsidRPr="00B97F0D" w:rsidRDefault="00B97F0D" w:rsidP="00B97F0D">
      <w:pPr>
        <w:numPr>
          <w:ilvl w:val="0"/>
          <w:numId w:val="1"/>
        </w:numPr>
        <w:spacing w:after="240" w:line="240" w:lineRule="auto"/>
        <w:jc w:val="both"/>
        <w:rPr>
          <w:rFonts w:eastAsia="Times New Roman" w:cs="Times New Roman"/>
          <w:szCs w:val="24"/>
          <w:lang w:val="fr-BE" w:eastAsia="en-GB"/>
        </w:rPr>
      </w:pPr>
      <w:r w:rsidRPr="00B97F0D">
        <w:rPr>
          <w:rFonts w:eastAsia="Times New Roman" w:cs="Times New Roman"/>
          <w:b/>
          <w:bCs/>
          <w:szCs w:val="24"/>
          <w:lang w:val="fr-BE" w:eastAsia="en-GB"/>
        </w:rPr>
        <w:t xml:space="preserve">Date d’adoption de la résolution: </w:t>
      </w:r>
      <w:r w:rsidRPr="00B97F0D">
        <w:rPr>
          <w:rFonts w:eastAsia="Times New Roman" w:cs="Times New Roman"/>
          <w:szCs w:val="24"/>
          <w:lang w:val="fr-BE" w:eastAsia="en-GB"/>
        </w:rPr>
        <w:t>17 décembre 2020</w:t>
      </w:r>
    </w:p>
    <w:p w:rsidR="00B97F0D" w:rsidRPr="00B97F0D" w:rsidRDefault="00B97F0D" w:rsidP="00B97F0D">
      <w:pPr>
        <w:numPr>
          <w:ilvl w:val="0"/>
          <w:numId w:val="1"/>
        </w:numPr>
        <w:spacing w:after="240" w:line="240" w:lineRule="auto"/>
        <w:jc w:val="both"/>
        <w:rPr>
          <w:rFonts w:eastAsia="Times New Roman" w:cs="Times New Roman"/>
          <w:i/>
          <w:iCs/>
          <w:szCs w:val="24"/>
          <w:lang w:val="fr-BE" w:eastAsia="en-GB"/>
        </w:rPr>
      </w:pPr>
      <w:r w:rsidRPr="00B97F0D">
        <w:rPr>
          <w:rFonts w:eastAsia="Times New Roman" w:cs="Times New Roman"/>
          <w:b/>
          <w:bCs/>
          <w:szCs w:val="24"/>
          <w:lang w:val="fr-BE" w:eastAsia="en-GB"/>
        </w:rPr>
        <w:t xml:space="preserve">Commission parlementaire compétente: </w:t>
      </w:r>
      <w:r w:rsidRPr="00B97F0D">
        <w:rPr>
          <w:rFonts w:eastAsia="Times New Roman" w:cs="Times New Roman"/>
          <w:szCs w:val="24"/>
          <w:lang w:val="fr-BE" w:eastAsia="en-GB"/>
        </w:rPr>
        <w:t>commission de</w:t>
      </w:r>
      <w:r w:rsidRPr="00B97F0D">
        <w:rPr>
          <w:rFonts w:ascii="inherit" w:eastAsia="Times New Roman" w:hAnsi="inherit" w:cs="Times New Roman"/>
          <w:szCs w:val="20"/>
          <w:bdr w:val="none" w:sz="0" w:space="0" w:color="auto" w:frame="1"/>
          <w:lang w:val="fr-BE" w:eastAsia="en-GB"/>
        </w:rPr>
        <w:t xml:space="preserve"> l’environnement, de la santé publique et de la sécurité alimentaire (ENVI)</w:t>
      </w:r>
    </w:p>
    <w:p w:rsidR="00B97F0D" w:rsidRPr="00B97F0D" w:rsidRDefault="00B97F0D" w:rsidP="00B97F0D">
      <w:pPr>
        <w:widowControl w:val="0"/>
        <w:numPr>
          <w:ilvl w:val="0"/>
          <w:numId w:val="1"/>
        </w:numPr>
        <w:spacing w:after="240" w:line="240" w:lineRule="auto"/>
        <w:jc w:val="both"/>
        <w:rPr>
          <w:rFonts w:eastAsia="Times New Roman" w:cs="Times New Roman"/>
          <w:szCs w:val="24"/>
          <w:lang w:val="fr-BE" w:eastAsia="en-GB"/>
        </w:rPr>
      </w:pPr>
      <w:r w:rsidRPr="00B97F0D">
        <w:rPr>
          <w:rFonts w:eastAsia="Times New Roman" w:cs="Times New Roman"/>
          <w:b/>
          <w:bCs/>
          <w:szCs w:val="24"/>
          <w:lang w:val="fr-BE" w:eastAsia="en-GB"/>
        </w:rPr>
        <w:t>Analyse/évaluation succincte de la résolution et des demandes qu’elle contient:</w:t>
      </w:r>
    </w:p>
    <w:p w:rsidR="00B97F0D" w:rsidRPr="00B97F0D" w:rsidRDefault="00B97F0D" w:rsidP="00B97F0D">
      <w:pPr>
        <w:widowControl w:val="0"/>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t xml:space="preserve">Dans sa résolution, le Parlement européen demande le retrait du projet de décision d’exécution de la Commission </w:t>
      </w:r>
      <w:r w:rsidRPr="00B97F0D">
        <w:rPr>
          <w:rFonts w:eastAsia="Times New Roman" w:cs="Times New Roman"/>
          <w:b/>
          <w:szCs w:val="24"/>
          <w:lang w:val="fr-BE" w:eastAsia="en-GB"/>
        </w:rPr>
        <w:t>(paragraphe 3)</w:t>
      </w:r>
      <w:r w:rsidRPr="00B97F0D">
        <w:rPr>
          <w:rFonts w:eastAsia="Times New Roman" w:cs="Times New Roman"/>
          <w:szCs w:val="24"/>
          <w:lang w:val="fr-BE" w:eastAsia="en-GB"/>
        </w:rPr>
        <w:t xml:space="preserve">, au motif que ce projet de mesure excède les compétences d’exécution prévues dans le règlement (CE) nº 1829/2003 </w:t>
      </w:r>
      <w:r w:rsidRPr="00B97F0D">
        <w:rPr>
          <w:rFonts w:eastAsia="Times New Roman" w:cs="Times New Roman"/>
          <w:b/>
          <w:szCs w:val="24"/>
          <w:lang w:val="fr-BE" w:eastAsia="en-GB"/>
        </w:rPr>
        <w:t>(paragraphe 1)</w:t>
      </w:r>
      <w:r w:rsidRPr="00B97F0D">
        <w:rPr>
          <w:rFonts w:eastAsia="Times New Roman" w:cs="Times New Roman"/>
          <w:szCs w:val="24"/>
          <w:lang w:val="fr-BE" w:eastAsia="en-GB"/>
        </w:rPr>
        <w:t xml:space="preserve"> et qu’il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sidRPr="00B97F0D">
        <w:rPr>
          <w:rFonts w:eastAsia="Times New Roman" w:cs="Times New Roman"/>
          <w:b/>
          <w:szCs w:val="24"/>
          <w:lang w:val="fr-BE" w:eastAsia="en-GB"/>
        </w:rPr>
        <w:t>(paragraphe 2)</w:t>
      </w:r>
      <w:r w:rsidRPr="00B97F0D">
        <w:rPr>
          <w:rFonts w:eastAsia="Times New Roman" w:cs="Times New Roman"/>
          <w:szCs w:val="24"/>
          <w:lang w:val="fr-BE" w:eastAsia="en-GB"/>
        </w:rPr>
        <w:t>.</w:t>
      </w:r>
    </w:p>
    <w:p w:rsidR="00B97F0D" w:rsidRPr="00B97F0D" w:rsidRDefault="00B97F0D" w:rsidP="00B97F0D">
      <w:pPr>
        <w:widowControl w:val="0"/>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t xml:space="preserve">Dans sa résolution, le Parlement se félicite que la Commission reconnaisse que les décisions d’autorisation relatives aux OGM doivent tenir compte de la durabilité </w:t>
      </w:r>
      <w:r w:rsidRPr="00B97F0D">
        <w:rPr>
          <w:rFonts w:eastAsia="Times New Roman" w:cs="Times New Roman"/>
          <w:b/>
          <w:szCs w:val="24"/>
          <w:lang w:val="fr-BE" w:eastAsia="en-GB"/>
        </w:rPr>
        <w:t>(paragraphe 4)</w:t>
      </w:r>
      <w:r w:rsidRPr="00B97F0D">
        <w:rPr>
          <w:rFonts w:eastAsia="Times New Roman" w:cs="Times New Roman"/>
          <w:szCs w:val="24"/>
          <w:lang w:val="fr-BE" w:eastAsia="en-GB"/>
        </w:rPr>
        <w:t xml:space="preserve">. En outre, il invite la Commission à avancer dans l’élaboration de ces critères, en associant pleinement le Parlement, et à fournir des informations sur la manière dont ce processus sera lancé, et dans quel délai </w:t>
      </w:r>
      <w:r w:rsidRPr="00B97F0D">
        <w:rPr>
          <w:rFonts w:eastAsia="Times New Roman" w:cs="Times New Roman"/>
          <w:b/>
          <w:szCs w:val="24"/>
          <w:lang w:val="fr-BE" w:eastAsia="en-GB"/>
        </w:rPr>
        <w:t>(paragraphe 5)</w:t>
      </w:r>
      <w:r w:rsidRPr="00B97F0D">
        <w:rPr>
          <w:rFonts w:eastAsia="Times New Roman" w:cs="Times New Roman"/>
          <w:szCs w:val="24"/>
          <w:lang w:val="fr-BE" w:eastAsia="en-GB"/>
        </w:rPr>
        <w:t>.</w:t>
      </w:r>
    </w:p>
    <w:p w:rsidR="00B97F0D" w:rsidRPr="00B97F0D" w:rsidRDefault="00B97F0D" w:rsidP="00B97F0D">
      <w:pPr>
        <w:widowControl w:val="0"/>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t xml:space="preserve">Le Parlement européen demande instamment à la Commission de tenir compte des obligations qui incombent à l’Union en vertu des objectifs de développement durable, de l’accord de Paris sur le climat et de la convention des Nations unies sur la diversité biologique </w:t>
      </w:r>
      <w:r w:rsidRPr="00B97F0D">
        <w:rPr>
          <w:rFonts w:eastAsia="Times New Roman" w:cs="Times New Roman"/>
          <w:b/>
          <w:szCs w:val="24"/>
          <w:lang w:val="fr-BE" w:eastAsia="en-GB"/>
        </w:rPr>
        <w:t>(paragraphe 6).</w:t>
      </w:r>
    </w:p>
    <w:p w:rsidR="00B97F0D" w:rsidRPr="00B97F0D" w:rsidRDefault="00B97F0D" w:rsidP="00B97F0D">
      <w:pPr>
        <w:widowControl w:val="0"/>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t xml:space="preserve">Il appelle la Commission à cesser d’autoriser les OGM lorsqu’aucun avis n’est émis par les États membres au sein du comité d’appel, conformément au règlement (UE) nº 182/2011 </w:t>
      </w:r>
      <w:r w:rsidRPr="00B97F0D">
        <w:rPr>
          <w:rFonts w:eastAsia="Times New Roman" w:cs="Times New Roman"/>
          <w:b/>
          <w:szCs w:val="24"/>
          <w:lang w:val="fr-BE" w:eastAsia="en-GB"/>
        </w:rPr>
        <w:t>(paragraphe 7)</w:t>
      </w:r>
      <w:r w:rsidRPr="00B97F0D">
        <w:rPr>
          <w:rFonts w:eastAsia="Times New Roman" w:cs="Times New Roman"/>
          <w:szCs w:val="24"/>
          <w:lang w:val="fr-BE" w:eastAsia="en-GB"/>
        </w:rPr>
        <w:t>.</w:t>
      </w:r>
    </w:p>
    <w:p w:rsidR="00B97F0D" w:rsidRPr="00B97F0D" w:rsidRDefault="00B97F0D" w:rsidP="00B97F0D">
      <w:pPr>
        <w:widowControl w:val="0"/>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t>Dans sa résolution, le Parlement demande à l’Autorité européenne de sécurité des aliments (</w:t>
      </w:r>
      <w:proofErr w:type="spellStart"/>
      <w:r w:rsidRPr="00B97F0D">
        <w:rPr>
          <w:rFonts w:eastAsia="Times New Roman" w:cs="Times New Roman"/>
          <w:szCs w:val="24"/>
          <w:lang w:val="fr-BE" w:eastAsia="en-GB"/>
        </w:rPr>
        <w:t>EFSA</w:t>
      </w:r>
      <w:proofErr w:type="spellEnd"/>
      <w:r w:rsidRPr="00B97F0D">
        <w:rPr>
          <w:rFonts w:eastAsia="Times New Roman" w:cs="Times New Roman"/>
          <w:szCs w:val="24"/>
          <w:lang w:val="fr-BE" w:eastAsia="en-GB"/>
        </w:rPr>
        <w:t xml:space="preserve">) de réexaminer certains aspects de son évaluation des risques </w:t>
      </w:r>
      <w:r w:rsidRPr="00B97F0D">
        <w:rPr>
          <w:rFonts w:eastAsia="Times New Roman" w:cs="Times New Roman"/>
          <w:b/>
          <w:szCs w:val="24"/>
          <w:lang w:val="fr-BE" w:eastAsia="en-GB"/>
        </w:rPr>
        <w:t>(paragraphes 8 à 12).</w:t>
      </w:r>
    </w:p>
    <w:p w:rsidR="00B97F0D" w:rsidRPr="00B97F0D" w:rsidRDefault="00B97F0D" w:rsidP="00B97F0D">
      <w:pPr>
        <w:widowControl w:val="0"/>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t xml:space="preserve">Dans les considérants, le Parlement rappelle les observations critiques formulées par les États membres au cours des trois mois de consultation </w:t>
      </w:r>
      <w:r w:rsidRPr="00B97F0D">
        <w:rPr>
          <w:rFonts w:eastAsia="Times New Roman" w:cs="Times New Roman"/>
          <w:b/>
          <w:szCs w:val="24"/>
          <w:lang w:val="fr-BE" w:eastAsia="en-GB"/>
        </w:rPr>
        <w:t>(considérants I et J).</w:t>
      </w:r>
    </w:p>
    <w:p w:rsidR="005703FA" w:rsidRDefault="00B97F0D" w:rsidP="005703FA">
      <w:pPr>
        <w:widowControl w:val="0"/>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t>Dans sa résolution, le Parlement rappelle que le maïs génétiquement modifié (GM) a été conçu pour produire la protéine mCry3A (ou toxine </w:t>
      </w:r>
      <w:proofErr w:type="spellStart"/>
      <w:r w:rsidRPr="00B97F0D">
        <w:rPr>
          <w:rFonts w:eastAsia="Times New Roman" w:cs="Times New Roman"/>
          <w:szCs w:val="24"/>
          <w:lang w:val="fr-BE" w:eastAsia="en-GB"/>
        </w:rPr>
        <w:t>Bt</w:t>
      </w:r>
      <w:proofErr w:type="spellEnd"/>
      <w:r w:rsidRPr="00B97F0D">
        <w:rPr>
          <w:rFonts w:eastAsia="Times New Roman" w:cs="Times New Roman"/>
          <w:szCs w:val="24"/>
          <w:lang w:val="fr-BE" w:eastAsia="en-GB"/>
        </w:rPr>
        <w:t xml:space="preserve">) et pour protéger les cultures contre certains parasites de l’ordre des lépidoptères </w:t>
      </w:r>
      <w:r w:rsidRPr="00B97F0D">
        <w:rPr>
          <w:rFonts w:eastAsia="Times New Roman" w:cs="Times New Roman"/>
          <w:b/>
          <w:szCs w:val="24"/>
          <w:lang w:val="fr-BE" w:eastAsia="en-GB"/>
        </w:rPr>
        <w:t>(considérant F)</w:t>
      </w:r>
      <w:r w:rsidRPr="00B97F0D">
        <w:rPr>
          <w:rFonts w:eastAsia="Times New Roman" w:cs="Times New Roman"/>
          <w:szCs w:val="24"/>
          <w:lang w:val="fr-BE" w:eastAsia="en-GB"/>
        </w:rPr>
        <w:t xml:space="preserve"> et fait référence à la toxicité des protéines </w:t>
      </w:r>
      <w:proofErr w:type="spellStart"/>
      <w:r w:rsidRPr="00B97F0D">
        <w:rPr>
          <w:rFonts w:eastAsia="Times New Roman" w:cs="Times New Roman"/>
          <w:szCs w:val="24"/>
          <w:lang w:val="fr-BE" w:eastAsia="en-GB"/>
        </w:rPr>
        <w:t>Bt</w:t>
      </w:r>
      <w:proofErr w:type="spellEnd"/>
      <w:r w:rsidRPr="00B97F0D">
        <w:rPr>
          <w:rFonts w:eastAsia="Times New Roman" w:cs="Times New Roman"/>
          <w:szCs w:val="24"/>
          <w:lang w:val="fr-BE" w:eastAsia="en-GB"/>
        </w:rPr>
        <w:t xml:space="preserve"> </w:t>
      </w:r>
      <w:r w:rsidRPr="00B97F0D">
        <w:rPr>
          <w:rFonts w:eastAsia="Times New Roman" w:cs="Times New Roman"/>
          <w:b/>
          <w:szCs w:val="24"/>
          <w:lang w:val="fr-BE" w:eastAsia="en-GB"/>
        </w:rPr>
        <w:t>(considérants M à O)</w:t>
      </w:r>
      <w:r w:rsidRPr="00B97F0D">
        <w:rPr>
          <w:rFonts w:eastAsia="Times New Roman" w:cs="Times New Roman"/>
          <w:szCs w:val="24"/>
          <w:lang w:val="fr-BE" w:eastAsia="en-GB"/>
        </w:rPr>
        <w:t xml:space="preserve"> et à leurs propriétés adjuvantes </w:t>
      </w:r>
      <w:r w:rsidRPr="00B97F0D">
        <w:rPr>
          <w:rFonts w:eastAsia="Times New Roman" w:cs="Times New Roman"/>
          <w:b/>
          <w:szCs w:val="24"/>
          <w:lang w:val="fr-BE" w:eastAsia="en-GB"/>
        </w:rPr>
        <w:t>(considérants P et Q)</w:t>
      </w:r>
      <w:r w:rsidRPr="00B97F0D">
        <w:rPr>
          <w:rFonts w:eastAsia="Times New Roman" w:cs="Times New Roman"/>
          <w:szCs w:val="24"/>
          <w:lang w:val="fr-BE" w:eastAsia="en-GB"/>
        </w:rPr>
        <w:t xml:space="preserve">. </w:t>
      </w:r>
      <w:r w:rsidR="005703FA">
        <w:rPr>
          <w:rFonts w:eastAsia="Times New Roman" w:cs="Times New Roman"/>
          <w:szCs w:val="24"/>
          <w:lang w:val="fr-BE" w:eastAsia="en-GB"/>
        </w:rPr>
        <w:br/>
      </w:r>
      <w:r w:rsidR="005703FA">
        <w:rPr>
          <w:rFonts w:eastAsia="Times New Roman" w:cs="Times New Roman"/>
          <w:szCs w:val="24"/>
          <w:lang w:val="fr-BE" w:eastAsia="en-GB"/>
        </w:rPr>
        <w:br w:type="page"/>
      </w:r>
    </w:p>
    <w:p w:rsidR="00B97F0D" w:rsidRPr="00B97F0D" w:rsidRDefault="00B97F0D" w:rsidP="00B97F0D">
      <w:pPr>
        <w:widowControl w:val="0"/>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lastRenderedPageBreak/>
        <w:t xml:space="preserve">Les effets sur les organismes non ciblés et à la résistance accrue sont également mentionnés </w:t>
      </w:r>
      <w:r w:rsidRPr="00B97F0D">
        <w:rPr>
          <w:rFonts w:eastAsia="Times New Roman" w:cs="Times New Roman"/>
          <w:b/>
          <w:szCs w:val="24"/>
          <w:lang w:val="fr-BE" w:eastAsia="en-GB"/>
        </w:rPr>
        <w:t>(considérants R à W)</w:t>
      </w:r>
      <w:r w:rsidRPr="00B97F0D">
        <w:rPr>
          <w:rFonts w:eastAsia="Times New Roman" w:cs="Times New Roman"/>
          <w:szCs w:val="24"/>
          <w:lang w:val="fr-BE" w:eastAsia="en-GB"/>
        </w:rPr>
        <w:t>.</w:t>
      </w:r>
    </w:p>
    <w:p w:rsidR="00B97F0D" w:rsidRPr="00B97F0D" w:rsidRDefault="00B97F0D" w:rsidP="00B97F0D">
      <w:pPr>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t xml:space="preserve">Le Parlement rappelle également les résultats du vote qui a eu lieu au sein du comité permanent </w:t>
      </w:r>
      <w:r w:rsidRPr="00B97F0D">
        <w:rPr>
          <w:rFonts w:eastAsia="Times New Roman" w:cs="Times New Roman"/>
          <w:b/>
          <w:szCs w:val="24"/>
          <w:lang w:val="fr-BE" w:eastAsia="en-GB"/>
        </w:rPr>
        <w:t>(considérant X)</w:t>
      </w:r>
      <w:r w:rsidRPr="00B97F0D">
        <w:rPr>
          <w:rFonts w:eastAsia="Times New Roman" w:cs="Times New Roman"/>
          <w:szCs w:val="24"/>
          <w:lang w:val="fr-BE" w:eastAsia="en-GB"/>
        </w:rPr>
        <w:t>.</w:t>
      </w:r>
      <w:r w:rsidRPr="00B97F0D">
        <w:rPr>
          <w:rFonts w:eastAsia="Times New Roman" w:cs="Times New Roman"/>
          <w:szCs w:val="20"/>
          <w:lang w:val="fr-BE" w:eastAsia="en-GB"/>
        </w:rPr>
        <w:t xml:space="preserve"> En outre, il rappelle que le renvoi des projets de décisions d’autorisation à la Commission pour décision finale, en raison de l’absence de soutien du comité permanent, est devenu la norme dans le processus décisionnel relatif aux autorisations de denrées alimentaires et d’aliments pour animaux génétiquement modifiés, ce qui est problématique </w:t>
      </w:r>
      <w:r w:rsidRPr="00B97F0D">
        <w:rPr>
          <w:rFonts w:eastAsia="Times New Roman" w:cs="Times New Roman"/>
          <w:b/>
          <w:szCs w:val="20"/>
          <w:lang w:val="fr-BE" w:eastAsia="en-GB"/>
        </w:rPr>
        <w:t>(considérant Y)</w:t>
      </w:r>
      <w:r w:rsidRPr="00B97F0D">
        <w:rPr>
          <w:rFonts w:eastAsia="Times New Roman" w:cs="Times New Roman"/>
          <w:szCs w:val="20"/>
          <w:lang w:val="fr-BE" w:eastAsia="en-GB"/>
        </w:rPr>
        <w:t>.</w:t>
      </w:r>
    </w:p>
    <w:p w:rsidR="00B97F0D" w:rsidRPr="00B97F0D" w:rsidRDefault="00B97F0D" w:rsidP="00B97F0D">
      <w:pPr>
        <w:widowControl w:val="0"/>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t xml:space="preserve">Enfin, il rappelle les nombreuses résolutions s’opposant à l’autorisation d’OGM qu’il a adoptées et déclare qu’il n’est pas nécessaire de modifier la législation pour que la Commission puisse refuser d’autoriser des OGM en l’absence d’une majorité qualifiée d’États membres favorables au sein du comité d’appel </w:t>
      </w:r>
      <w:r w:rsidRPr="00B97F0D">
        <w:rPr>
          <w:rFonts w:eastAsia="Times New Roman" w:cs="Times New Roman"/>
          <w:b/>
          <w:szCs w:val="24"/>
          <w:lang w:val="fr-BE" w:eastAsia="en-GB"/>
        </w:rPr>
        <w:t>(considérants Z et AA)</w:t>
      </w:r>
      <w:r w:rsidRPr="00B97F0D">
        <w:rPr>
          <w:rFonts w:eastAsia="Times New Roman" w:cs="Times New Roman"/>
          <w:szCs w:val="24"/>
          <w:lang w:val="fr-BE" w:eastAsia="en-GB"/>
        </w:rPr>
        <w:t>.</w:t>
      </w:r>
    </w:p>
    <w:p w:rsidR="00B97F0D" w:rsidRPr="00B97F0D" w:rsidRDefault="00B97F0D" w:rsidP="00B97F0D">
      <w:pPr>
        <w:widowControl w:val="0"/>
        <w:numPr>
          <w:ilvl w:val="0"/>
          <w:numId w:val="1"/>
        </w:numPr>
        <w:spacing w:after="240" w:line="240" w:lineRule="auto"/>
        <w:jc w:val="both"/>
        <w:rPr>
          <w:rFonts w:eastAsia="Times New Roman" w:cs="Times New Roman"/>
          <w:b/>
          <w:bCs/>
          <w:i/>
          <w:iCs/>
          <w:szCs w:val="24"/>
          <w:lang w:val="fr-BE" w:eastAsia="en-GB"/>
        </w:rPr>
      </w:pPr>
      <w:r w:rsidRPr="00B97F0D">
        <w:rPr>
          <w:rFonts w:eastAsia="Times New Roman" w:cs="Times New Roman"/>
          <w:b/>
          <w:bCs/>
          <w:szCs w:val="24"/>
          <w:lang w:val="fr-BE" w:eastAsia="en-GB"/>
        </w:rPr>
        <w:t>Réponse à ces demandes et aperçu des mesures que la Commission a prises ou envisage de prendre:</w:t>
      </w:r>
    </w:p>
    <w:p w:rsidR="00B97F0D" w:rsidRPr="00B97F0D" w:rsidRDefault="00B97F0D" w:rsidP="00B97F0D">
      <w:pPr>
        <w:widowControl w:val="0"/>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t xml:space="preserve">La Commission tient à rappeler que le projet de décision d’exécution en question renouvelle l’autorisation de </w:t>
      </w:r>
      <w:r w:rsidRPr="00B97F0D">
        <w:rPr>
          <w:rFonts w:eastAsia="Times New Roman" w:cs="Times New Roman"/>
          <w:b/>
          <w:szCs w:val="24"/>
          <w:lang w:val="fr-BE" w:eastAsia="en-GB"/>
        </w:rPr>
        <w:t>mise sur le marché de produits contenant du maïs génétiquement modifié MIR604</w:t>
      </w:r>
      <w:r w:rsidRPr="00B97F0D">
        <w:rPr>
          <w:rFonts w:eastAsia="Times New Roman" w:cs="Times New Roman"/>
          <w:szCs w:val="24"/>
          <w:lang w:val="fr-BE" w:eastAsia="en-GB"/>
        </w:rPr>
        <w:t>,</w:t>
      </w:r>
      <w:r w:rsidRPr="00B97F0D">
        <w:rPr>
          <w:rFonts w:eastAsia="Times New Roman" w:cs="Times New Roman"/>
          <w:b/>
          <w:bCs/>
          <w:szCs w:val="24"/>
          <w:lang w:val="fr-BE" w:eastAsia="en-GB"/>
        </w:rPr>
        <w:t xml:space="preserve"> consistant en ce maïs ou produits à partir de celui-ci</w:t>
      </w:r>
      <w:r w:rsidRPr="00B97F0D">
        <w:rPr>
          <w:rFonts w:eastAsia="Times New Roman" w:cs="Times New Roman"/>
          <w:szCs w:val="24"/>
          <w:lang w:val="fr-BE" w:eastAsia="en-GB"/>
        </w:rPr>
        <w:t>, mais pas la culture de ce maïs.</w:t>
      </w:r>
    </w:p>
    <w:p w:rsidR="00B97F0D" w:rsidRPr="00B97F0D" w:rsidRDefault="00B97F0D" w:rsidP="00B97F0D">
      <w:pPr>
        <w:widowControl w:val="0"/>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t xml:space="preserve">En ce qui concerne les </w:t>
      </w:r>
      <w:r w:rsidRPr="00B97F0D">
        <w:rPr>
          <w:rFonts w:eastAsia="Times New Roman" w:cs="Times New Roman"/>
          <w:b/>
          <w:szCs w:val="24"/>
          <w:lang w:val="fr-BE" w:eastAsia="en-GB"/>
        </w:rPr>
        <w:t>paragraphes 1</w:t>
      </w:r>
      <w:r w:rsidRPr="00B97F0D">
        <w:rPr>
          <w:rFonts w:eastAsia="Times New Roman" w:cs="Times New Roman"/>
          <w:szCs w:val="24"/>
          <w:lang w:val="fr-BE" w:eastAsia="en-GB"/>
        </w:rPr>
        <w:t xml:space="preserve"> à</w:t>
      </w:r>
      <w:r w:rsidRPr="00B97F0D">
        <w:rPr>
          <w:rFonts w:eastAsia="Times New Roman" w:cs="Times New Roman"/>
          <w:b/>
          <w:szCs w:val="24"/>
          <w:lang w:val="fr-BE" w:eastAsia="en-GB"/>
        </w:rPr>
        <w:t> 3</w:t>
      </w:r>
      <w:r w:rsidRPr="00B97F0D">
        <w:rPr>
          <w:rFonts w:eastAsia="Times New Roman" w:cs="Times New Roman"/>
          <w:szCs w:val="24"/>
          <w:lang w:val="fr-BE" w:eastAsia="en-GB"/>
        </w:rPr>
        <w:t xml:space="preserve"> de la résolution, la Commission tient à souligner que le parcours du projet de décision est conforme à la procédure décrite dans le règlement (UE) nº 182/2001 relatif à la comitologie et dans le règlement (CE) nº 1829/2003 concernant les denrées alimentaires et les aliments pour animaux génétiquement modifiés, comme illustré ci-dessous:</w:t>
      </w:r>
    </w:p>
    <w:p w:rsidR="00B97F0D" w:rsidRPr="00B97F0D" w:rsidRDefault="00B97F0D" w:rsidP="005703FA">
      <w:pPr>
        <w:widowControl w:val="0"/>
        <w:numPr>
          <w:ilvl w:val="0"/>
          <w:numId w:val="2"/>
        </w:numPr>
        <w:spacing w:after="120" w:line="240" w:lineRule="auto"/>
        <w:ind w:left="709"/>
        <w:jc w:val="both"/>
        <w:rPr>
          <w:rFonts w:eastAsia="Times New Roman" w:cs="Times New Roman"/>
          <w:szCs w:val="24"/>
          <w:lang w:val="fr-BE" w:eastAsia="en-GB"/>
        </w:rPr>
      </w:pPr>
      <w:r w:rsidRPr="00B97F0D">
        <w:rPr>
          <w:rFonts w:ascii="Courier New" w:eastAsia="Times New Roman" w:hAnsi="Courier New" w:cs="Times New Roman"/>
          <w:szCs w:val="20"/>
          <w:lang w:val="fr-BE" w:eastAsia="en-GB"/>
        </w:rPr>
        <w:t>L</w:t>
      </w:r>
      <w:r w:rsidRPr="00B97F0D">
        <w:rPr>
          <w:rFonts w:eastAsia="Times New Roman" w:cs="Times New Roman"/>
          <w:szCs w:val="24"/>
          <w:lang w:val="fr-BE" w:eastAsia="en-GB"/>
        </w:rPr>
        <w:t xml:space="preserve">e 26 juillet 2018, </w:t>
      </w:r>
      <w:proofErr w:type="spellStart"/>
      <w:r w:rsidRPr="00B97F0D">
        <w:rPr>
          <w:rFonts w:eastAsia="Times New Roman" w:cs="Times New Roman"/>
          <w:szCs w:val="24"/>
          <w:lang w:val="fr-BE" w:eastAsia="en-GB"/>
        </w:rPr>
        <w:t>Syngenta</w:t>
      </w:r>
      <w:proofErr w:type="spellEnd"/>
      <w:r w:rsidRPr="00B97F0D">
        <w:rPr>
          <w:rFonts w:eastAsia="Times New Roman" w:cs="Times New Roman"/>
          <w:szCs w:val="24"/>
          <w:lang w:val="fr-BE" w:eastAsia="en-GB"/>
        </w:rPr>
        <w:t xml:space="preserve"> </w:t>
      </w:r>
      <w:proofErr w:type="spellStart"/>
      <w:r w:rsidRPr="00B97F0D">
        <w:rPr>
          <w:rFonts w:eastAsia="Times New Roman" w:cs="Times New Roman"/>
          <w:szCs w:val="24"/>
          <w:lang w:val="fr-BE" w:eastAsia="en-GB"/>
        </w:rPr>
        <w:t>Crop</w:t>
      </w:r>
      <w:proofErr w:type="spellEnd"/>
      <w:r w:rsidRPr="00B97F0D">
        <w:rPr>
          <w:rFonts w:eastAsia="Times New Roman" w:cs="Times New Roman"/>
          <w:szCs w:val="24"/>
          <w:lang w:val="fr-BE" w:eastAsia="en-GB"/>
        </w:rPr>
        <w:t xml:space="preserve"> Protection AG a introduit une demande auprès de la Commission, conformément aux articles 11 et 23 du règlement (CE) nº 1829/2003, en vue du renouvellement de l’autorisation de mise sur le marché de denrées alimentaires et d’aliments pour animaux contenant du maïs génétiquement modifié MIR604, consistant en ce maïs ou produits à partir de celui-ci.</w:t>
      </w:r>
    </w:p>
    <w:p w:rsidR="00B97F0D" w:rsidRPr="00B97F0D" w:rsidRDefault="00B97F0D" w:rsidP="005703FA">
      <w:pPr>
        <w:widowControl w:val="0"/>
        <w:numPr>
          <w:ilvl w:val="0"/>
          <w:numId w:val="2"/>
        </w:numPr>
        <w:spacing w:after="120" w:line="240" w:lineRule="auto"/>
        <w:ind w:left="709"/>
        <w:jc w:val="both"/>
        <w:rPr>
          <w:rFonts w:eastAsia="Times New Roman" w:cs="Times New Roman"/>
          <w:szCs w:val="24"/>
          <w:lang w:val="fr-BE" w:eastAsia="en-GB"/>
        </w:rPr>
      </w:pPr>
      <w:r w:rsidRPr="00B97F0D">
        <w:rPr>
          <w:rFonts w:eastAsia="Times New Roman" w:cs="Times New Roman"/>
          <w:szCs w:val="24"/>
          <w:lang w:val="fr-BE" w:eastAsia="en-GB"/>
        </w:rPr>
        <w:t>Le 7 novembre 2019, l’</w:t>
      </w:r>
      <w:proofErr w:type="spellStart"/>
      <w:r w:rsidRPr="00B97F0D">
        <w:rPr>
          <w:rFonts w:eastAsia="Times New Roman" w:cs="Times New Roman"/>
          <w:szCs w:val="24"/>
          <w:lang w:val="fr-BE" w:eastAsia="en-GB"/>
        </w:rPr>
        <w:t>EFSA</w:t>
      </w:r>
      <w:proofErr w:type="spellEnd"/>
      <w:r w:rsidRPr="00B97F0D">
        <w:rPr>
          <w:rFonts w:eastAsia="Times New Roman" w:cs="Times New Roman"/>
          <w:szCs w:val="24"/>
          <w:lang w:val="fr-BE" w:eastAsia="en-GB"/>
        </w:rPr>
        <w:t xml:space="preserve"> a rendu un avis favorable conformément aux articles 6 et 8 du règlement (CE) nº 1829/2003. Elle y concluait qu’aucun danger nouveau ou exposition modifiée ni aucune nouvelle incertitude scientifique n’avaient été mis en évidence dans le cadre de la demande de renouvellement qui seraient de nature à modifier les conclusions de l’évaluation des risques initiale relative au maïs MIR604, qu’elle avait adoptée en 2009.</w:t>
      </w:r>
    </w:p>
    <w:p w:rsidR="00B97F0D" w:rsidRPr="00B97F0D" w:rsidRDefault="00B97F0D" w:rsidP="005703FA">
      <w:pPr>
        <w:widowControl w:val="0"/>
        <w:numPr>
          <w:ilvl w:val="0"/>
          <w:numId w:val="2"/>
        </w:numPr>
        <w:spacing w:after="120" w:line="240" w:lineRule="auto"/>
        <w:ind w:left="709"/>
        <w:jc w:val="both"/>
        <w:rPr>
          <w:rFonts w:eastAsia="Times New Roman" w:cs="Times New Roman"/>
          <w:szCs w:val="24"/>
          <w:lang w:val="fr-BE" w:eastAsia="en-GB"/>
        </w:rPr>
      </w:pPr>
      <w:r w:rsidRPr="00B97F0D">
        <w:rPr>
          <w:rFonts w:eastAsia="Times New Roman" w:cs="Times New Roman"/>
          <w:szCs w:val="24"/>
          <w:lang w:val="fr-BE" w:eastAsia="en-GB"/>
        </w:rPr>
        <w:t>Dans son avis, l’</w:t>
      </w:r>
      <w:proofErr w:type="spellStart"/>
      <w:r w:rsidRPr="00B97F0D">
        <w:rPr>
          <w:rFonts w:eastAsia="Times New Roman" w:cs="Times New Roman"/>
          <w:szCs w:val="24"/>
          <w:lang w:val="fr-BE" w:eastAsia="en-GB"/>
        </w:rPr>
        <w:t>EFSA</w:t>
      </w:r>
      <w:proofErr w:type="spellEnd"/>
      <w:r w:rsidRPr="00B97F0D">
        <w:rPr>
          <w:rFonts w:eastAsia="Times New Roman" w:cs="Times New Roman"/>
          <w:szCs w:val="24"/>
          <w:lang w:val="fr-BE" w:eastAsia="en-GB"/>
        </w:rPr>
        <w:t xml:space="preserve"> a pris en considération toutes les questions et préoccupations formulées par les États membres lors de la consultation des autorités nationales compétentes, comme le prévoient l’article 6, paragraphe 4, et l’article 18, paragraphe 4, du règlement (CE) nº 1829/2003.</w:t>
      </w:r>
    </w:p>
    <w:p w:rsidR="00B97F0D" w:rsidRPr="00B97F0D" w:rsidRDefault="00B97F0D" w:rsidP="005703FA">
      <w:pPr>
        <w:widowControl w:val="0"/>
        <w:numPr>
          <w:ilvl w:val="0"/>
          <w:numId w:val="2"/>
        </w:numPr>
        <w:spacing w:after="120" w:line="240" w:lineRule="auto"/>
        <w:ind w:left="709"/>
        <w:jc w:val="both"/>
        <w:rPr>
          <w:rFonts w:eastAsia="Times New Roman" w:cs="Times New Roman"/>
          <w:szCs w:val="24"/>
          <w:lang w:val="fr-BE" w:eastAsia="en-GB"/>
        </w:rPr>
      </w:pPr>
      <w:r w:rsidRPr="00B97F0D">
        <w:rPr>
          <w:rFonts w:eastAsia="Times New Roman" w:cs="Times New Roman"/>
          <w:szCs w:val="24"/>
          <w:lang w:val="fr-BE" w:eastAsia="en-GB"/>
        </w:rPr>
        <w:t>Le projet de décision a été présenté au comité permanent le 7 octobre 2020, où aucune majorité qualifiée ne s’est dégagée pour ou contre la décision au moyen de la procédure écrite le 26 octobre 2020.</w:t>
      </w:r>
    </w:p>
    <w:p w:rsidR="00B97F0D" w:rsidRPr="00B97F0D" w:rsidRDefault="00B97F0D" w:rsidP="005703FA">
      <w:pPr>
        <w:widowControl w:val="0"/>
        <w:numPr>
          <w:ilvl w:val="0"/>
          <w:numId w:val="2"/>
        </w:numPr>
        <w:spacing w:after="120" w:line="240" w:lineRule="auto"/>
        <w:ind w:left="709"/>
        <w:jc w:val="both"/>
        <w:rPr>
          <w:rFonts w:eastAsia="Times New Roman" w:cs="Times New Roman"/>
          <w:szCs w:val="24"/>
          <w:lang w:val="fr-BE" w:eastAsia="en-GB"/>
        </w:rPr>
      </w:pPr>
      <w:r w:rsidRPr="00B97F0D">
        <w:rPr>
          <w:rFonts w:eastAsia="Times New Roman" w:cs="Times New Roman"/>
          <w:szCs w:val="24"/>
          <w:lang w:val="fr-BE" w:eastAsia="en-GB"/>
        </w:rPr>
        <w:t>Conformément aux règles établies dans le règlement (UE) nº 182/2011 relatif à la comitologie, la Commission a proposé le projet de décision au comité d’appel du 3 décembre 2020, où aucune majorité qualifiée ne s’est non plus dégagée pour ou contre la décision lors de la procédure écrite le 11 décembre 2020.</w:t>
      </w:r>
    </w:p>
    <w:p w:rsidR="00B97F0D" w:rsidRPr="00B97F0D" w:rsidRDefault="00B97F0D" w:rsidP="00B97F0D">
      <w:pPr>
        <w:widowControl w:val="0"/>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lastRenderedPageBreak/>
        <w:t>Aussi la Commission considère-t-elle qu’en adoptant une décision pleinement conforme à la procédure fixée par les colégisl</w:t>
      </w:r>
      <w:bookmarkStart w:id="0" w:name="_GoBack"/>
      <w:bookmarkEnd w:id="0"/>
      <w:r w:rsidRPr="00B97F0D">
        <w:rPr>
          <w:rFonts w:eastAsia="Times New Roman" w:cs="Times New Roman"/>
          <w:szCs w:val="24"/>
          <w:lang w:val="fr-BE" w:eastAsia="en-GB"/>
        </w:rPr>
        <w:t>ateurs dans la législation sur les OGM, elle n’excède pas ses compétences d’exécution. Par conséquent, aucun motif ne justifie le retrait du projet de décision concernant le renouvellement de l’autorisation du maïs génétiquement modifié MIR604. En outre, à la suite de l’introduction d’une demande et de la publication de l’avis de l’</w:t>
      </w:r>
      <w:proofErr w:type="spellStart"/>
      <w:r w:rsidRPr="00B97F0D">
        <w:rPr>
          <w:rFonts w:eastAsia="Times New Roman" w:cs="Times New Roman"/>
          <w:szCs w:val="24"/>
          <w:lang w:val="fr-BE" w:eastAsia="en-GB"/>
        </w:rPr>
        <w:t>EFSA</w:t>
      </w:r>
      <w:proofErr w:type="spellEnd"/>
      <w:r w:rsidRPr="00B97F0D">
        <w:rPr>
          <w:rFonts w:eastAsia="Times New Roman" w:cs="Times New Roman"/>
          <w:szCs w:val="24"/>
          <w:lang w:val="fr-BE" w:eastAsia="en-GB"/>
        </w:rPr>
        <w:t xml:space="preserve"> s’y rapportant, l’article 7, paragraphe 3, et l’article 19, paragraphe 3, du règlement (CE) nº 1829/2003 imposent à la Commission d’agir, en l’occurrence d’adopter une décision finale concernant la demande.</w:t>
      </w:r>
    </w:p>
    <w:p w:rsidR="00B97F0D" w:rsidRPr="00B97F0D" w:rsidRDefault="00B97F0D" w:rsidP="00B97F0D">
      <w:pPr>
        <w:widowControl w:val="0"/>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t xml:space="preserve">Pour ce qui est des </w:t>
      </w:r>
      <w:r w:rsidRPr="00B97F0D">
        <w:rPr>
          <w:rFonts w:eastAsia="Times New Roman" w:cs="Times New Roman"/>
          <w:b/>
          <w:szCs w:val="24"/>
          <w:lang w:val="fr-BE" w:eastAsia="en-GB"/>
        </w:rPr>
        <w:t>autres dispositions de la résolution</w:t>
      </w:r>
      <w:r w:rsidRPr="00B97F0D">
        <w:rPr>
          <w:rFonts w:eastAsia="Times New Roman" w:cs="Times New Roman"/>
          <w:szCs w:val="24"/>
          <w:lang w:val="fr-BE" w:eastAsia="en-GB"/>
        </w:rPr>
        <w:t>, la Commission considère qu’elles ne relèvent pas du droit de regard, qui se limite à la question de savoir si le projet d’acte d’exécution excède les compétences d’exécution prévues par l’acte de base. La Commission n’est pas tenue de justifier le projet d’acte d’exécution en ce qui concerne ces points. Elle a néanmoins examiné attentivement les points de vue exprimés par le Parlement européen et souhaite formuler les observations suivantes:</w:t>
      </w:r>
    </w:p>
    <w:p w:rsidR="00B97F0D" w:rsidRPr="00B97F0D" w:rsidRDefault="00B97F0D" w:rsidP="00B97F0D">
      <w:pPr>
        <w:widowControl w:val="0"/>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t xml:space="preserve">S’agissant des </w:t>
      </w:r>
      <w:r w:rsidRPr="00B97F0D">
        <w:rPr>
          <w:rFonts w:eastAsia="Times New Roman" w:cs="Times New Roman"/>
          <w:b/>
          <w:szCs w:val="24"/>
          <w:lang w:val="fr-BE" w:eastAsia="en-GB"/>
        </w:rPr>
        <w:t>paragraphes 4</w:t>
      </w:r>
      <w:r w:rsidRPr="00B97F0D">
        <w:rPr>
          <w:rFonts w:eastAsia="Times New Roman" w:cs="Times New Roman"/>
          <w:szCs w:val="24"/>
          <w:lang w:val="fr-BE" w:eastAsia="en-GB"/>
        </w:rPr>
        <w:t xml:space="preserve"> et </w:t>
      </w:r>
      <w:r w:rsidRPr="00B97F0D">
        <w:rPr>
          <w:rFonts w:eastAsia="Times New Roman" w:cs="Times New Roman"/>
          <w:b/>
          <w:szCs w:val="24"/>
          <w:lang w:val="fr-BE" w:eastAsia="en-GB"/>
        </w:rPr>
        <w:t>5</w:t>
      </w:r>
      <w:r w:rsidRPr="00B97F0D">
        <w:rPr>
          <w:rFonts w:eastAsia="Times New Roman" w:cs="Times New Roman"/>
          <w:szCs w:val="24"/>
          <w:lang w:val="fr-BE" w:eastAsia="en-GB"/>
        </w:rPr>
        <w:t>, tandis que la Commission se penche sur une nouvelle approche en phase avec l’ambition politique exprimée dans le pacte vert pour l’Europe et dans la stratégie «De la ferme à la table», elle continuera à traiter les demandes déjà introduites pour les denrées alimentaires et aliments pour animaux génétiquement modifiés dans le respect des règles existantes et jusqu’à ce qu’une ligne de conduite différente, fondée sur des considérations de durabilité, soit définie.</w:t>
      </w:r>
    </w:p>
    <w:p w:rsidR="00B97F0D" w:rsidRPr="00B97F0D" w:rsidRDefault="00B97F0D" w:rsidP="00B97F0D">
      <w:pPr>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t xml:space="preserve">La Commission est très soucieuse du respect de ses engagements internationaux dans le domaine de l’environnement. Toutefois, elle ne considère pas qu’une décision ponctuelle autorisant la mise sur le marché, comme denrée alimentaire et aliment pour animaux, d’un produit génétiquement modifié donné qui ne présente pas de risques pour la santé ni pour l’environnement dans l’Union constitue un moyen adapté pour réaliser les objectifs fixés par les instruments internationaux mentionnés dans la résolution </w:t>
      </w:r>
      <w:r w:rsidRPr="00B97F0D">
        <w:rPr>
          <w:rFonts w:eastAsia="Times New Roman" w:cs="Times New Roman"/>
          <w:b/>
          <w:szCs w:val="24"/>
          <w:lang w:val="fr-BE" w:eastAsia="en-GB"/>
        </w:rPr>
        <w:t>(paragraphe 6).</w:t>
      </w:r>
      <w:r w:rsidRPr="00B97F0D">
        <w:rPr>
          <w:rFonts w:eastAsia="Times New Roman" w:cs="Times New Roman"/>
          <w:szCs w:val="24"/>
          <w:lang w:val="fr-BE" w:eastAsia="en-GB"/>
        </w:rPr>
        <w:t xml:space="preserve"> Les engagements internationaux pris par l’UE dans le cadre de la convention des Nations unies sur la diversité biologique, du programme de développement durable à l’horizon 2030 et de l’accord de Paris sur le changement climatique relèvent de divers objectifs ayant trait à l’environnement, à l’éducation, à la lutte contre la pauvreté, à l’énergie, à l’innovation et à bien d’autres aspects encore.</w:t>
      </w:r>
    </w:p>
    <w:p w:rsidR="00B97F0D" w:rsidRPr="00B97F0D" w:rsidRDefault="00B97F0D" w:rsidP="00B97F0D">
      <w:pPr>
        <w:widowControl w:val="0"/>
        <w:spacing w:after="120" w:line="240" w:lineRule="auto"/>
        <w:jc w:val="both"/>
        <w:rPr>
          <w:rFonts w:eastAsia="Times New Roman" w:cs="Times New Roman"/>
          <w:szCs w:val="24"/>
          <w:lang w:val="fr-BE" w:eastAsia="en-GB"/>
        </w:rPr>
      </w:pPr>
      <w:r w:rsidRPr="00B97F0D">
        <w:rPr>
          <w:rFonts w:eastAsia="Times New Roman" w:cs="Times New Roman"/>
          <w:szCs w:val="24"/>
          <w:lang w:val="fr-BE" w:eastAsia="en-GB"/>
        </w:rPr>
        <w:t xml:space="preserve">En ce qui concerne les craintes soulevées dans les </w:t>
      </w:r>
      <w:r w:rsidRPr="00B97F0D">
        <w:rPr>
          <w:rFonts w:eastAsia="Times New Roman" w:cs="Times New Roman"/>
          <w:b/>
          <w:szCs w:val="24"/>
          <w:lang w:val="fr-BE" w:eastAsia="en-GB"/>
        </w:rPr>
        <w:t>considérants P</w:t>
      </w:r>
      <w:r w:rsidRPr="00B97F0D">
        <w:rPr>
          <w:rFonts w:eastAsia="Times New Roman" w:cs="Times New Roman"/>
          <w:szCs w:val="24"/>
          <w:lang w:val="fr-BE" w:eastAsia="en-GB"/>
        </w:rPr>
        <w:t xml:space="preserve"> à </w:t>
      </w:r>
      <w:r w:rsidRPr="00B97F0D">
        <w:rPr>
          <w:rFonts w:eastAsia="Times New Roman" w:cs="Times New Roman"/>
          <w:b/>
          <w:szCs w:val="24"/>
          <w:lang w:val="fr-BE" w:eastAsia="en-GB"/>
        </w:rPr>
        <w:t>R</w:t>
      </w:r>
      <w:r w:rsidRPr="00B97F0D">
        <w:rPr>
          <w:rFonts w:eastAsia="Times New Roman" w:cs="Times New Roman"/>
          <w:szCs w:val="24"/>
          <w:lang w:val="fr-BE" w:eastAsia="en-GB"/>
        </w:rPr>
        <w:t>, la Commission souhaite souligner que le groupe scientifique de l’</w:t>
      </w:r>
      <w:proofErr w:type="spellStart"/>
      <w:r w:rsidRPr="00B97F0D">
        <w:rPr>
          <w:rFonts w:eastAsia="Times New Roman" w:cs="Times New Roman"/>
          <w:szCs w:val="24"/>
          <w:lang w:val="fr-BE" w:eastAsia="en-GB"/>
        </w:rPr>
        <w:t>EFSA</w:t>
      </w:r>
      <w:proofErr w:type="spellEnd"/>
      <w:r w:rsidRPr="00B97F0D">
        <w:rPr>
          <w:rFonts w:eastAsia="Times New Roman" w:cs="Times New Roman"/>
          <w:szCs w:val="24"/>
          <w:lang w:val="fr-BE" w:eastAsia="en-GB"/>
        </w:rPr>
        <w:t xml:space="preserve"> sur les OGM a examiné de manière approfondie les propriétés allergéniques et adjuvantes potentielles de protéines Cry en tenant compte de toutes les informations disponibles, y compris de la littérature sur le sujet, et qu’il n’a pas mis en lumière de préoccupations en matière de sécurité.</w:t>
      </w:r>
    </w:p>
    <w:p w:rsidR="00F36993" w:rsidRPr="00B97F0D" w:rsidRDefault="00B97F0D" w:rsidP="00B97F0D">
      <w:pPr>
        <w:widowControl w:val="0"/>
        <w:spacing w:after="120" w:line="240" w:lineRule="auto"/>
        <w:jc w:val="both"/>
        <w:rPr>
          <w:lang w:val="fr-BE"/>
        </w:rPr>
      </w:pPr>
      <w:r w:rsidRPr="00B97F0D">
        <w:rPr>
          <w:rFonts w:eastAsia="Times New Roman" w:cs="Times New Roman"/>
          <w:szCs w:val="24"/>
          <w:lang w:val="fr-BE" w:eastAsia="en-GB"/>
        </w:rPr>
        <w:t xml:space="preserve">Pour ce qui est du manque de soutien des États membres en faveur des décisions sur les autorisations des OGM pour l’alimentation humaine et animale </w:t>
      </w:r>
      <w:r w:rsidRPr="00B97F0D">
        <w:rPr>
          <w:rFonts w:eastAsia="Times New Roman" w:cs="Times New Roman"/>
          <w:b/>
          <w:szCs w:val="24"/>
          <w:lang w:val="fr-BE" w:eastAsia="en-GB"/>
        </w:rPr>
        <w:t>(considérants Y</w:t>
      </w:r>
      <w:r w:rsidRPr="00B97F0D">
        <w:rPr>
          <w:rFonts w:eastAsia="Times New Roman" w:cs="Times New Roman"/>
          <w:szCs w:val="24"/>
          <w:lang w:val="fr-BE" w:eastAsia="en-GB"/>
        </w:rPr>
        <w:t xml:space="preserve"> et</w:t>
      </w:r>
      <w:r w:rsidRPr="00B97F0D">
        <w:rPr>
          <w:rFonts w:eastAsia="Times New Roman" w:cs="Times New Roman"/>
          <w:b/>
          <w:szCs w:val="24"/>
          <w:lang w:val="fr-BE" w:eastAsia="en-GB"/>
        </w:rPr>
        <w:t> Z)</w:t>
      </w:r>
      <w:r w:rsidRPr="00B97F0D">
        <w:rPr>
          <w:rFonts w:eastAsia="Times New Roman" w:cs="Times New Roman"/>
          <w:szCs w:val="24"/>
          <w:lang w:val="fr-BE" w:eastAsia="en-GB"/>
        </w:rPr>
        <w:t>, la Commission a présenté au Parlement européen et au Conseil, le 14 février 2017, une proposition de règlement modifiant le règlement (UE) nº 182/2011 visant à modifier les règles de vote du comité d’appel qui, si elle était adoptée par les colégislateurs, renforcerait la transparence et la responsabilité dans le processus décisionnel relatif aux OGM. La Commission souhaite également rappeler qu’elle regrette la décision du 28 octobre 2015 par laquelle le Parlement a rejeté la proposition du 22 avril 2015 modifiant le règlement (CE) nº 1829/2003, proposition qui, si elle était adoptée, permettrait aux États membres de tenir compte, au niveau national, de considérations qui ne sont pas couvertes par le processus de prise de décision de l’UE.</w:t>
      </w:r>
    </w:p>
    <w:sectPr w:rsidR="00F36993" w:rsidRPr="00B97F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58CB"/>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64AE25B7"/>
    <w:multiLevelType w:val="hybridMultilevel"/>
    <w:tmpl w:val="6C8C9DC6"/>
    <w:lvl w:ilvl="0" w:tplc="B86A4F24">
      <w:numFmt w:val="bullet"/>
      <w:lvlText w:val="-"/>
      <w:lvlJc w:val="left"/>
      <w:pPr>
        <w:ind w:left="1080" w:hanging="36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0D"/>
    <w:rsid w:val="005703FA"/>
    <w:rsid w:val="0065281F"/>
    <w:rsid w:val="00B97F0D"/>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3560"/>
  <w15:chartTrackingRefBased/>
  <w15:docId w15:val="{CF429F31-E2F3-425E-B4E1-C30F6257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1545</Words>
  <Characters>8686</Characters>
  <Application>Microsoft Office Word</Application>
  <DocSecurity>0</DocSecurity>
  <Lines>125</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2</cp:revision>
  <dcterms:created xsi:type="dcterms:W3CDTF">2021-06-16T13:03:00Z</dcterms:created>
  <dcterms:modified xsi:type="dcterms:W3CDTF">2021-06-16T13:05:00Z</dcterms:modified>
</cp:coreProperties>
</file>