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7A" w:rsidRPr="00BD607A" w:rsidRDefault="00BD607A" w:rsidP="00BD607A">
      <w:pPr>
        <w:spacing w:after="600" w:line="240" w:lineRule="auto"/>
        <w:jc w:val="center"/>
        <w:rPr>
          <w:rFonts w:eastAsia="Times New Roman" w:cs="Times New Roman"/>
          <w:b/>
          <w:bCs/>
          <w:szCs w:val="24"/>
          <w:lang w:val="fr-BE" w:eastAsia="en-GB"/>
        </w:rPr>
      </w:pPr>
      <w:r w:rsidRPr="00BD607A">
        <w:rPr>
          <w:rFonts w:eastAsia="Times New Roman" w:cs="Times New Roman"/>
          <w:b/>
          <w:bCs/>
          <w:szCs w:val="24"/>
          <w:lang w:val="fr-BE" w:eastAsia="en-GB"/>
        </w:rPr>
        <w:t>Suite donnée à la</w:t>
      </w:r>
      <w:r w:rsidRPr="00BD607A">
        <w:rPr>
          <w:rFonts w:eastAsia="Times New Roman" w:cs="Times New Roman"/>
          <w:b/>
          <w:szCs w:val="24"/>
          <w:lang w:val="fr-BE" w:eastAsia="en-GB"/>
        </w:rPr>
        <w:t xml:space="preserve"> résolution non législative du Parlement européen </w:t>
      </w:r>
      <w:r w:rsidRPr="00BD607A">
        <w:rPr>
          <w:rFonts w:eastAsia="Times New Roman" w:cs="Times New Roman"/>
          <w:b/>
          <w:szCs w:val="24"/>
          <w:shd w:val="clear" w:color="auto" w:fill="FFFFFF"/>
          <w:lang w:val="fr-BE" w:eastAsia="en-GB"/>
        </w:rPr>
        <w:t xml:space="preserve">sur le projet de décision d’exécution de la Commission renouvelant l’autorisation de mise sur le marché de produits contenant du maïs génétiquement modifié MON 89034 (MON-89Ø34-3), consistant en ce maïs ou produits à partir de celui-ci, en application du règlement (CE) nº 1829/2003 </w:t>
      </w:r>
      <w:bookmarkStart w:id="0" w:name="P57"/>
      <w:bookmarkEnd w:id="0"/>
      <w:r w:rsidRPr="00BD607A">
        <w:rPr>
          <w:rFonts w:eastAsia="Times New Roman" w:cs="Times New Roman"/>
          <w:b/>
          <w:szCs w:val="24"/>
          <w:shd w:val="clear" w:color="auto" w:fill="FFFFFF"/>
          <w:lang w:val="fr-BE" w:eastAsia="en-GB"/>
        </w:rPr>
        <w:t>du Parlement européen et du Conseil</w:t>
      </w:r>
    </w:p>
    <w:p w:rsidR="00BD607A" w:rsidRPr="00BD607A" w:rsidRDefault="00BD607A" w:rsidP="00BD607A">
      <w:pPr>
        <w:numPr>
          <w:ilvl w:val="0"/>
          <w:numId w:val="2"/>
        </w:numPr>
        <w:spacing w:after="240" w:line="240" w:lineRule="auto"/>
        <w:jc w:val="both"/>
        <w:rPr>
          <w:rFonts w:eastAsia="Times New Roman" w:cs="Times New Roman"/>
          <w:b/>
          <w:bCs/>
          <w:szCs w:val="24"/>
          <w:lang w:val="fr-BE" w:eastAsia="en-GB"/>
        </w:rPr>
      </w:pPr>
      <w:r w:rsidRPr="00BD607A">
        <w:rPr>
          <w:rFonts w:eastAsia="Times New Roman" w:cs="Times New Roman"/>
          <w:b/>
          <w:bCs/>
          <w:szCs w:val="24"/>
          <w:lang w:val="fr-BE" w:eastAsia="en-GB"/>
        </w:rPr>
        <w:t>Résolution présentée conformément à l’article 112, paragraphe 2, du règlement du Parlement européen</w:t>
      </w:r>
    </w:p>
    <w:p w:rsidR="00BD607A" w:rsidRPr="00BD607A" w:rsidRDefault="00BD607A" w:rsidP="00BD607A">
      <w:pPr>
        <w:numPr>
          <w:ilvl w:val="0"/>
          <w:numId w:val="2"/>
        </w:numPr>
        <w:spacing w:after="240" w:line="240" w:lineRule="auto"/>
        <w:jc w:val="both"/>
        <w:rPr>
          <w:rFonts w:eastAsia="Times New Roman" w:cs="Times New Roman"/>
          <w:i/>
          <w:iCs/>
          <w:szCs w:val="24"/>
          <w:lang w:val="fr-BE" w:eastAsia="en-GB"/>
        </w:rPr>
      </w:pPr>
      <w:r w:rsidRPr="00BD607A">
        <w:rPr>
          <w:rFonts w:eastAsia="Times New Roman" w:cs="Times New Roman"/>
          <w:b/>
          <w:bCs/>
          <w:szCs w:val="24"/>
          <w:lang w:val="fr-BE" w:eastAsia="en-GB"/>
        </w:rPr>
        <w:t xml:space="preserve">Numéros de référence: </w:t>
      </w:r>
      <w:r w:rsidRPr="00BD607A">
        <w:rPr>
          <w:rFonts w:eastAsia="Times New Roman" w:cs="Times New Roman"/>
          <w:szCs w:val="24"/>
          <w:lang w:val="fr-BE" w:eastAsia="en-GB"/>
        </w:rPr>
        <w:t>2020/2895 (RSP) / B9-0416/2020 / P9_TA-</w:t>
      </w:r>
      <w:proofErr w:type="gramStart"/>
      <w:r w:rsidRPr="00BD607A">
        <w:rPr>
          <w:rFonts w:eastAsia="Times New Roman" w:cs="Times New Roman"/>
          <w:szCs w:val="24"/>
          <w:lang w:val="fr-BE" w:eastAsia="en-GB"/>
        </w:rPr>
        <w:t>PROV(</w:t>
      </w:r>
      <w:proofErr w:type="gramEnd"/>
      <w:r w:rsidRPr="00BD607A">
        <w:rPr>
          <w:rFonts w:eastAsia="Times New Roman" w:cs="Times New Roman"/>
          <w:szCs w:val="24"/>
          <w:lang w:val="fr-BE" w:eastAsia="en-GB"/>
        </w:rPr>
        <w:t>2020)0369</w:t>
      </w:r>
    </w:p>
    <w:p w:rsidR="00BD607A" w:rsidRPr="00BD607A" w:rsidRDefault="00BD607A" w:rsidP="00BD607A">
      <w:pPr>
        <w:numPr>
          <w:ilvl w:val="0"/>
          <w:numId w:val="2"/>
        </w:numPr>
        <w:spacing w:after="240" w:line="240" w:lineRule="auto"/>
        <w:jc w:val="both"/>
        <w:rPr>
          <w:rFonts w:eastAsia="Times New Roman" w:cs="Times New Roman"/>
          <w:szCs w:val="24"/>
          <w:lang w:val="fr-BE" w:eastAsia="en-GB"/>
        </w:rPr>
      </w:pPr>
      <w:r w:rsidRPr="00BD607A">
        <w:rPr>
          <w:rFonts w:eastAsia="Times New Roman" w:cs="Times New Roman"/>
          <w:b/>
          <w:bCs/>
          <w:szCs w:val="24"/>
          <w:lang w:val="fr-BE" w:eastAsia="en-GB"/>
        </w:rPr>
        <w:t xml:space="preserve">Date d’adoption de la résolution: </w:t>
      </w:r>
      <w:r w:rsidRPr="00BD607A">
        <w:rPr>
          <w:rFonts w:eastAsia="Times New Roman" w:cs="Times New Roman"/>
          <w:szCs w:val="24"/>
          <w:lang w:val="fr-BE" w:eastAsia="en-GB"/>
        </w:rPr>
        <w:t>17 décembre 2020</w:t>
      </w:r>
    </w:p>
    <w:p w:rsidR="00BD607A" w:rsidRPr="00BD607A" w:rsidRDefault="00BD607A" w:rsidP="00BD607A">
      <w:pPr>
        <w:numPr>
          <w:ilvl w:val="0"/>
          <w:numId w:val="2"/>
        </w:numPr>
        <w:spacing w:after="240" w:line="240" w:lineRule="auto"/>
        <w:jc w:val="both"/>
        <w:rPr>
          <w:rFonts w:eastAsia="Times New Roman" w:cs="Times New Roman"/>
          <w:i/>
          <w:iCs/>
          <w:szCs w:val="24"/>
          <w:lang w:val="fr-BE" w:eastAsia="en-GB"/>
        </w:rPr>
      </w:pPr>
      <w:r w:rsidRPr="00BD607A">
        <w:rPr>
          <w:rFonts w:eastAsia="Times New Roman" w:cs="Times New Roman"/>
          <w:b/>
          <w:bCs/>
          <w:szCs w:val="24"/>
          <w:lang w:val="fr-BE" w:eastAsia="en-GB"/>
        </w:rPr>
        <w:t xml:space="preserve">Commission parlementaire compétente: </w:t>
      </w:r>
      <w:r w:rsidRPr="00BD607A">
        <w:rPr>
          <w:rFonts w:eastAsia="Times New Roman" w:cs="Times New Roman"/>
          <w:szCs w:val="24"/>
          <w:lang w:val="fr-BE" w:eastAsia="en-GB"/>
        </w:rPr>
        <w:t>commission de</w:t>
      </w:r>
      <w:r w:rsidRPr="00BD607A">
        <w:rPr>
          <w:rFonts w:ascii="inherit" w:eastAsia="Times New Roman" w:hAnsi="inherit" w:cs="Times New Roman"/>
          <w:szCs w:val="20"/>
          <w:bdr w:val="none" w:sz="0" w:space="0" w:color="auto" w:frame="1"/>
          <w:lang w:val="fr-BE" w:eastAsia="en-GB"/>
        </w:rPr>
        <w:t xml:space="preserve"> l’environnement, de la santé publique et de la sécurité alimentaire (ENVI)</w:t>
      </w:r>
    </w:p>
    <w:p w:rsidR="00BD607A" w:rsidRPr="00BD607A" w:rsidRDefault="00BD607A" w:rsidP="00BD607A">
      <w:pPr>
        <w:widowControl w:val="0"/>
        <w:numPr>
          <w:ilvl w:val="0"/>
          <w:numId w:val="2"/>
        </w:numPr>
        <w:spacing w:after="240" w:line="240" w:lineRule="auto"/>
        <w:jc w:val="both"/>
        <w:rPr>
          <w:rFonts w:eastAsia="Times New Roman" w:cs="Times New Roman"/>
          <w:szCs w:val="24"/>
          <w:lang w:val="fr-BE" w:eastAsia="en-GB"/>
        </w:rPr>
      </w:pPr>
      <w:r w:rsidRPr="00BD607A">
        <w:rPr>
          <w:rFonts w:eastAsia="Times New Roman" w:cs="Times New Roman"/>
          <w:b/>
          <w:bCs/>
          <w:szCs w:val="24"/>
          <w:lang w:val="fr-BE" w:eastAsia="en-GB"/>
        </w:rPr>
        <w:t>Analyse/évaluation succincte de la résolution et des demandes qu’elle contient:</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Dans sa résolution, le Parlement européen demande le retrait du projet de décision d’exécution de la Commission </w:t>
      </w:r>
      <w:r w:rsidRPr="00BD607A">
        <w:rPr>
          <w:rFonts w:eastAsia="Times New Roman" w:cs="Times New Roman"/>
          <w:b/>
          <w:szCs w:val="24"/>
          <w:lang w:val="fr-BE" w:eastAsia="en-GB"/>
        </w:rPr>
        <w:t>(paragraphe 3)</w:t>
      </w:r>
      <w:r w:rsidRPr="00BD607A">
        <w:rPr>
          <w:rFonts w:eastAsia="Times New Roman" w:cs="Times New Roman"/>
          <w:szCs w:val="24"/>
          <w:lang w:val="fr-BE" w:eastAsia="en-GB"/>
        </w:rPr>
        <w:t xml:space="preserve">, au motif que ce projet de mesure excède les compétences d’exécution prévues dans le règlement (CE) nº 1829/2003 </w:t>
      </w:r>
      <w:r w:rsidRPr="00BD607A">
        <w:rPr>
          <w:rFonts w:eastAsia="Times New Roman" w:cs="Times New Roman"/>
          <w:b/>
          <w:szCs w:val="24"/>
          <w:lang w:val="fr-BE" w:eastAsia="en-GB"/>
        </w:rPr>
        <w:t>(paragraphe 1)</w:t>
      </w:r>
      <w:r w:rsidRPr="00BD607A">
        <w:rPr>
          <w:rFonts w:eastAsia="Times New Roman" w:cs="Times New Roman"/>
          <w:szCs w:val="24"/>
          <w:lang w:val="fr-BE" w:eastAsia="en-GB"/>
        </w:rPr>
        <w:t xml:space="preserve">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BD607A">
        <w:rPr>
          <w:rFonts w:eastAsia="Times New Roman" w:cs="Times New Roman"/>
          <w:b/>
          <w:szCs w:val="24"/>
          <w:lang w:val="fr-BE" w:eastAsia="en-GB"/>
        </w:rPr>
        <w:t>(paragraphe 2)</w:t>
      </w:r>
      <w:r w:rsidRPr="00BD607A">
        <w:rPr>
          <w:rFonts w:eastAsia="Times New Roman" w:cs="Times New Roman"/>
          <w:szCs w:val="24"/>
          <w:lang w:val="fr-BE" w:eastAsia="en-GB"/>
        </w:rPr>
        <w:t>.</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Dans sa résolution, le Parlement se félicite que la Commission reconnaisse que les décisions d’autorisation relatives aux OGM doivent tenir compte de la durabilité </w:t>
      </w:r>
      <w:r w:rsidRPr="00BD607A">
        <w:rPr>
          <w:rFonts w:eastAsia="Times New Roman" w:cs="Times New Roman"/>
          <w:b/>
          <w:szCs w:val="24"/>
          <w:lang w:val="fr-BE" w:eastAsia="en-GB"/>
        </w:rPr>
        <w:t>(paragraphe 4)</w:t>
      </w:r>
      <w:r w:rsidRPr="00BD607A">
        <w:rPr>
          <w:rFonts w:eastAsia="Times New Roman" w:cs="Times New Roman"/>
          <w:szCs w:val="24"/>
          <w:lang w:val="fr-BE" w:eastAsia="en-GB"/>
        </w:rPr>
        <w:t xml:space="preserve">. En outre, il invite la Commission à avancer dans l’élaboration de ces critères, en associant pleinement le Parlement, et à fournir des informations sur la manière dont ce processus sera lancé, et dans quel délai </w:t>
      </w:r>
      <w:r w:rsidRPr="00BD607A">
        <w:rPr>
          <w:rFonts w:eastAsia="Times New Roman" w:cs="Times New Roman"/>
          <w:b/>
          <w:szCs w:val="24"/>
          <w:lang w:val="fr-BE" w:eastAsia="en-GB"/>
        </w:rPr>
        <w:t>(paragraphe 5)</w:t>
      </w:r>
      <w:r w:rsidRPr="00BD607A">
        <w:rPr>
          <w:rFonts w:eastAsia="Times New Roman" w:cs="Times New Roman"/>
          <w:szCs w:val="24"/>
          <w:lang w:val="fr-BE" w:eastAsia="en-GB"/>
        </w:rPr>
        <w:t>.</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Le Parlement européen demande instamment à la Commission de tenir compte des obligations qui incombent à l’Union en vertu des objectifs de développement durable, de l’accord de Paris sur le climat et de la convention des Nations unies sur la diversité biologique </w:t>
      </w:r>
      <w:r w:rsidRPr="00BD607A">
        <w:rPr>
          <w:rFonts w:eastAsia="Times New Roman" w:cs="Times New Roman"/>
          <w:b/>
          <w:szCs w:val="24"/>
          <w:lang w:val="fr-BE" w:eastAsia="en-GB"/>
        </w:rPr>
        <w:t>(paragraphe 6).</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Il appelle la Commission à cesser d’autoriser les OGM lorsqu’aucun avis n’est émis par les États membres au sein du comité d’appel, conformément au règlement (UE) nº 182/2011 </w:t>
      </w:r>
      <w:r w:rsidRPr="00BD607A">
        <w:rPr>
          <w:rFonts w:eastAsia="Times New Roman" w:cs="Times New Roman"/>
          <w:b/>
          <w:szCs w:val="24"/>
          <w:lang w:val="fr-BE" w:eastAsia="en-GB"/>
        </w:rPr>
        <w:t>(paragraphe 7)</w:t>
      </w:r>
      <w:r w:rsidRPr="00BD607A">
        <w:rPr>
          <w:rFonts w:eastAsia="Times New Roman" w:cs="Times New Roman"/>
          <w:szCs w:val="24"/>
          <w:lang w:val="fr-BE" w:eastAsia="en-GB"/>
        </w:rPr>
        <w:t>.</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Dans sa résolution, le Parlement demande à l’Autorité européenne de sécurité des aliments (</w:t>
      </w:r>
      <w:proofErr w:type="spellStart"/>
      <w:r w:rsidRPr="00BD607A">
        <w:rPr>
          <w:rFonts w:eastAsia="Times New Roman" w:cs="Times New Roman"/>
          <w:szCs w:val="24"/>
          <w:lang w:val="fr-BE" w:eastAsia="en-GB"/>
        </w:rPr>
        <w:t>EFSA</w:t>
      </w:r>
      <w:proofErr w:type="spellEnd"/>
      <w:r w:rsidRPr="00BD607A">
        <w:rPr>
          <w:rFonts w:eastAsia="Times New Roman" w:cs="Times New Roman"/>
          <w:szCs w:val="24"/>
          <w:lang w:val="fr-BE" w:eastAsia="en-GB"/>
        </w:rPr>
        <w:t>) de réexaminer certains aspects de son évaluation des risques (</w:t>
      </w:r>
      <w:r w:rsidRPr="00BD607A">
        <w:rPr>
          <w:rFonts w:eastAsia="Times New Roman" w:cs="Times New Roman"/>
          <w:b/>
          <w:szCs w:val="24"/>
          <w:lang w:val="fr-BE" w:eastAsia="en-GB"/>
        </w:rPr>
        <w:t>paragraphes 8</w:t>
      </w:r>
      <w:r w:rsidRPr="00BD607A">
        <w:rPr>
          <w:rFonts w:eastAsia="Times New Roman" w:cs="Times New Roman"/>
          <w:szCs w:val="24"/>
          <w:lang w:val="fr-BE" w:eastAsia="en-GB"/>
        </w:rPr>
        <w:t xml:space="preserve"> </w:t>
      </w:r>
      <w:r w:rsidRPr="00BD607A">
        <w:rPr>
          <w:rFonts w:eastAsia="Times New Roman" w:cs="Times New Roman"/>
          <w:b/>
          <w:szCs w:val="24"/>
          <w:lang w:val="fr-BE" w:eastAsia="en-GB"/>
        </w:rPr>
        <w:t>à 12)</w:t>
      </w:r>
      <w:r w:rsidRPr="00BD607A">
        <w:rPr>
          <w:rFonts w:eastAsia="Times New Roman" w:cs="Times New Roman"/>
          <w:szCs w:val="24"/>
          <w:lang w:val="fr-BE" w:eastAsia="en-GB"/>
        </w:rPr>
        <w:t>.</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Dans sa résolution, le Parlement rappelle que le maïs génétiquement modifié produit les protéines Cry1A.105 et Cry2Ab2, ou toxines </w:t>
      </w:r>
      <w:proofErr w:type="spellStart"/>
      <w:r w:rsidRPr="00BD607A">
        <w:rPr>
          <w:rFonts w:eastAsia="Times New Roman" w:cs="Times New Roman"/>
          <w:szCs w:val="24"/>
          <w:lang w:val="fr-BE" w:eastAsia="en-GB"/>
        </w:rPr>
        <w:t>Bt</w:t>
      </w:r>
      <w:proofErr w:type="spellEnd"/>
      <w:r w:rsidRPr="00BD607A">
        <w:rPr>
          <w:rFonts w:eastAsia="Times New Roman" w:cs="Times New Roman"/>
          <w:szCs w:val="24"/>
          <w:lang w:val="fr-BE" w:eastAsia="en-GB"/>
        </w:rPr>
        <w:t xml:space="preserve">, destinées à protéger les cultures contre certains parasites de l’ordre des lépidoptères </w:t>
      </w:r>
      <w:r w:rsidRPr="00BD607A">
        <w:rPr>
          <w:rFonts w:eastAsia="Times New Roman" w:cs="Times New Roman"/>
          <w:b/>
          <w:szCs w:val="24"/>
          <w:lang w:val="fr-BE" w:eastAsia="en-GB"/>
        </w:rPr>
        <w:t>(considérant E)</w:t>
      </w:r>
      <w:r w:rsidRPr="00BD607A">
        <w:rPr>
          <w:rFonts w:eastAsia="Times New Roman" w:cs="Times New Roman"/>
          <w:szCs w:val="24"/>
          <w:lang w:val="fr-BE" w:eastAsia="en-GB"/>
        </w:rPr>
        <w:t xml:space="preserve">. Dans les considérants, le Parlement rappelle les observations critiques formulées par les États membres au cours de la consultation </w:t>
      </w:r>
      <w:r w:rsidRPr="00BD607A">
        <w:rPr>
          <w:rFonts w:eastAsia="Times New Roman" w:cs="Times New Roman"/>
          <w:b/>
          <w:szCs w:val="24"/>
          <w:lang w:val="fr-BE" w:eastAsia="en-GB"/>
        </w:rPr>
        <w:t>(considérants G et H)</w:t>
      </w:r>
      <w:r w:rsidRPr="00BD607A">
        <w:rPr>
          <w:rFonts w:eastAsia="Times New Roman" w:cs="Times New Roman"/>
          <w:szCs w:val="24"/>
          <w:lang w:val="fr-BE" w:eastAsia="en-GB"/>
        </w:rPr>
        <w:t>. Il fait en outre référence à la toxicité des protéines </w:t>
      </w:r>
      <w:proofErr w:type="spellStart"/>
      <w:r w:rsidRPr="00BD607A">
        <w:rPr>
          <w:rFonts w:eastAsia="Times New Roman" w:cs="Times New Roman"/>
          <w:szCs w:val="24"/>
          <w:lang w:val="fr-BE" w:eastAsia="en-GB"/>
        </w:rPr>
        <w:t>Bt</w:t>
      </w:r>
      <w:proofErr w:type="spellEnd"/>
      <w:r w:rsidRPr="00BD607A">
        <w:rPr>
          <w:rFonts w:eastAsia="Times New Roman" w:cs="Times New Roman"/>
          <w:szCs w:val="24"/>
          <w:lang w:val="fr-BE" w:eastAsia="en-GB"/>
        </w:rPr>
        <w:t xml:space="preserve"> </w:t>
      </w:r>
      <w:r w:rsidRPr="00BD607A">
        <w:rPr>
          <w:rFonts w:eastAsia="Times New Roman" w:cs="Times New Roman"/>
          <w:b/>
          <w:szCs w:val="24"/>
          <w:lang w:val="fr-BE" w:eastAsia="en-GB"/>
        </w:rPr>
        <w:t>(considérants I à M</w:t>
      </w:r>
      <w:r w:rsidRPr="00BD607A">
        <w:rPr>
          <w:rFonts w:eastAsia="Times New Roman" w:cs="Times New Roman"/>
          <w:szCs w:val="24"/>
          <w:lang w:val="fr-BE" w:eastAsia="en-GB"/>
        </w:rPr>
        <w:t xml:space="preserve">) et à leurs propriétés adjuvantes </w:t>
      </w:r>
      <w:r w:rsidRPr="00BD607A">
        <w:rPr>
          <w:rFonts w:eastAsia="Times New Roman" w:cs="Times New Roman"/>
          <w:b/>
          <w:szCs w:val="24"/>
          <w:lang w:val="fr-BE" w:eastAsia="en-GB"/>
        </w:rPr>
        <w:t>(considérants N à O)</w:t>
      </w:r>
      <w:r w:rsidRPr="00BD607A">
        <w:rPr>
          <w:rFonts w:eastAsia="Times New Roman" w:cs="Times New Roman"/>
          <w:szCs w:val="24"/>
          <w:lang w:val="fr-BE" w:eastAsia="en-GB"/>
        </w:rPr>
        <w:t xml:space="preserve">. Les effets sur les organismes non ciblés et à la résistance accrue sont également mentionnés </w:t>
      </w:r>
      <w:r w:rsidRPr="00BD607A">
        <w:rPr>
          <w:rFonts w:eastAsia="Times New Roman" w:cs="Times New Roman"/>
          <w:b/>
          <w:szCs w:val="24"/>
          <w:lang w:val="fr-BE" w:eastAsia="en-GB"/>
        </w:rPr>
        <w:t xml:space="preserve">(considérants P </w:t>
      </w:r>
      <w:r w:rsidRPr="00BD607A">
        <w:rPr>
          <w:rFonts w:eastAsia="Times New Roman" w:cs="Times New Roman"/>
          <w:b/>
          <w:szCs w:val="24"/>
          <w:lang w:val="fr-BE" w:eastAsia="en-GB"/>
        </w:rPr>
        <w:lastRenderedPageBreak/>
        <w:t>à W)</w:t>
      </w:r>
      <w:r w:rsidRPr="00BD607A">
        <w:rPr>
          <w:rFonts w:eastAsia="Times New Roman" w:cs="Times New Roman"/>
          <w:szCs w:val="24"/>
          <w:lang w:val="fr-BE" w:eastAsia="en-GB"/>
        </w:rPr>
        <w:t xml:space="preserve">, tout comme l’examen de la littérature mis en œuvre par les demandeurs </w:t>
      </w:r>
      <w:r w:rsidRPr="00BD607A">
        <w:rPr>
          <w:rFonts w:eastAsia="Times New Roman" w:cs="Times New Roman"/>
          <w:b/>
          <w:szCs w:val="24"/>
          <w:lang w:val="fr-BE" w:eastAsia="en-GB"/>
        </w:rPr>
        <w:t>(considérant X)</w:t>
      </w:r>
      <w:r w:rsidRPr="00BD607A">
        <w:rPr>
          <w:rFonts w:eastAsia="Times New Roman" w:cs="Times New Roman"/>
          <w:szCs w:val="24"/>
          <w:lang w:val="fr-BE" w:eastAsia="en-GB"/>
        </w:rPr>
        <w:t xml:space="preserve">. Le Parlement rappelle les résultats du vote qui a eu lieu au sein du comité permanent, mais aussi que les décisions relatives à l’autorisation d’OGM sont adoptées sans qu’une majorité qualifiée d’États membres y soit favorable </w:t>
      </w:r>
      <w:r w:rsidRPr="00BD607A">
        <w:rPr>
          <w:rFonts w:eastAsia="Times New Roman" w:cs="Times New Roman"/>
          <w:b/>
          <w:szCs w:val="24"/>
          <w:lang w:val="fr-BE" w:eastAsia="en-GB"/>
        </w:rPr>
        <w:t>(considérant Y)</w:t>
      </w:r>
      <w:r w:rsidRPr="00BD607A">
        <w:rPr>
          <w:rFonts w:eastAsia="Times New Roman" w:cs="Times New Roman"/>
          <w:szCs w:val="24"/>
          <w:lang w:val="fr-BE" w:eastAsia="en-GB"/>
        </w:rPr>
        <w:t>.</w:t>
      </w:r>
      <w:r w:rsidRPr="00BD607A">
        <w:rPr>
          <w:rFonts w:eastAsia="Times New Roman" w:cs="Times New Roman"/>
          <w:b/>
          <w:szCs w:val="24"/>
          <w:lang w:val="fr-BE" w:eastAsia="en-GB"/>
        </w:rPr>
        <w:t xml:space="preserve"> </w:t>
      </w:r>
      <w:r w:rsidRPr="00BD607A">
        <w:rPr>
          <w:rFonts w:eastAsia="Times New Roman" w:cs="Times New Roman"/>
          <w:szCs w:val="20"/>
          <w:lang w:val="fr-BE" w:eastAsia="en-GB"/>
        </w:rPr>
        <w:t xml:space="preserve">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est problématique </w:t>
      </w:r>
      <w:r w:rsidRPr="00BD607A">
        <w:rPr>
          <w:rFonts w:eastAsia="Times New Roman" w:cs="Times New Roman"/>
          <w:b/>
          <w:szCs w:val="24"/>
          <w:lang w:val="fr-BE" w:eastAsia="en-GB"/>
        </w:rPr>
        <w:t>(considérant Z)</w:t>
      </w:r>
      <w:r w:rsidRPr="00BD607A">
        <w:rPr>
          <w:rFonts w:eastAsia="Times New Roman" w:cs="Times New Roman"/>
          <w:szCs w:val="20"/>
          <w:lang w:val="fr-BE" w:eastAsia="en-GB"/>
        </w:rPr>
        <w:t>.</w:t>
      </w:r>
      <w:r w:rsidRPr="00BD607A">
        <w:rPr>
          <w:rFonts w:eastAsia="Times New Roman" w:cs="Times New Roman"/>
          <w:szCs w:val="24"/>
          <w:lang w:val="fr-BE" w:eastAsia="en-GB"/>
        </w:rPr>
        <w:t xml:space="preserve"> Enfin, il rappelle les nombreuses résolutions s’opposant à l’autorisation d’OGM qu’il a adoptées et déclare qu’il n’est pas nécessaire de modifier la législation pour que la Commission puisse refuser d’autoriser des OGM en l’absence d’une majorité qualifiée d’États membres favorables au sein du comité d’appel </w:t>
      </w:r>
      <w:r w:rsidRPr="00BD607A">
        <w:rPr>
          <w:rFonts w:eastAsia="Times New Roman" w:cs="Times New Roman"/>
          <w:b/>
          <w:szCs w:val="24"/>
          <w:lang w:val="fr-BE" w:eastAsia="en-GB"/>
        </w:rPr>
        <w:t>(considérants AA et AB)</w:t>
      </w:r>
      <w:r w:rsidRPr="00BD607A">
        <w:rPr>
          <w:rFonts w:eastAsia="Times New Roman" w:cs="Times New Roman"/>
          <w:szCs w:val="24"/>
          <w:lang w:val="fr-BE" w:eastAsia="en-GB"/>
        </w:rPr>
        <w:t>.</w:t>
      </w:r>
    </w:p>
    <w:p w:rsidR="00BD607A" w:rsidRPr="00BD607A" w:rsidRDefault="00BD607A" w:rsidP="00BD607A">
      <w:pPr>
        <w:widowControl w:val="0"/>
        <w:numPr>
          <w:ilvl w:val="0"/>
          <w:numId w:val="2"/>
        </w:numPr>
        <w:spacing w:after="240" w:line="240" w:lineRule="auto"/>
        <w:jc w:val="both"/>
        <w:rPr>
          <w:rFonts w:eastAsia="Times New Roman" w:cs="Times New Roman"/>
          <w:b/>
          <w:bCs/>
          <w:i/>
          <w:iCs/>
          <w:szCs w:val="24"/>
          <w:lang w:val="fr-BE" w:eastAsia="en-GB"/>
        </w:rPr>
      </w:pPr>
      <w:r w:rsidRPr="00BD607A">
        <w:rPr>
          <w:rFonts w:eastAsia="Times New Roman" w:cs="Times New Roman"/>
          <w:b/>
          <w:bCs/>
          <w:szCs w:val="24"/>
          <w:lang w:val="fr-BE" w:eastAsia="en-GB"/>
        </w:rPr>
        <w:t>Réponse à ces demandes et aperçu des mesures que la Commission a prises ou envisage de prendre:</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La Commission tient à rappeler que le projet de décision d’exécution en question renouvelle l’autorisation de mise sur le marché de produits contenant du maïs génétiquement modifié MON 89034, consistant en ce maïs ou produits à partir de celui-ci, mais pas la culture de ce maïs.</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En ce qui concerne les </w:t>
      </w:r>
      <w:r w:rsidRPr="00BD607A">
        <w:rPr>
          <w:rFonts w:eastAsia="Times New Roman" w:cs="Times New Roman"/>
          <w:b/>
          <w:szCs w:val="24"/>
          <w:lang w:val="fr-BE" w:eastAsia="en-GB"/>
        </w:rPr>
        <w:t>paragraphes 1, 2, 3 et 7</w:t>
      </w:r>
      <w:r w:rsidRPr="00BD607A">
        <w:rPr>
          <w:rFonts w:eastAsia="Times New Roman" w:cs="Times New Roman"/>
          <w:szCs w:val="24"/>
          <w:lang w:val="fr-BE" w:eastAsia="en-GB"/>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BD607A" w:rsidRPr="00BD607A" w:rsidRDefault="00BD607A" w:rsidP="00BD607A">
      <w:pPr>
        <w:widowControl w:val="0"/>
        <w:numPr>
          <w:ilvl w:val="0"/>
          <w:numId w:val="1"/>
        </w:numPr>
        <w:spacing w:after="120" w:line="240" w:lineRule="auto"/>
        <w:ind w:left="567" w:hanging="283"/>
        <w:jc w:val="both"/>
        <w:rPr>
          <w:rFonts w:eastAsia="Times New Roman" w:cs="Times New Roman"/>
          <w:szCs w:val="24"/>
          <w:lang w:val="fr-BE" w:eastAsia="en-GB"/>
        </w:rPr>
      </w:pPr>
      <w:r w:rsidRPr="00BD607A">
        <w:rPr>
          <w:rFonts w:eastAsia="Times New Roman" w:cs="Times New Roman"/>
          <w:szCs w:val="24"/>
          <w:lang w:val="fr-BE" w:eastAsia="en-GB"/>
        </w:rPr>
        <w:t>Le 3 août 2018, l’entreprise Monsanto a introduit une demande auprès de la Commission, conformément aux articles 11 et 23 du règlement (CE) nº 1829/2003, en vue du renouvellement de l’autorisation de mise sur le marché de denrées alimentaires et d’aliments pour animaux contenant du maïs génétiquement modifié MON 89034, consistant en ce maïs ou produits à partir de celui-ci.</w:t>
      </w:r>
    </w:p>
    <w:p w:rsidR="00BD607A" w:rsidRPr="00BD607A" w:rsidRDefault="00BD607A" w:rsidP="00BD607A">
      <w:pPr>
        <w:widowControl w:val="0"/>
        <w:numPr>
          <w:ilvl w:val="0"/>
          <w:numId w:val="1"/>
        </w:numPr>
        <w:spacing w:after="120" w:line="240" w:lineRule="auto"/>
        <w:ind w:left="567" w:hanging="283"/>
        <w:jc w:val="both"/>
        <w:rPr>
          <w:rFonts w:eastAsia="Times New Roman" w:cs="Times New Roman"/>
          <w:szCs w:val="24"/>
          <w:lang w:val="fr-BE" w:eastAsia="en-GB"/>
        </w:rPr>
      </w:pPr>
      <w:r w:rsidRPr="00BD607A">
        <w:rPr>
          <w:rFonts w:eastAsia="Times New Roman" w:cs="Times New Roman"/>
          <w:szCs w:val="24"/>
          <w:lang w:val="fr-BE" w:eastAsia="en-GB"/>
        </w:rPr>
        <w:t>Le 7 novembre 2019, l’</w:t>
      </w:r>
      <w:proofErr w:type="spellStart"/>
      <w:r w:rsidRPr="00BD607A">
        <w:rPr>
          <w:rFonts w:eastAsia="Times New Roman" w:cs="Times New Roman"/>
          <w:szCs w:val="24"/>
          <w:lang w:val="fr-BE" w:eastAsia="en-GB"/>
        </w:rPr>
        <w:t>EFSA</w:t>
      </w:r>
      <w:proofErr w:type="spellEnd"/>
      <w:r w:rsidRPr="00BD607A">
        <w:rPr>
          <w:rFonts w:eastAsia="Times New Roman" w:cs="Times New Roman"/>
          <w:szCs w:val="24"/>
          <w:lang w:val="fr-BE" w:eastAsia="en-GB"/>
        </w:rPr>
        <w:t xml:space="preserve"> a rendu un avis favorable conformément aux articles 6 et 18 du règlement (CE) nº 1829/2003. Elle y concluait qu’aucun danger nouveau ou exposition modifiée ni aucune nouvelle incertitude scientifique n’avaient été mis en évidence dans le cadre de la demande de renouvellement qui seraient de nature à modifier les conclusions de l’évaluation des risques initiale relative au maïs génétiquement modifié MON 89034, qu’elle avait adoptée en 2008.</w:t>
      </w:r>
    </w:p>
    <w:p w:rsidR="00BD607A" w:rsidRPr="00BD607A" w:rsidRDefault="00BD607A" w:rsidP="00BD607A">
      <w:pPr>
        <w:widowControl w:val="0"/>
        <w:numPr>
          <w:ilvl w:val="0"/>
          <w:numId w:val="1"/>
        </w:numPr>
        <w:spacing w:after="120" w:line="240" w:lineRule="auto"/>
        <w:ind w:left="567" w:hanging="283"/>
        <w:jc w:val="both"/>
        <w:rPr>
          <w:rFonts w:eastAsia="Times New Roman" w:cs="Times New Roman"/>
          <w:szCs w:val="24"/>
          <w:lang w:val="fr-BE" w:eastAsia="en-GB"/>
        </w:rPr>
      </w:pPr>
      <w:r w:rsidRPr="00BD607A">
        <w:rPr>
          <w:rFonts w:eastAsia="Times New Roman" w:cs="Times New Roman"/>
          <w:szCs w:val="24"/>
          <w:lang w:val="fr-BE" w:eastAsia="en-GB"/>
        </w:rPr>
        <w:t>Dans son avis, l’</w:t>
      </w:r>
      <w:proofErr w:type="spellStart"/>
      <w:r w:rsidRPr="00BD607A">
        <w:rPr>
          <w:rFonts w:eastAsia="Times New Roman" w:cs="Times New Roman"/>
          <w:szCs w:val="24"/>
          <w:lang w:val="fr-BE" w:eastAsia="en-GB"/>
        </w:rPr>
        <w:t>EFSA</w:t>
      </w:r>
      <w:proofErr w:type="spellEnd"/>
      <w:r w:rsidRPr="00BD607A">
        <w:rPr>
          <w:rFonts w:eastAsia="Times New Roman" w:cs="Times New Roman"/>
          <w:szCs w:val="24"/>
          <w:lang w:val="fr-BE" w:eastAsia="en-GB"/>
        </w:rPr>
        <w:t xml:space="preserve">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BD607A" w:rsidRPr="00BD607A" w:rsidRDefault="00BD607A" w:rsidP="00BD607A">
      <w:pPr>
        <w:widowControl w:val="0"/>
        <w:numPr>
          <w:ilvl w:val="0"/>
          <w:numId w:val="1"/>
        </w:numPr>
        <w:spacing w:after="120" w:line="240" w:lineRule="auto"/>
        <w:ind w:left="567" w:hanging="283"/>
        <w:jc w:val="both"/>
        <w:rPr>
          <w:rFonts w:eastAsia="Times New Roman" w:cs="Times New Roman"/>
          <w:szCs w:val="24"/>
          <w:lang w:val="fr-BE" w:eastAsia="en-GB"/>
        </w:rPr>
      </w:pPr>
      <w:r w:rsidRPr="00BD607A">
        <w:rPr>
          <w:rFonts w:eastAsia="Times New Roman" w:cs="Times New Roman"/>
          <w:szCs w:val="24"/>
          <w:lang w:val="fr-BE" w:eastAsia="en-GB"/>
        </w:rPr>
        <w:t>Le projet de décision a été présenté au comité permanent le 7 octobre 2020, où aucune majorité qualifiée ne s’est dégagée pour ou contre la décision au moyen de la procédure écrite le 26 octobre 2020.</w:t>
      </w:r>
    </w:p>
    <w:p w:rsidR="00BD607A" w:rsidRDefault="00BD607A" w:rsidP="00BD607A">
      <w:pPr>
        <w:widowControl w:val="0"/>
        <w:numPr>
          <w:ilvl w:val="0"/>
          <w:numId w:val="1"/>
        </w:numPr>
        <w:spacing w:after="120" w:line="240" w:lineRule="auto"/>
        <w:ind w:left="567" w:hanging="283"/>
        <w:jc w:val="both"/>
        <w:rPr>
          <w:rFonts w:eastAsia="Times New Roman" w:cs="Times New Roman"/>
          <w:szCs w:val="24"/>
          <w:lang w:val="fr-BE" w:eastAsia="en-GB"/>
        </w:rPr>
      </w:pPr>
      <w:r w:rsidRPr="00BD607A">
        <w:rPr>
          <w:rFonts w:eastAsia="Times New Roman" w:cs="Times New Roman"/>
          <w:szCs w:val="24"/>
          <w:lang w:val="fr-BE" w:eastAsia="en-GB"/>
        </w:rPr>
        <w:t>Conformément aux règles établies dans le règlement (UE) nº 182/2011 relatif à la comitologie, la Commission a proposé le projet de décision au comité d’appel du 3 décembre 2020, où aucune majorité qualifiée ne s’est non plus dégagée pour ou contre la décision lors de la procédure écrite le 11 décembre 2020.</w:t>
      </w:r>
    </w:p>
    <w:p w:rsidR="005A5740" w:rsidRPr="00BD607A" w:rsidRDefault="005A5740" w:rsidP="005A5740">
      <w:pPr>
        <w:widowControl w:val="0"/>
        <w:spacing w:after="120" w:line="240" w:lineRule="auto"/>
        <w:ind w:left="567"/>
        <w:jc w:val="both"/>
        <w:rPr>
          <w:rFonts w:eastAsia="Times New Roman" w:cs="Times New Roman"/>
          <w:szCs w:val="24"/>
          <w:lang w:val="fr-BE" w:eastAsia="en-GB"/>
        </w:rPr>
      </w:pPr>
      <w:bookmarkStart w:id="1" w:name="_GoBack"/>
      <w:bookmarkEnd w:id="1"/>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lastRenderedPageBreak/>
        <w:t>Aussi la Commission considère-t-elle qu’en adoptant une décision pleinement conforme à la procédure fixée par les colégislateurs dans la législation sur les OGM, elle n’excède pas ses compétences d’exécution. Par conséquent, rien ne justifie le retrait du projet de décision concernant le renouvellement de l’autorisation du maïs génétiquement modifié MON 89034. En outre, à la suite de l’introduction d’une demande et de la publication de l’avis de l’</w:t>
      </w:r>
      <w:proofErr w:type="spellStart"/>
      <w:r w:rsidRPr="00BD607A">
        <w:rPr>
          <w:rFonts w:eastAsia="Times New Roman" w:cs="Times New Roman"/>
          <w:szCs w:val="24"/>
          <w:lang w:val="fr-BE" w:eastAsia="en-GB"/>
        </w:rPr>
        <w:t>EFSA</w:t>
      </w:r>
      <w:proofErr w:type="spellEnd"/>
      <w:r w:rsidRPr="00BD607A">
        <w:rPr>
          <w:rFonts w:eastAsia="Times New Roman" w:cs="Times New Roman"/>
          <w:szCs w:val="24"/>
          <w:lang w:val="fr-BE" w:eastAsia="en-GB"/>
        </w:rPr>
        <w:t xml:space="preserve"> s’y rapportant, l’article 7, paragraphe 3, et l’article 19, paragraphe 3, du règlement (CE) nº 1829/2003 imposent à la Commission d’agir, en l’occurrence d’adopter une décision finale concernant la demande.</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Pour ce qui est des autres dispositions de la résolution,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Elle a néanmoins examiné attentivement les points de vue exprimés par le Parlement européen et souhaite formuler les observations suivantes:</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S’agissant des </w:t>
      </w:r>
      <w:r w:rsidRPr="00BD607A">
        <w:rPr>
          <w:rFonts w:eastAsia="Times New Roman" w:cs="Times New Roman"/>
          <w:b/>
          <w:szCs w:val="24"/>
          <w:lang w:val="fr-BE" w:eastAsia="en-GB"/>
        </w:rPr>
        <w:t>paragraphes 4</w:t>
      </w:r>
      <w:r w:rsidRPr="00BD607A">
        <w:rPr>
          <w:rFonts w:eastAsia="Times New Roman" w:cs="Times New Roman"/>
          <w:szCs w:val="24"/>
          <w:lang w:val="fr-BE" w:eastAsia="en-GB"/>
        </w:rPr>
        <w:t xml:space="preserve"> et </w:t>
      </w:r>
      <w:r w:rsidRPr="00BD607A">
        <w:rPr>
          <w:rFonts w:eastAsia="Times New Roman" w:cs="Times New Roman"/>
          <w:b/>
          <w:szCs w:val="24"/>
          <w:lang w:val="fr-BE" w:eastAsia="en-GB"/>
        </w:rPr>
        <w:t>5</w:t>
      </w:r>
      <w:r w:rsidRPr="00BD607A">
        <w:rPr>
          <w:rFonts w:eastAsia="Times New Roman" w:cs="Times New Roman"/>
          <w:szCs w:val="24"/>
          <w:lang w:val="fr-BE" w:eastAsia="en-GB"/>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La Commission est très soucieuse du respect de ses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w:t>
      </w:r>
      <w:r w:rsidRPr="00BD607A">
        <w:rPr>
          <w:rFonts w:eastAsia="Times New Roman" w:cs="Times New Roman"/>
          <w:b/>
          <w:szCs w:val="24"/>
          <w:lang w:val="fr-BE" w:eastAsia="en-GB"/>
        </w:rPr>
        <w:t>(paragraphe 6).</w:t>
      </w:r>
      <w:r w:rsidRPr="00BD607A">
        <w:rPr>
          <w:rFonts w:eastAsia="Times New Roman" w:cs="Times New Roman"/>
          <w:szCs w:val="24"/>
          <w:lang w:val="fr-BE" w:eastAsia="en-GB"/>
        </w:rPr>
        <w:t xml:space="preserve">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BD607A" w:rsidRPr="00BD607A" w:rsidRDefault="00BD607A" w:rsidP="00BD607A">
      <w:pPr>
        <w:widowControl w:val="0"/>
        <w:spacing w:after="120" w:line="240" w:lineRule="auto"/>
        <w:jc w:val="both"/>
        <w:rPr>
          <w:rFonts w:eastAsia="Times New Roman" w:cs="Times New Roman"/>
          <w:szCs w:val="24"/>
          <w:lang w:val="fr-BE" w:eastAsia="en-GB"/>
        </w:rPr>
      </w:pPr>
      <w:r w:rsidRPr="00BD607A">
        <w:rPr>
          <w:rFonts w:eastAsia="Times New Roman" w:cs="Times New Roman"/>
          <w:szCs w:val="24"/>
          <w:lang w:val="fr-BE" w:eastAsia="en-GB"/>
        </w:rPr>
        <w:t xml:space="preserve">En ce qui concerne les craintes soulevées dans les </w:t>
      </w:r>
      <w:r w:rsidRPr="00BD607A">
        <w:rPr>
          <w:rFonts w:eastAsia="Times New Roman" w:cs="Times New Roman"/>
          <w:b/>
          <w:szCs w:val="24"/>
          <w:lang w:val="fr-BE" w:eastAsia="en-GB"/>
        </w:rPr>
        <w:t>considérants I à O</w:t>
      </w:r>
      <w:r w:rsidRPr="00BD607A">
        <w:rPr>
          <w:rFonts w:eastAsia="Times New Roman" w:cs="Times New Roman"/>
          <w:szCs w:val="24"/>
          <w:lang w:val="fr-BE" w:eastAsia="en-GB"/>
        </w:rPr>
        <w:t>, la Commission souhaite souligner que le groupe scientifique de l’</w:t>
      </w:r>
      <w:proofErr w:type="spellStart"/>
      <w:r w:rsidRPr="00BD607A">
        <w:rPr>
          <w:rFonts w:eastAsia="Times New Roman" w:cs="Times New Roman"/>
          <w:szCs w:val="24"/>
          <w:lang w:val="fr-BE" w:eastAsia="en-GB"/>
        </w:rPr>
        <w:t>EFSA</w:t>
      </w:r>
      <w:proofErr w:type="spellEnd"/>
      <w:r w:rsidRPr="00BD607A">
        <w:rPr>
          <w:rFonts w:eastAsia="Times New Roman" w:cs="Times New Roman"/>
          <w:szCs w:val="24"/>
          <w:lang w:val="fr-BE" w:eastAsia="en-GB"/>
        </w:rPr>
        <w:t xml:space="preserve"> sur les OGM a examiné de manière approfondie les propriétés toxiques, allergéniques et adjuvantes potentielles de certaines protéines Cry en tenant compte de toutes les informations disponibles, y compris de la littérature sur le sujet, et qu’il n’a pas mis en lumière de préoccupations en matière de sécurité.</w:t>
      </w:r>
    </w:p>
    <w:p w:rsidR="00F36993" w:rsidRPr="00BD607A" w:rsidRDefault="00BD607A" w:rsidP="00BD607A">
      <w:pPr>
        <w:widowControl w:val="0"/>
        <w:spacing w:after="120" w:line="240" w:lineRule="auto"/>
        <w:jc w:val="both"/>
        <w:rPr>
          <w:lang w:val="fr-BE"/>
        </w:rPr>
      </w:pPr>
      <w:r w:rsidRPr="00BD607A">
        <w:rPr>
          <w:rFonts w:eastAsia="Times New Roman" w:cs="Times New Roman"/>
          <w:szCs w:val="24"/>
          <w:lang w:val="fr-BE" w:eastAsia="en-GB"/>
        </w:rPr>
        <w:t xml:space="preserve">Pour ce qui est du manque de soutien des États membres en faveur des décisions sur les autorisations des OGM pour l’alimentation humaine et animale </w:t>
      </w:r>
      <w:r w:rsidRPr="00BD607A">
        <w:rPr>
          <w:rFonts w:eastAsia="Times New Roman" w:cs="Times New Roman"/>
          <w:b/>
          <w:szCs w:val="24"/>
          <w:lang w:val="fr-BE" w:eastAsia="en-GB"/>
        </w:rPr>
        <w:t>(considérants Y et Z)</w:t>
      </w:r>
      <w:r w:rsidRPr="00BD607A">
        <w:rPr>
          <w:rFonts w:eastAsia="Times New Roman" w:cs="Times New Roman"/>
          <w:szCs w:val="24"/>
          <w:lang w:val="fr-BE" w:eastAsia="en-GB"/>
        </w:rPr>
        <w:t>, la Commission a présenté au Parlement européen et au Conseil, le 14 février 2017, une proposition de règlement modifiant le règlement (UE) nº 182/2011 visant à modifier les règles de vote du comité d’appel qui, si elle était adoptée par les colégislateurs, renforcerait la transparence et la responsabilité dans le processus décisionnel relatif aux OGM. La Commission souhaite par ailleurs rappeler qu’elle déplore la décision du 28 octobre 2015 par laquelle le Parlement européen a rejeté la proposition du 22 avril 2015 modifiant le règlement (CE) nº 1829/2003, qui, si elle avait été adoptée, aurait permis aux États membres de traiter, au niveau national, des questions qui ne sont pas couvertes par le processus décisionnel de l’Union.</w:t>
      </w:r>
    </w:p>
    <w:sectPr w:rsidR="00F36993" w:rsidRPr="00BD6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D5025"/>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7A"/>
    <w:rsid w:val="005A5740"/>
    <w:rsid w:val="0065281F"/>
    <w:rsid w:val="00BD607A"/>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3999"/>
  <w15:chartTrackingRefBased/>
  <w15:docId w15:val="{726906BF-A4BA-423E-9A78-927CF195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1585</Words>
  <Characters>8911</Characters>
  <Application>Microsoft Office Word</Application>
  <DocSecurity>0</DocSecurity>
  <Lines>129</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2021-06-16T12:53:00Z</dcterms:created>
  <dcterms:modified xsi:type="dcterms:W3CDTF">2021-06-16T13:00:00Z</dcterms:modified>
</cp:coreProperties>
</file>