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CB7" w:rsidRPr="00DC7CB7" w:rsidRDefault="00DC7CB7" w:rsidP="00DC7CB7">
      <w:pPr>
        <w:spacing w:after="600" w:line="240" w:lineRule="auto"/>
        <w:jc w:val="center"/>
        <w:rPr>
          <w:rFonts w:eastAsia="Times New Roman" w:cs="Times New Roman"/>
          <w:b/>
          <w:bCs/>
          <w:szCs w:val="24"/>
          <w:lang w:val="fr-BE" w:eastAsia="en-GB"/>
        </w:rPr>
      </w:pPr>
      <w:bookmarkStart w:id="0" w:name="P45"/>
      <w:r w:rsidRPr="00DC7CB7">
        <w:rPr>
          <w:rFonts w:eastAsia="Times New Roman" w:cs="Times New Roman"/>
          <w:b/>
          <w:bCs/>
          <w:szCs w:val="24"/>
          <w:lang w:val="fr-BE" w:eastAsia="en-GB"/>
        </w:rPr>
        <w:t>Suite donnée</w:t>
      </w:r>
      <w:r w:rsidRPr="00DC7CB7">
        <w:rPr>
          <w:rFonts w:eastAsia="Times New Roman" w:cs="Times New Roman"/>
          <w:b/>
          <w:szCs w:val="24"/>
          <w:lang w:val="fr-BE" w:eastAsia="en-GB"/>
        </w:rPr>
        <w:t xml:space="preserve"> à la résolution non législative du Parlement européen </w:t>
      </w:r>
      <w:r w:rsidRPr="00DC7CB7">
        <w:rPr>
          <w:rFonts w:eastAsia="Times New Roman" w:cs="Times New Roman"/>
          <w:b/>
          <w:szCs w:val="24"/>
          <w:lang w:val="fr-BE" w:eastAsia="en-GB"/>
        </w:rPr>
        <w:br/>
      </w:r>
      <w:r w:rsidRPr="00DC7CB7">
        <w:rPr>
          <w:rFonts w:eastAsia="Times New Roman" w:cs="Times New Roman"/>
          <w:b/>
          <w:szCs w:val="24"/>
          <w:shd w:val="clear" w:color="auto" w:fill="FFFFFF"/>
          <w:lang w:val="fr-BE" w:eastAsia="en-GB"/>
        </w:rPr>
        <w:t>sur la réforme de la liste des paradis fiscaux de l’Union européenne</w:t>
      </w:r>
    </w:p>
    <w:bookmarkEnd w:id="0"/>
    <w:p w:rsidR="00DC7CB7" w:rsidRPr="00DC7CB7" w:rsidRDefault="00DC7CB7" w:rsidP="00DC7CB7">
      <w:pPr>
        <w:numPr>
          <w:ilvl w:val="0"/>
          <w:numId w:val="1"/>
        </w:numPr>
        <w:spacing w:after="240" w:line="240" w:lineRule="auto"/>
        <w:jc w:val="both"/>
        <w:rPr>
          <w:rFonts w:eastAsia="Times New Roman" w:cs="Times New Roman"/>
          <w:b/>
          <w:bCs/>
          <w:szCs w:val="24"/>
          <w:lang w:val="fr-BE" w:eastAsia="en-GB"/>
        </w:rPr>
      </w:pPr>
      <w:r w:rsidRPr="00DC7CB7">
        <w:rPr>
          <w:rFonts w:eastAsia="Times New Roman" w:cs="Times New Roman"/>
          <w:b/>
          <w:bCs/>
          <w:szCs w:val="24"/>
          <w:lang w:val="fr-BE" w:eastAsia="en-GB"/>
        </w:rPr>
        <w:t>Résolution présentée conformément à l’article 136, paragraphe 5, du règlement intérieur du Parlement européen</w:t>
      </w:r>
    </w:p>
    <w:p w:rsidR="00DC7CB7" w:rsidRPr="00DC7CB7" w:rsidRDefault="00DC7CB7" w:rsidP="00DC7CB7">
      <w:pPr>
        <w:numPr>
          <w:ilvl w:val="0"/>
          <w:numId w:val="1"/>
        </w:numPr>
        <w:spacing w:after="240" w:line="240" w:lineRule="auto"/>
        <w:jc w:val="both"/>
        <w:rPr>
          <w:rFonts w:eastAsia="Times New Roman" w:cs="Times New Roman"/>
          <w:i/>
          <w:iCs/>
          <w:szCs w:val="24"/>
          <w:lang w:val="fr-BE" w:eastAsia="en-GB"/>
        </w:rPr>
      </w:pPr>
      <w:r w:rsidRPr="00DC7CB7">
        <w:rPr>
          <w:rFonts w:eastAsia="Times New Roman" w:cs="Times New Roman"/>
          <w:b/>
          <w:bCs/>
          <w:szCs w:val="24"/>
          <w:lang w:val="fr-BE" w:eastAsia="en-GB"/>
        </w:rPr>
        <w:t xml:space="preserve">Numéros de référence: </w:t>
      </w:r>
      <w:r w:rsidRPr="00DC7CB7">
        <w:rPr>
          <w:rFonts w:eastAsia="Times New Roman" w:cs="Times New Roman"/>
          <w:szCs w:val="24"/>
          <w:lang w:val="fr-BE" w:eastAsia="en-GB"/>
        </w:rPr>
        <w:t>2020/2863 (RSP) / B9-0052/2021 / P9_TA-</w:t>
      </w:r>
      <w:proofErr w:type="gramStart"/>
      <w:r w:rsidRPr="00DC7CB7">
        <w:rPr>
          <w:rFonts w:eastAsia="Times New Roman" w:cs="Times New Roman"/>
          <w:szCs w:val="24"/>
          <w:lang w:val="fr-BE" w:eastAsia="en-GB"/>
        </w:rPr>
        <w:t>PROV(</w:t>
      </w:r>
      <w:proofErr w:type="gramEnd"/>
      <w:r w:rsidRPr="00DC7CB7">
        <w:rPr>
          <w:rFonts w:eastAsia="Times New Roman" w:cs="Times New Roman"/>
          <w:szCs w:val="24"/>
          <w:lang w:val="fr-BE" w:eastAsia="en-GB"/>
        </w:rPr>
        <w:t>2021)0022</w:t>
      </w:r>
    </w:p>
    <w:p w:rsidR="00DC7CB7" w:rsidRPr="00DC7CB7" w:rsidRDefault="00DC7CB7" w:rsidP="00DC7CB7">
      <w:pPr>
        <w:numPr>
          <w:ilvl w:val="0"/>
          <w:numId w:val="1"/>
        </w:numPr>
        <w:spacing w:after="240" w:line="240" w:lineRule="auto"/>
        <w:jc w:val="both"/>
        <w:rPr>
          <w:rFonts w:eastAsia="Times New Roman" w:cs="Times New Roman"/>
          <w:szCs w:val="24"/>
          <w:lang w:val="fr-BE" w:eastAsia="en-GB"/>
        </w:rPr>
      </w:pPr>
      <w:r w:rsidRPr="00DC7CB7">
        <w:rPr>
          <w:rFonts w:eastAsia="Times New Roman" w:cs="Times New Roman"/>
          <w:b/>
          <w:bCs/>
          <w:szCs w:val="24"/>
          <w:lang w:val="fr-BE" w:eastAsia="en-GB"/>
        </w:rPr>
        <w:t xml:space="preserve">Date d’adoption de la résolution: </w:t>
      </w:r>
      <w:r w:rsidRPr="00DC7CB7">
        <w:rPr>
          <w:rFonts w:eastAsia="Times New Roman" w:cs="Times New Roman"/>
          <w:szCs w:val="24"/>
          <w:lang w:val="fr-BE" w:eastAsia="en-GB"/>
        </w:rPr>
        <w:t>21 janvier 2021</w:t>
      </w:r>
    </w:p>
    <w:p w:rsidR="00DC7CB7" w:rsidRPr="00DC7CB7" w:rsidRDefault="00DC7CB7" w:rsidP="00DC7CB7">
      <w:pPr>
        <w:numPr>
          <w:ilvl w:val="0"/>
          <w:numId w:val="1"/>
        </w:numPr>
        <w:spacing w:after="240" w:line="240" w:lineRule="auto"/>
        <w:jc w:val="both"/>
        <w:rPr>
          <w:rFonts w:eastAsia="Times New Roman" w:cs="Times New Roman"/>
          <w:i/>
          <w:iCs/>
          <w:szCs w:val="24"/>
          <w:lang w:val="fr-BE" w:eastAsia="en-GB"/>
        </w:rPr>
      </w:pPr>
      <w:r w:rsidRPr="00DC7CB7">
        <w:rPr>
          <w:rFonts w:eastAsia="Times New Roman" w:cs="Times New Roman"/>
          <w:b/>
          <w:bCs/>
          <w:szCs w:val="24"/>
          <w:lang w:val="fr-BE" w:eastAsia="en-GB"/>
        </w:rPr>
        <w:t xml:space="preserve">Commission parlementaire compétente: </w:t>
      </w:r>
      <w:r w:rsidRPr="00DC7CB7">
        <w:rPr>
          <w:rFonts w:eastAsia="Times New Roman" w:cs="Times New Roman"/>
          <w:szCs w:val="24"/>
          <w:lang w:val="fr-BE" w:eastAsia="en-GB"/>
        </w:rPr>
        <w:t>commission des</w:t>
      </w:r>
      <w:r w:rsidRPr="00DC7CB7">
        <w:rPr>
          <w:rFonts w:ascii="inherit" w:eastAsia="Times New Roman" w:hAnsi="inherit" w:cs="Times New Roman"/>
          <w:szCs w:val="20"/>
          <w:bdr w:val="none" w:sz="0" w:space="0" w:color="auto" w:frame="1"/>
          <w:lang w:val="fr-BE" w:eastAsia="en-GB"/>
        </w:rPr>
        <w:t xml:space="preserve"> affaires économiques et monétaires (</w:t>
      </w:r>
      <w:proofErr w:type="spellStart"/>
      <w:r w:rsidRPr="00DC7CB7">
        <w:rPr>
          <w:rFonts w:ascii="inherit" w:eastAsia="Times New Roman" w:hAnsi="inherit" w:cs="Times New Roman"/>
          <w:szCs w:val="20"/>
          <w:bdr w:val="none" w:sz="0" w:space="0" w:color="auto" w:frame="1"/>
          <w:lang w:val="fr-BE" w:eastAsia="en-GB"/>
        </w:rPr>
        <w:t>ECON</w:t>
      </w:r>
      <w:proofErr w:type="spellEnd"/>
      <w:r w:rsidRPr="00DC7CB7">
        <w:rPr>
          <w:rFonts w:ascii="inherit" w:eastAsia="Times New Roman" w:hAnsi="inherit" w:cs="Times New Roman"/>
          <w:szCs w:val="20"/>
          <w:bdr w:val="none" w:sz="0" w:space="0" w:color="auto" w:frame="1"/>
          <w:lang w:val="fr-BE" w:eastAsia="en-GB"/>
        </w:rPr>
        <w:t>)</w:t>
      </w:r>
    </w:p>
    <w:p w:rsidR="00DC7CB7" w:rsidRPr="00DC7CB7" w:rsidRDefault="00DC7CB7" w:rsidP="00DC7CB7">
      <w:pPr>
        <w:widowControl w:val="0"/>
        <w:numPr>
          <w:ilvl w:val="0"/>
          <w:numId w:val="1"/>
        </w:numPr>
        <w:spacing w:after="240" w:line="240" w:lineRule="auto"/>
        <w:jc w:val="both"/>
        <w:rPr>
          <w:rFonts w:eastAsia="Times New Roman" w:cs="Times New Roman"/>
          <w:szCs w:val="24"/>
          <w:lang w:val="fr-BE" w:eastAsia="en-GB"/>
        </w:rPr>
      </w:pPr>
      <w:r w:rsidRPr="00DC7CB7">
        <w:rPr>
          <w:rFonts w:eastAsia="Times New Roman" w:cs="Times New Roman"/>
          <w:b/>
          <w:bCs/>
          <w:szCs w:val="24"/>
          <w:lang w:val="fr-BE" w:eastAsia="en-GB"/>
        </w:rPr>
        <w:t>Analyse/évaluation succincte de la résolution et des demandes qu’elle contient:</w:t>
      </w:r>
    </w:p>
    <w:p w:rsidR="00DC7CB7" w:rsidRPr="00DC7CB7" w:rsidRDefault="00DC7CB7" w:rsidP="00DC7CB7">
      <w:pPr>
        <w:widowControl w:val="0"/>
        <w:spacing w:after="120" w:line="240" w:lineRule="auto"/>
        <w:ind w:right="-28"/>
        <w:jc w:val="both"/>
        <w:rPr>
          <w:rFonts w:eastAsia="Times New Roman" w:cs="Times New Roman"/>
          <w:szCs w:val="24"/>
          <w:lang w:val="fr-BE" w:eastAsia="en-GB"/>
        </w:rPr>
      </w:pPr>
      <w:r w:rsidRPr="00DC7CB7">
        <w:rPr>
          <w:rFonts w:eastAsia="Times New Roman" w:cs="Times New Roman"/>
          <w:szCs w:val="24"/>
          <w:lang w:val="fr-BE" w:eastAsia="en-GB"/>
        </w:rPr>
        <w:t xml:space="preserve">La résolution formule plusieurs demandes articulées autour de trois axes principaux: </w:t>
      </w:r>
      <w:r w:rsidRPr="00DC7CB7">
        <w:rPr>
          <w:rFonts w:eastAsia="Times New Roman" w:cs="Times New Roman"/>
          <w:bCs/>
          <w:iCs/>
          <w:szCs w:val="24"/>
          <w:shd w:val="clear" w:color="auto" w:fill="FFFFFF"/>
          <w:lang w:val="fr-BE" w:eastAsia="en-GB"/>
        </w:rPr>
        <w:t xml:space="preserve">la gouvernance et la transparence de la liste de l’Union européenne, la mise à jour des critères d’inscription sur la liste de l’Union européenne afin de les adapter aux défis actuels et futurs et la coordination des mesures défensives. De manière générale, la résolution reprend les messages clés de la communication de la Commission du 15 juillet 2020 sur la bonne gouvernance fiscale dans l’UE et au-delà </w:t>
      </w:r>
      <w:r w:rsidRPr="00DC7CB7">
        <w:rPr>
          <w:rFonts w:eastAsia="Times New Roman" w:cs="Times New Roman"/>
          <w:szCs w:val="24"/>
          <w:shd w:val="clear" w:color="auto" w:fill="FFFFFF"/>
          <w:lang w:val="fr-BE" w:eastAsia="en-GB"/>
        </w:rPr>
        <w:t>[</w:t>
      </w:r>
      <w:proofErr w:type="gramStart"/>
      <w:r w:rsidRPr="00DC7CB7">
        <w:rPr>
          <w:rFonts w:eastAsia="Times New Roman" w:cs="Times New Roman"/>
          <w:szCs w:val="24"/>
          <w:shd w:val="clear" w:color="auto" w:fill="FFFFFF"/>
          <w:lang w:val="fr-BE" w:eastAsia="en-GB"/>
        </w:rPr>
        <w:t>COM(</w:t>
      </w:r>
      <w:proofErr w:type="gramEnd"/>
      <w:r w:rsidRPr="00DC7CB7">
        <w:rPr>
          <w:rFonts w:eastAsia="Times New Roman" w:cs="Times New Roman"/>
          <w:szCs w:val="24"/>
          <w:shd w:val="clear" w:color="auto" w:fill="FFFFFF"/>
          <w:lang w:val="fr-BE" w:eastAsia="en-GB"/>
        </w:rPr>
        <w:t xml:space="preserve">2020) 313 final]. Le Parlement demande des critères plus stricts et plus larges pour l’inscription sur la liste, ainsi que davantage d'équité et de transparence dans la procédure. La résolution va plus loin que la communication sur plusieurs aspects, notamment: en demandant une formalisation du rôle du Parlement européen dans la procédure d’inscription sur la liste de l’Union européenne, en exigeant que l'application d’un taux nul d’impôt sur les sociétés </w:t>
      </w:r>
      <w:r w:rsidRPr="00DC7CB7">
        <w:rPr>
          <w:rFonts w:eastAsia="Times New Roman" w:cs="Times New Roman"/>
          <w:szCs w:val="24"/>
          <w:bdr w:val="none" w:sz="0" w:space="0" w:color="auto" w:frame="1"/>
          <w:shd w:val="clear" w:color="auto" w:fill="FFFFFF"/>
          <w:lang w:val="fr-BE" w:eastAsia="en-GB"/>
        </w:rPr>
        <w:t xml:space="preserve">conduise automatiquement à l’inscription sur la liste et demande également une évaluation des États membres. </w:t>
      </w:r>
      <w:r w:rsidRPr="00DC7CB7">
        <w:rPr>
          <w:rFonts w:eastAsia="Times New Roman" w:cs="Times New Roman"/>
          <w:bCs/>
          <w:iCs/>
          <w:szCs w:val="24"/>
          <w:shd w:val="clear" w:color="auto" w:fill="FFFFFF"/>
          <w:lang w:val="fr-BE" w:eastAsia="en-GB"/>
        </w:rPr>
        <w:t>La plupart des demandes font l’objet d’un suivi de la part de la Commission. Par ailleurs, certaines demandes sont adressées au Conseil et aux États membres.</w:t>
      </w:r>
    </w:p>
    <w:p w:rsidR="00DC7CB7" w:rsidRPr="00DC7CB7" w:rsidRDefault="00DC7CB7" w:rsidP="00DC7CB7">
      <w:pPr>
        <w:widowControl w:val="0"/>
        <w:numPr>
          <w:ilvl w:val="0"/>
          <w:numId w:val="1"/>
        </w:numPr>
        <w:spacing w:after="240" w:line="240" w:lineRule="auto"/>
        <w:jc w:val="both"/>
        <w:rPr>
          <w:rFonts w:eastAsia="Times New Roman" w:cs="Times New Roman"/>
          <w:b/>
          <w:bCs/>
          <w:i/>
          <w:iCs/>
          <w:szCs w:val="24"/>
          <w:lang w:val="fr-BE" w:eastAsia="en-GB"/>
        </w:rPr>
      </w:pPr>
      <w:r w:rsidRPr="00DC7CB7">
        <w:rPr>
          <w:rFonts w:eastAsia="Times New Roman" w:cs="Times New Roman"/>
          <w:b/>
          <w:bCs/>
          <w:szCs w:val="24"/>
          <w:lang w:val="fr-BE" w:eastAsia="en-GB"/>
        </w:rPr>
        <w:t>Réponse à ces demandes et aperçu des mesures que la Commission a prises ou envisage de prendre:</w:t>
      </w:r>
    </w:p>
    <w:p w:rsidR="00DC7CB7" w:rsidRPr="00DC7CB7" w:rsidRDefault="00DC7CB7" w:rsidP="00DC7CB7">
      <w:pPr>
        <w:widowControl w:val="0"/>
        <w:spacing w:after="120" w:line="240" w:lineRule="auto"/>
        <w:jc w:val="both"/>
        <w:rPr>
          <w:rFonts w:eastAsia="Times New Roman" w:cs="Times New Roman"/>
          <w:szCs w:val="24"/>
          <w:u w:val="single"/>
          <w:lang w:val="fr-BE" w:eastAsia="en-GB"/>
        </w:rPr>
      </w:pPr>
      <w:r w:rsidRPr="00DC7CB7">
        <w:rPr>
          <w:rFonts w:eastAsia="Times New Roman" w:cs="Times New Roman"/>
          <w:szCs w:val="24"/>
          <w:u w:val="single"/>
          <w:lang w:val="fr-BE" w:eastAsia="en-GB"/>
        </w:rPr>
        <w:t>Demande en faveur de davantage de transparence dans le processus d’établissement de la liste de l’Union</w:t>
      </w:r>
    </w:p>
    <w:p w:rsidR="00DC7CB7" w:rsidRPr="00DC7CB7" w:rsidRDefault="00DC7CB7" w:rsidP="00DC7CB7">
      <w:pPr>
        <w:spacing w:after="120" w:line="240" w:lineRule="auto"/>
        <w:jc w:val="both"/>
        <w:rPr>
          <w:rFonts w:eastAsia="Times New Roman" w:cs="Times New Roman"/>
          <w:szCs w:val="20"/>
          <w:lang w:val="fr-BE" w:eastAsia="en-GB"/>
        </w:rPr>
      </w:pPr>
      <w:r w:rsidRPr="00DC7CB7">
        <w:rPr>
          <w:rFonts w:eastAsia="Times New Roman" w:cs="Times New Roman"/>
          <w:szCs w:val="24"/>
          <w:lang w:val="fr-BE" w:eastAsia="en-GB"/>
        </w:rPr>
        <w:t>Le paragraphe 3 exige que</w:t>
      </w:r>
      <w:proofErr w:type="gramStart"/>
      <w:r w:rsidRPr="00DC7CB7">
        <w:rPr>
          <w:rFonts w:eastAsia="Times New Roman" w:cs="Times New Roman"/>
          <w:szCs w:val="24"/>
          <w:lang w:val="fr-BE" w:eastAsia="en-GB"/>
        </w:rPr>
        <w:t xml:space="preserve"> «le</w:t>
      </w:r>
      <w:proofErr w:type="gramEnd"/>
      <w:r w:rsidRPr="00DC7CB7">
        <w:rPr>
          <w:rFonts w:eastAsia="Times New Roman" w:cs="Times New Roman"/>
          <w:szCs w:val="24"/>
          <w:lang w:val="fr-BE" w:eastAsia="en-GB"/>
        </w:rPr>
        <w:t xml:space="preserve"> Conseil charge la Commission [...] de dresser une proposition de liste à l’intention du Conseil qui devra être rendue publique avant que le Conseil n’adopte officiellement la liste et les révisions y afférentes; [...] est convaincu que ces modifications garantiraient l’impartialité, l’objectivité et la responsabilité du processus d’établissement de la liste». </w:t>
      </w:r>
      <w:r w:rsidRPr="00DC7CB7">
        <w:rPr>
          <w:rFonts w:eastAsia="Times New Roman" w:cs="Times New Roman"/>
          <w:szCs w:val="20"/>
          <w:lang w:val="fr-BE" w:eastAsia="en-GB"/>
        </w:rPr>
        <w:t>La Commission est déterminée à soutenir activement le processus d’établissement de la liste de l’UE, sous quelque forme juridique que ce soit, qui est jugé politiquement approprié. La Commission est favorable à un renforcement de la responsabilité des travaux du groupe</w:t>
      </w:r>
      <w:proofErr w:type="gramStart"/>
      <w:r w:rsidRPr="00DC7CB7">
        <w:rPr>
          <w:rFonts w:eastAsia="Times New Roman" w:cs="Times New Roman"/>
          <w:szCs w:val="20"/>
          <w:lang w:val="fr-BE" w:eastAsia="en-GB"/>
        </w:rPr>
        <w:t xml:space="preserve"> «Code</w:t>
      </w:r>
      <w:proofErr w:type="gramEnd"/>
      <w:r w:rsidRPr="00DC7CB7">
        <w:rPr>
          <w:rFonts w:eastAsia="Times New Roman" w:cs="Times New Roman"/>
          <w:szCs w:val="20"/>
          <w:lang w:val="fr-BE" w:eastAsia="en-GB"/>
        </w:rPr>
        <w:t xml:space="preserve"> de conduite» et à un dialogue plus fréquent et renforcé avec le Parlement européen.</w:t>
      </w:r>
    </w:p>
    <w:p w:rsidR="00DC7CB7" w:rsidRPr="00DC7CB7" w:rsidRDefault="00DC7CB7" w:rsidP="00DC7CB7">
      <w:pPr>
        <w:spacing w:after="120" w:line="240" w:lineRule="auto"/>
        <w:jc w:val="both"/>
        <w:rPr>
          <w:rFonts w:eastAsia="Times New Roman" w:cs="Times New Roman"/>
          <w:szCs w:val="20"/>
          <w:lang w:val="fr-BE" w:eastAsia="en-GB"/>
        </w:rPr>
      </w:pPr>
      <w:r w:rsidRPr="00DC7CB7">
        <w:rPr>
          <w:rFonts w:eastAsia="Times New Roman" w:cs="Times New Roman"/>
          <w:szCs w:val="20"/>
          <w:lang w:val="fr-BE" w:eastAsia="en-GB"/>
        </w:rPr>
        <w:t xml:space="preserve">Au paragraphe 4, le Parlement «estime qu’il convient pour améliorer la responsabilité et la transparence, de rendre facilement accessibles les sources des données utilisées pour évaluer les pays et territoires concernés lorsqu’elles sont publiques; est d’avis qu’il convient d’affiner la méthode d’évaluation des régimes appliqués par les pays tiers et de la rendre publique dans </w:t>
      </w:r>
      <w:r w:rsidRPr="00DC7CB7">
        <w:rPr>
          <w:rFonts w:eastAsia="Times New Roman" w:cs="Times New Roman"/>
          <w:szCs w:val="20"/>
          <w:lang w:val="fr-BE" w:eastAsia="en-GB"/>
        </w:rPr>
        <w:lastRenderedPageBreak/>
        <w:t>son intégralité; invite le groupe “Code de conduite” à publier systématiquement un résumé complet de ses interactions avec les pays ou territoires tiers, des sujets abordés et des engagements pris par ces pays à chaque étape du processus d’évaluation;» La Commission est favorable à un renforcement supplémentaire de la transparence des travaux du groupe «Code de conduite», dans les limites naturelles découlant de la nature diplomatique sensible de son mandat.</w:t>
      </w:r>
    </w:p>
    <w:p w:rsidR="00DC7CB7" w:rsidRPr="00DC7CB7" w:rsidRDefault="00DC7CB7" w:rsidP="00DC7CB7">
      <w:pPr>
        <w:widowControl w:val="0"/>
        <w:spacing w:after="120" w:line="240" w:lineRule="auto"/>
        <w:jc w:val="both"/>
        <w:rPr>
          <w:rFonts w:eastAsia="Times New Roman" w:cs="Times New Roman"/>
          <w:szCs w:val="24"/>
          <w:u w:val="single"/>
          <w:lang w:val="fr-BE" w:eastAsia="en-GB"/>
        </w:rPr>
      </w:pPr>
      <w:r w:rsidRPr="00DC7CB7">
        <w:rPr>
          <w:rFonts w:eastAsia="Times New Roman" w:cs="Times New Roman"/>
          <w:szCs w:val="24"/>
          <w:u w:val="single"/>
          <w:lang w:val="fr-BE" w:eastAsia="en-GB"/>
        </w:rPr>
        <w:t>Rôle du Parlement européen</w:t>
      </w:r>
    </w:p>
    <w:p w:rsidR="00DC7CB7" w:rsidRPr="00DC7CB7" w:rsidRDefault="00DC7CB7" w:rsidP="00DC7CB7">
      <w:pPr>
        <w:widowControl w:val="0"/>
        <w:spacing w:after="120" w:line="240" w:lineRule="auto"/>
        <w:jc w:val="both"/>
        <w:rPr>
          <w:rFonts w:eastAsia="Times New Roman" w:cs="Times New Roman"/>
          <w:szCs w:val="24"/>
          <w:lang w:val="fr-BE" w:eastAsia="en-GB"/>
        </w:rPr>
      </w:pPr>
      <w:r w:rsidRPr="00DC7CB7">
        <w:rPr>
          <w:rFonts w:eastAsia="Times New Roman" w:cs="Times New Roman"/>
          <w:szCs w:val="24"/>
          <w:lang w:val="fr-BE" w:eastAsia="en-GB"/>
        </w:rPr>
        <w:t>Au paragraphe 7, le Parlement</w:t>
      </w:r>
      <w:proofErr w:type="gramStart"/>
      <w:r w:rsidRPr="00DC7CB7">
        <w:rPr>
          <w:rFonts w:eastAsia="Times New Roman" w:cs="Times New Roman"/>
          <w:szCs w:val="24"/>
          <w:lang w:val="fr-BE" w:eastAsia="en-GB"/>
        </w:rPr>
        <w:t xml:space="preserve"> «invite</w:t>
      </w:r>
      <w:proofErr w:type="gramEnd"/>
      <w:r w:rsidRPr="00DC7CB7">
        <w:rPr>
          <w:rFonts w:eastAsia="Times New Roman" w:cs="Times New Roman"/>
          <w:szCs w:val="24"/>
          <w:lang w:val="fr-BE" w:eastAsia="en-GB"/>
        </w:rPr>
        <w:t xml:space="preserve"> la présidente du groupe “Code de conduite” à échanger régulièrement avec le Parlement, y compris en participant au moins une fois par an à une audition publique en son sein», tandis que dans le paragraphe 8, il «souligne qu’il convient de formaliser le rôle du Parlement en lien avec le groupe “Code de conduite”, y compris en ce qui concerne la gouvernance et les critères régissant l’inscription sur la liste, par exemple au moyen d’une procédure d’avis». La Commission est favorable à l’idée d’échanges plus réguliers entre le président du groupe</w:t>
      </w:r>
      <w:proofErr w:type="gramStart"/>
      <w:r w:rsidRPr="00DC7CB7">
        <w:rPr>
          <w:rFonts w:eastAsia="Times New Roman" w:cs="Times New Roman"/>
          <w:szCs w:val="24"/>
          <w:lang w:val="fr-BE" w:eastAsia="en-GB"/>
        </w:rPr>
        <w:t xml:space="preserve"> «Code</w:t>
      </w:r>
      <w:proofErr w:type="gramEnd"/>
      <w:r w:rsidRPr="00DC7CB7">
        <w:rPr>
          <w:rFonts w:eastAsia="Times New Roman" w:cs="Times New Roman"/>
          <w:szCs w:val="24"/>
          <w:lang w:val="fr-BE" w:eastAsia="en-GB"/>
        </w:rPr>
        <w:t xml:space="preserve"> de conduite» et le Parlement. Il convient toutefois de préciser</w:t>
      </w:r>
      <w:r w:rsidRPr="00DC7CB7">
        <w:rPr>
          <w:rFonts w:eastAsia="Times New Roman" w:cs="Times New Roman"/>
          <w:szCs w:val="20"/>
          <w:lang w:val="fr-BE" w:eastAsia="en-GB"/>
        </w:rPr>
        <w:t xml:space="preserve"> qu’en l’état, une éventuelle formalisation du rôle du Parlement européen nécessiterait la conclusion d’un accord entre le Parlement et le Conseil.</w:t>
      </w:r>
    </w:p>
    <w:p w:rsidR="00DC7CB7" w:rsidRPr="00DC7CB7" w:rsidRDefault="00DC7CB7" w:rsidP="00DC7CB7">
      <w:pPr>
        <w:widowControl w:val="0"/>
        <w:spacing w:after="120" w:line="240" w:lineRule="auto"/>
        <w:jc w:val="both"/>
        <w:rPr>
          <w:rFonts w:eastAsia="Times New Roman" w:cs="Times New Roman"/>
          <w:b/>
          <w:szCs w:val="24"/>
          <w:lang w:val="fr-BE" w:eastAsia="en-GB"/>
        </w:rPr>
      </w:pPr>
      <w:r w:rsidRPr="00DC7CB7">
        <w:rPr>
          <w:rFonts w:eastAsia="Times New Roman" w:cs="Times New Roman"/>
          <w:szCs w:val="24"/>
          <w:u w:val="single"/>
          <w:lang w:val="fr-BE" w:eastAsia="en-GB"/>
        </w:rPr>
        <w:t>Demande concernant le suivi des suites données aux recommandations par pays relatives à la planification fiscale agressive et au fait de considérer certains États membres comme des</w:t>
      </w:r>
      <w:proofErr w:type="gramStart"/>
      <w:r w:rsidRPr="00DC7CB7">
        <w:rPr>
          <w:rFonts w:eastAsia="Times New Roman" w:cs="Times New Roman"/>
          <w:szCs w:val="24"/>
          <w:u w:val="single"/>
          <w:lang w:val="fr-BE" w:eastAsia="en-GB"/>
        </w:rPr>
        <w:t xml:space="preserve"> «paradis</w:t>
      </w:r>
      <w:proofErr w:type="gramEnd"/>
      <w:r w:rsidRPr="00DC7CB7">
        <w:rPr>
          <w:rFonts w:eastAsia="Times New Roman" w:cs="Times New Roman"/>
          <w:szCs w:val="24"/>
          <w:u w:val="single"/>
          <w:lang w:val="fr-BE" w:eastAsia="en-GB"/>
        </w:rPr>
        <w:t xml:space="preserve"> fiscaux»</w:t>
      </w:r>
    </w:p>
    <w:p w:rsidR="00DC7CB7" w:rsidRPr="00DC7CB7" w:rsidRDefault="00DC7CB7" w:rsidP="00DC7CB7">
      <w:pPr>
        <w:widowControl w:val="0"/>
        <w:spacing w:after="120" w:line="240" w:lineRule="auto"/>
        <w:jc w:val="both"/>
        <w:rPr>
          <w:rFonts w:eastAsia="Times New Roman" w:cs="Times New Roman"/>
          <w:szCs w:val="24"/>
          <w:lang w:val="fr-BE" w:eastAsia="en-GB"/>
        </w:rPr>
      </w:pPr>
      <w:r w:rsidRPr="00DC7CB7">
        <w:rPr>
          <w:rFonts w:eastAsia="Times New Roman" w:cs="Times New Roman"/>
          <w:szCs w:val="24"/>
          <w:lang w:val="fr-BE" w:eastAsia="en-GB"/>
        </w:rPr>
        <w:t>Le paragraphe 9 de la résolution contient la première demande adressée à la Commission. Dans ce paragraphe, le Parlement européen demande à la Commission (et au Conseil) de</w:t>
      </w:r>
      <w:proofErr w:type="gramStart"/>
      <w:r w:rsidRPr="00DC7CB7">
        <w:rPr>
          <w:rFonts w:eastAsia="Times New Roman" w:cs="Times New Roman"/>
          <w:szCs w:val="24"/>
          <w:lang w:val="fr-BE" w:eastAsia="en-GB"/>
        </w:rPr>
        <w:t xml:space="preserve"> «[...]</w:t>
      </w:r>
      <w:proofErr w:type="gramEnd"/>
      <w:r w:rsidRPr="00DC7CB7">
        <w:rPr>
          <w:rFonts w:eastAsia="Times New Roman" w:cs="Times New Roman"/>
          <w:szCs w:val="24"/>
          <w:lang w:val="fr-BE" w:eastAsia="en-GB"/>
        </w:rPr>
        <w:t xml:space="preserve"> donner suite aux recommandations par pays [relatives à la planification fiscale agressive] adressées aux États membres concernés jusqu’à ce que des réformes fiscales substantielles soient mises en œuvre et de proposer des mesures si et quand la nécessité s’en fait sentir, et de considérer, jusque-là, les États membres concernés comme des paradis fiscaux au sein de l’Union; [...]».</w:t>
      </w:r>
    </w:p>
    <w:p w:rsidR="00DC7CB7" w:rsidRPr="00DC7CB7" w:rsidRDefault="00DC7CB7" w:rsidP="00DC7CB7">
      <w:pPr>
        <w:widowControl w:val="0"/>
        <w:spacing w:after="120" w:line="240" w:lineRule="auto"/>
        <w:jc w:val="both"/>
        <w:rPr>
          <w:rFonts w:eastAsia="Times New Roman" w:cs="Times New Roman"/>
          <w:szCs w:val="24"/>
          <w:lang w:val="fr-BE" w:eastAsia="en-GB"/>
        </w:rPr>
      </w:pPr>
      <w:r w:rsidRPr="00DC7CB7">
        <w:rPr>
          <w:rFonts w:eastAsia="Times New Roman" w:cs="Times New Roman"/>
          <w:szCs w:val="24"/>
          <w:lang w:val="fr-BE" w:eastAsia="en-GB"/>
        </w:rPr>
        <w:t>La Commission suit et contrôle régulièrement les progrès accomplis par les États membres dans la mise en œuvre des recommandations par pays, y compris celles relatives à la planification fiscale agressive. Cet ensemble de recommandations par pays s’inscrit dans un éventail plus large de mesures visant à garantir des conditions de concurrence équitables entre, d’une part, les États membres de l’UE et les pays tiers, d’autre part.</w:t>
      </w:r>
    </w:p>
    <w:p w:rsidR="00DC7CB7" w:rsidRPr="00DC7CB7" w:rsidRDefault="00DC7CB7" w:rsidP="00DC7CB7">
      <w:pPr>
        <w:widowControl w:val="0"/>
        <w:spacing w:after="120" w:line="240" w:lineRule="auto"/>
        <w:jc w:val="both"/>
        <w:rPr>
          <w:rFonts w:eastAsia="Times New Roman" w:cs="Times New Roman"/>
          <w:szCs w:val="24"/>
          <w:lang w:val="fr-BE" w:eastAsia="en-GB"/>
        </w:rPr>
      </w:pPr>
      <w:r w:rsidRPr="00DC7CB7">
        <w:rPr>
          <w:rFonts w:eastAsia="Times New Roman" w:cs="Times New Roman"/>
          <w:szCs w:val="24"/>
          <w:lang w:val="fr-BE" w:eastAsia="en-GB"/>
        </w:rPr>
        <w:t>La Commission continuera à proposer des améliorations de la législation fiscale de l’UE, en vue de garantir une concurrence fiscale équitable au sein du marché intérieur et des pratiques fiscales saines dans tous les États membres. En juillet 2020, la Commission a proposé une réforme importante du mandat du groupe</w:t>
      </w:r>
      <w:proofErr w:type="gramStart"/>
      <w:r w:rsidRPr="00DC7CB7">
        <w:rPr>
          <w:rFonts w:eastAsia="Times New Roman" w:cs="Times New Roman"/>
          <w:szCs w:val="24"/>
          <w:lang w:val="fr-BE" w:eastAsia="en-GB"/>
        </w:rPr>
        <w:t xml:space="preserve"> «Code</w:t>
      </w:r>
      <w:proofErr w:type="gramEnd"/>
      <w:r w:rsidRPr="00DC7CB7">
        <w:rPr>
          <w:rFonts w:eastAsia="Times New Roman" w:cs="Times New Roman"/>
          <w:szCs w:val="24"/>
          <w:lang w:val="fr-BE" w:eastAsia="en-GB"/>
        </w:rPr>
        <w:t xml:space="preserve"> de conduite», afin de renforcer sa capacité à lutter contre les pratiques fiscales dommageables. Les discussions avec les États membres sont en cours.</w:t>
      </w:r>
    </w:p>
    <w:p w:rsidR="00DC7CB7" w:rsidRPr="00DC7CB7" w:rsidRDefault="00DC7CB7" w:rsidP="00DC7CB7">
      <w:pPr>
        <w:widowControl w:val="0"/>
        <w:spacing w:after="120" w:line="240" w:lineRule="auto"/>
        <w:jc w:val="both"/>
        <w:rPr>
          <w:rFonts w:eastAsia="Times New Roman" w:cs="Times New Roman"/>
          <w:szCs w:val="24"/>
          <w:u w:val="single"/>
          <w:lang w:val="fr-BE" w:eastAsia="en-GB"/>
        </w:rPr>
      </w:pPr>
      <w:r w:rsidRPr="00DC7CB7">
        <w:rPr>
          <w:rFonts w:eastAsia="Times New Roman" w:cs="Times New Roman"/>
          <w:szCs w:val="24"/>
          <w:u w:val="single"/>
          <w:lang w:val="fr-BE" w:eastAsia="en-GB"/>
        </w:rPr>
        <w:t xml:space="preserve">Article 116 du </w:t>
      </w:r>
      <w:proofErr w:type="spellStart"/>
      <w:r w:rsidRPr="00DC7CB7">
        <w:rPr>
          <w:rFonts w:eastAsia="Times New Roman" w:cs="Times New Roman"/>
          <w:szCs w:val="24"/>
          <w:u w:val="single"/>
          <w:lang w:val="fr-BE" w:eastAsia="en-GB"/>
        </w:rPr>
        <w:t>TFUE</w:t>
      </w:r>
      <w:proofErr w:type="spellEnd"/>
    </w:p>
    <w:p w:rsidR="00DC7CB7" w:rsidRPr="00DC7CB7" w:rsidRDefault="00DC7CB7" w:rsidP="00DC7CB7">
      <w:pPr>
        <w:widowControl w:val="0"/>
        <w:spacing w:after="120" w:line="240" w:lineRule="auto"/>
        <w:jc w:val="both"/>
        <w:rPr>
          <w:rFonts w:eastAsia="Times New Roman" w:cs="Times New Roman"/>
          <w:szCs w:val="24"/>
          <w:lang w:val="fr-BE" w:eastAsia="en-GB"/>
        </w:rPr>
      </w:pPr>
      <w:r w:rsidRPr="00DC7CB7">
        <w:rPr>
          <w:rFonts w:eastAsia="Times New Roman" w:cs="Times New Roman"/>
          <w:szCs w:val="24"/>
          <w:lang w:val="fr-BE" w:eastAsia="en-GB"/>
        </w:rPr>
        <w:t>Au paragraphe 10, le Parlement</w:t>
      </w:r>
      <w:proofErr w:type="gramStart"/>
      <w:r w:rsidRPr="00DC7CB7">
        <w:rPr>
          <w:rFonts w:eastAsia="Times New Roman" w:cs="Times New Roman"/>
          <w:szCs w:val="24"/>
          <w:lang w:val="fr-BE" w:eastAsia="en-GB"/>
        </w:rPr>
        <w:t xml:space="preserve"> «rappelle</w:t>
      </w:r>
      <w:proofErr w:type="gramEnd"/>
      <w:r w:rsidRPr="00DC7CB7">
        <w:rPr>
          <w:rFonts w:eastAsia="Times New Roman" w:cs="Times New Roman"/>
          <w:szCs w:val="24"/>
          <w:lang w:val="fr-BE" w:eastAsia="en-GB"/>
        </w:rPr>
        <w:t xml:space="preserve"> qu’il convient d’appliquer, lorsque des pratiques fiscales dommageables entraînent des distorsions du marché au sein de l’Union, la procédure prévue par l’article 116 du traité sur le fonctionnement de l’Union européenne (traité </w:t>
      </w:r>
      <w:proofErr w:type="spellStart"/>
      <w:r w:rsidRPr="00DC7CB7">
        <w:rPr>
          <w:rFonts w:eastAsia="Times New Roman" w:cs="Times New Roman"/>
          <w:szCs w:val="24"/>
          <w:lang w:val="fr-BE" w:eastAsia="en-GB"/>
        </w:rPr>
        <w:t>FUE</w:t>
      </w:r>
      <w:proofErr w:type="spellEnd"/>
      <w:r w:rsidRPr="00DC7CB7">
        <w:rPr>
          <w:rFonts w:eastAsia="Times New Roman" w:cs="Times New Roman"/>
          <w:szCs w:val="24"/>
          <w:lang w:val="fr-BE" w:eastAsia="en-GB"/>
        </w:rPr>
        <w:t>), en vertu de laquelle le Parlement européen et le Conseil statuent conformément à la procédure législative ordinaire». L</w:t>
      </w:r>
      <w:r w:rsidRPr="00DC7CB7">
        <w:rPr>
          <w:rFonts w:eastAsia="Times New Roman" w:cs="Times New Roman"/>
          <w:szCs w:val="20"/>
          <w:lang w:val="fr-BE" w:eastAsia="en-GB"/>
        </w:rPr>
        <w:t>a Commission étudiera la manière de tirer pleinement parti des dispositions du traité sur le fonctionnement de l’UE (</w:t>
      </w:r>
      <w:proofErr w:type="spellStart"/>
      <w:r w:rsidRPr="00DC7CB7">
        <w:rPr>
          <w:rFonts w:eastAsia="Times New Roman" w:cs="Times New Roman"/>
          <w:szCs w:val="20"/>
          <w:lang w:val="fr-BE" w:eastAsia="en-GB"/>
        </w:rPr>
        <w:t>TFUE</w:t>
      </w:r>
      <w:proofErr w:type="spellEnd"/>
      <w:r w:rsidRPr="00DC7CB7">
        <w:rPr>
          <w:rFonts w:eastAsia="Times New Roman" w:cs="Times New Roman"/>
          <w:szCs w:val="20"/>
          <w:lang w:val="fr-BE" w:eastAsia="en-GB"/>
        </w:rPr>
        <w:t>) qui, en matière fiscale, autorisent l’adoption de propositions selon la procédure législative ordinaire, et notamment son article 116.</w:t>
      </w:r>
    </w:p>
    <w:p w:rsidR="00DC7CB7" w:rsidRPr="00DC7CB7" w:rsidRDefault="00DC7CB7" w:rsidP="00DC7CB7">
      <w:pPr>
        <w:widowControl w:val="0"/>
        <w:spacing w:after="120" w:line="240" w:lineRule="auto"/>
        <w:jc w:val="both"/>
        <w:rPr>
          <w:rFonts w:eastAsia="Times New Roman" w:cs="Times New Roman"/>
          <w:szCs w:val="24"/>
          <w:u w:val="single"/>
          <w:lang w:val="fr-BE" w:eastAsia="en-GB"/>
        </w:rPr>
      </w:pPr>
      <w:r w:rsidRPr="00DC7CB7">
        <w:rPr>
          <w:rFonts w:eastAsia="Times New Roman" w:cs="Times New Roman"/>
          <w:szCs w:val="24"/>
          <w:u w:val="single"/>
          <w:lang w:val="fr-BE" w:eastAsia="en-GB"/>
        </w:rPr>
        <w:lastRenderedPageBreak/>
        <w:t>Mise à jour des critères d’inscription sur la liste de l’Union européenne afin de les adapter aux défis actuels et futurs</w:t>
      </w:r>
    </w:p>
    <w:p w:rsidR="00DC7CB7" w:rsidRPr="00DC7CB7" w:rsidRDefault="00DC7CB7" w:rsidP="00DC7CB7">
      <w:pPr>
        <w:spacing w:after="120" w:line="240" w:lineRule="auto"/>
        <w:jc w:val="both"/>
        <w:rPr>
          <w:rFonts w:eastAsia="Times New Roman" w:cs="Times New Roman"/>
          <w:szCs w:val="24"/>
          <w:lang w:val="fr-BE" w:eastAsia="en-GB"/>
        </w:rPr>
      </w:pPr>
      <w:r w:rsidRPr="00DC7CB7">
        <w:rPr>
          <w:rFonts w:eastAsia="Times New Roman" w:cs="Times New Roman"/>
          <w:szCs w:val="24"/>
          <w:lang w:val="fr-BE" w:eastAsia="en-GB"/>
        </w:rPr>
        <w:t>Au paragraphe 12, le Parlement</w:t>
      </w:r>
      <w:proofErr w:type="gramStart"/>
      <w:r w:rsidRPr="00DC7CB7">
        <w:rPr>
          <w:rFonts w:eastAsia="Times New Roman" w:cs="Times New Roman"/>
          <w:szCs w:val="24"/>
          <w:lang w:val="fr-BE" w:eastAsia="en-GB"/>
        </w:rPr>
        <w:t xml:space="preserve"> «rappelle</w:t>
      </w:r>
      <w:proofErr w:type="gramEnd"/>
      <w:r w:rsidRPr="00DC7CB7">
        <w:rPr>
          <w:rFonts w:eastAsia="Times New Roman" w:cs="Times New Roman"/>
          <w:szCs w:val="24"/>
          <w:lang w:val="fr-BE" w:eastAsia="en-GB"/>
        </w:rPr>
        <w:t xml:space="preserve"> l’importance du critère de transparence relatif à la liste; [...] est par conséquent d’avis que l’absence de réciprocité inhérente au </w:t>
      </w:r>
      <w:proofErr w:type="spellStart"/>
      <w:r w:rsidRPr="00DC7CB7">
        <w:rPr>
          <w:rFonts w:eastAsia="Times New Roman" w:cs="Times New Roman"/>
          <w:szCs w:val="24"/>
          <w:lang w:val="fr-BE" w:eastAsia="en-GB"/>
        </w:rPr>
        <w:t>FATCA</w:t>
      </w:r>
      <w:proofErr w:type="spellEnd"/>
      <w:r w:rsidRPr="00DC7CB7">
        <w:rPr>
          <w:rFonts w:eastAsia="Times New Roman" w:cs="Times New Roman"/>
          <w:szCs w:val="24"/>
          <w:lang w:val="fr-BE" w:eastAsia="en-GB"/>
        </w:rPr>
        <w:t xml:space="preserve"> (loi relative au respect des obligations fiscales concernant les comptes étrangers) devrait être examinée au regard du critère de transparence». </w:t>
      </w:r>
      <w:r w:rsidRPr="00DC7CB7">
        <w:rPr>
          <w:rFonts w:eastAsia="Times New Roman" w:cs="Times New Roman"/>
          <w:szCs w:val="20"/>
          <w:lang w:val="fr-BE" w:eastAsia="en-GB"/>
        </w:rPr>
        <w:t xml:space="preserve">La Commission attache une grande importance au critère de transparence de la liste de l’UE et des travaux ont été entamés en vue de la mettre à jour afin de tenir compte des </w:t>
      </w:r>
      <w:r w:rsidRPr="00DC7CB7">
        <w:rPr>
          <w:rFonts w:eastAsia="Times New Roman" w:cs="Times New Roman"/>
          <w:szCs w:val="24"/>
          <w:lang w:val="fr-BE" w:eastAsia="en-GB"/>
        </w:rPr>
        <w:t xml:space="preserve">derniers développements internationaux dans le domaine des bénéficiaires effectifs. Les États-Unis relèvent du champ d’application géographique du processus d’inscription sur la liste de l’UE, au même titre que plus de 90 autres pays tiers. Ils ont mis en œuvre l’échange automatique d’informations relatives aux comptes financiers au moyen d’accords relevant du </w:t>
      </w:r>
      <w:proofErr w:type="spellStart"/>
      <w:r w:rsidRPr="00DC7CB7">
        <w:rPr>
          <w:rFonts w:eastAsia="Times New Roman" w:cs="Times New Roman"/>
          <w:szCs w:val="24"/>
          <w:lang w:val="fr-BE" w:eastAsia="en-GB"/>
        </w:rPr>
        <w:t>FATCA</w:t>
      </w:r>
      <w:proofErr w:type="spellEnd"/>
      <w:r w:rsidRPr="00DC7CB7">
        <w:rPr>
          <w:rFonts w:eastAsia="Times New Roman" w:cs="Times New Roman"/>
          <w:szCs w:val="24"/>
          <w:lang w:val="fr-BE" w:eastAsia="en-GB"/>
        </w:rPr>
        <w:t xml:space="preserve">. Le </w:t>
      </w:r>
      <w:proofErr w:type="spellStart"/>
      <w:r w:rsidRPr="00DC7CB7">
        <w:rPr>
          <w:rFonts w:eastAsia="Times New Roman" w:cs="Times New Roman"/>
          <w:szCs w:val="24"/>
          <w:lang w:val="fr-BE" w:eastAsia="en-GB"/>
        </w:rPr>
        <w:t>FATCA</w:t>
      </w:r>
      <w:proofErr w:type="spellEnd"/>
      <w:r w:rsidRPr="00DC7CB7">
        <w:rPr>
          <w:rFonts w:eastAsia="Times New Roman" w:cs="Times New Roman"/>
          <w:szCs w:val="24"/>
          <w:lang w:val="fr-BE" w:eastAsia="en-GB"/>
        </w:rPr>
        <w:t xml:space="preserve"> a été jugé équivalent à la norme commune de déclaration de l’OCDE (</w:t>
      </w:r>
      <w:r w:rsidRPr="00DC7CB7">
        <w:rPr>
          <w:rFonts w:eastAsia="Times New Roman" w:cs="Times New Roman"/>
          <w:szCs w:val="24"/>
          <w:bdr w:val="none" w:sz="0" w:space="0" w:color="auto" w:frame="1"/>
          <w:lang w:val="fr-BE" w:eastAsia="en-GB"/>
        </w:rPr>
        <w:t xml:space="preserve">Organisation de coopération et de développement </w:t>
      </w:r>
      <w:proofErr w:type="gramStart"/>
      <w:r w:rsidRPr="00DC7CB7">
        <w:rPr>
          <w:rFonts w:eastAsia="Times New Roman" w:cs="Times New Roman"/>
          <w:szCs w:val="24"/>
          <w:bdr w:val="none" w:sz="0" w:space="0" w:color="auto" w:frame="1"/>
          <w:lang w:val="fr-BE" w:eastAsia="en-GB"/>
        </w:rPr>
        <w:t>économiques)</w:t>
      </w:r>
      <w:r w:rsidRPr="00DC7CB7">
        <w:rPr>
          <w:rFonts w:eastAsia="Times New Roman" w:cs="Times New Roman"/>
          <w:szCs w:val="24"/>
          <w:lang w:val="fr-BE" w:eastAsia="en-GB"/>
        </w:rPr>
        <w:t>dans</w:t>
      </w:r>
      <w:proofErr w:type="gramEnd"/>
      <w:r w:rsidRPr="00DC7CB7">
        <w:rPr>
          <w:rFonts w:eastAsia="Times New Roman" w:cs="Times New Roman"/>
          <w:sz w:val="21"/>
          <w:szCs w:val="21"/>
          <w:bdr w:val="none" w:sz="0" w:space="0" w:color="auto" w:frame="1"/>
          <w:lang w:val="fr-BE" w:eastAsia="en-GB"/>
        </w:rPr>
        <w:t xml:space="preserve"> </w:t>
      </w:r>
      <w:r w:rsidRPr="00DC7CB7">
        <w:rPr>
          <w:rFonts w:eastAsia="Times New Roman" w:cs="Times New Roman"/>
          <w:szCs w:val="24"/>
          <w:lang w:val="fr-BE" w:eastAsia="en-GB"/>
        </w:rPr>
        <w:t>le cadre du critère de la liste de l’UE relatif à la transparence fiscale 1.1 et les États-Unis</w:t>
      </w:r>
      <w:r w:rsidRPr="00DC7CB7">
        <w:rPr>
          <w:rFonts w:eastAsia="Times New Roman" w:cs="Times New Roman"/>
          <w:szCs w:val="20"/>
          <w:lang w:val="fr-BE" w:eastAsia="en-GB"/>
        </w:rPr>
        <w:t xml:space="preserve"> ont été jugés conformes au critère 1.1 de l’UE en décembre 2017. </w:t>
      </w:r>
      <w:r w:rsidRPr="00DC7CB7">
        <w:rPr>
          <w:rFonts w:eastAsia="Times New Roman" w:cs="Times New Roman"/>
          <w:szCs w:val="24"/>
          <w:lang w:val="fr-BE" w:eastAsia="en-GB"/>
        </w:rPr>
        <w:t>Depuis lors, aucun État membre n’a soulevé, au sein du groupe</w:t>
      </w:r>
      <w:proofErr w:type="gramStart"/>
      <w:r w:rsidRPr="00DC7CB7">
        <w:rPr>
          <w:rFonts w:eastAsia="Times New Roman" w:cs="Times New Roman"/>
          <w:szCs w:val="24"/>
          <w:lang w:val="fr-BE" w:eastAsia="en-GB"/>
        </w:rPr>
        <w:t xml:space="preserve"> «Code</w:t>
      </w:r>
      <w:proofErr w:type="gramEnd"/>
      <w:r w:rsidRPr="00DC7CB7">
        <w:rPr>
          <w:rFonts w:eastAsia="Times New Roman" w:cs="Times New Roman"/>
          <w:szCs w:val="24"/>
          <w:lang w:val="fr-BE" w:eastAsia="en-GB"/>
        </w:rPr>
        <w:t xml:space="preserve"> de conduite», une question concernant l’absence de réciprocité du </w:t>
      </w:r>
      <w:proofErr w:type="spellStart"/>
      <w:r w:rsidRPr="00DC7CB7">
        <w:rPr>
          <w:rFonts w:eastAsia="Times New Roman" w:cs="Times New Roman"/>
          <w:szCs w:val="24"/>
          <w:lang w:val="fr-BE" w:eastAsia="en-GB"/>
        </w:rPr>
        <w:t>FATCA</w:t>
      </w:r>
      <w:proofErr w:type="spellEnd"/>
      <w:r w:rsidRPr="00DC7CB7">
        <w:rPr>
          <w:rFonts w:eastAsia="Times New Roman" w:cs="Times New Roman"/>
          <w:szCs w:val="24"/>
          <w:lang w:val="fr-BE" w:eastAsia="en-GB"/>
        </w:rPr>
        <w:t xml:space="preserve"> américain et n’a demandé que cette question soit examinée dans le cadre du processus d’inscription sur la liste de l’UE.</w:t>
      </w:r>
      <w:r w:rsidRPr="00DC7CB7">
        <w:rPr>
          <w:rFonts w:eastAsia="Times New Roman" w:cs="Times New Roman"/>
          <w:szCs w:val="20"/>
          <w:lang w:val="fr-BE" w:eastAsia="en-GB"/>
        </w:rPr>
        <w:t xml:space="preserve"> La Commission partage le point de vue selon lequel l’absence de réciprocité du </w:t>
      </w:r>
      <w:proofErr w:type="spellStart"/>
      <w:r w:rsidRPr="00DC7CB7">
        <w:rPr>
          <w:rFonts w:eastAsia="Times New Roman" w:cs="Times New Roman"/>
          <w:szCs w:val="20"/>
          <w:lang w:val="fr-BE" w:eastAsia="en-GB"/>
        </w:rPr>
        <w:t>FACTA</w:t>
      </w:r>
      <w:proofErr w:type="spellEnd"/>
      <w:r w:rsidRPr="00DC7CB7">
        <w:rPr>
          <w:rFonts w:eastAsia="Times New Roman" w:cs="Times New Roman"/>
          <w:szCs w:val="20"/>
          <w:lang w:val="fr-BE" w:eastAsia="en-GB"/>
        </w:rPr>
        <w:t xml:space="preserve"> des États-Unis est un problème et espère que des progrès pourront être réalisés avec la nouvelle administration américaine.</w:t>
      </w:r>
    </w:p>
    <w:p w:rsidR="00DC7CB7" w:rsidRPr="00DC7CB7" w:rsidRDefault="00DC7CB7" w:rsidP="00DC7CB7">
      <w:pPr>
        <w:widowControl w:val="0"/>
        <w:spacing w:after="120" w:line="240" w:lineRule="auto"/>
        <w:jc w:val="both"/>
        <w:rPr>
          <w:rFonts w:eastAsia="Times New Roman" w:cs="Times New Roman"/>
          <w:szCs w:val="24"/>
          <w:u w:val="single"/>
          <w:lang w:val="fr-BE" w:eastAsia="en-GB"/>
        </w:rPr>
      </w:pPr>
      <w:r w:rsidRPr="00DC7CB7">
        <w:rPr>
          <w:rFonts w:eastAsia="Times New Roman" w:cs="Times New Roman"/>
          <w:szCs w:val="24"/>
          <w:u w:val="single"/>
          <w:lang w:val="fr-BE" w:eastAsia="en-GB"/>
        </w:rPr>
        <w:t>Demandes relatives au niveau d'imposition et son utilisation comme critère pour la liste de l’UE</w:t>
      </w:r>
    </w:p>
    <w:p w:rsidR="00DC7CB7" w:rsidRPr="00DC7CB7" w:rsidRDefault="00DC7CB7" w:rsidP="00DC7CB7">
      <w:pPr>
        <w:widowControl w:val="0"/>
        <w:spacing w:after="120" w:line="240" w:lineRule="auto"/>
        <w:jc w:val="both"/>
        <w:rPr>
          <w:rFonts w:eastAsia="Times New Roman" w:cs="Times New Roman"/>
          <w:szCs w:val="24"/>
          <w:lang w:val="fr-BE" w:eastAsia="en-GB"/>
        </w:rPr>
      </w:pPr>
      <w:r w:rsidRPr="00DC7CB7">
        <w:rPr>
          <w:rFonts w:eastAsia="Times New Roman" w:cs="Times New Roman"/>
          <w:szCs w:val="24"/>
          <w:lang w:val="fr-BE" w:eastAsia="en-GB"/>
        </w:rPr>
        <w:t>Le paragraphe 13 comprend deux demandes liées adressées à la Commission visant à</w:t>
      </w:r>
      <w:proofErr w:type="gramStart"/>
      <w:r w:rsidRPr="00DC7CB7">
        <w:rPr>
          <w:rFonts w:eastAsia="Times New Roman" w:cs="Times New Roman"/>
          <w:szCs w:val="24"/>
          <w:lang w:val="fr-BE" w:eastAsia="en-GB"/>
        </w:rPr>
        <w:t xml:space="preserve"> «inclure</w:t>
      </w:r>
      <w:proofErr w:type="gramEnd"/>
      <w:r w:rsidRPr="00DC7CB7">
        <w:rPr>
          <w:rFonts w:eastAsia="Times New Roman" w:cs="Times New Roman"/>
          <w:szCs w:val="24"/>
          <w:lang w:val="fr-BE" w:eastAsia="en-GB"/>
        </w:rPr>
        <w:t xml:space="preserve"> dans l’évaluation les mesures fiscales favorables aux faibles niveaux d’imposition, conformément aux négociations en cours sur le deuxième pilier du cadre inclusif de l’OCDE/G20, en particulier en ce qui concerne la taxation minimale; [...] et «invite la Commission et le Conseil à proposer un taux minimal effectif d’imposition qui constituerait un critère autonome pour la liste de l’Union». La Commission convient pleinement qu’il sera nécessaire de réviser les critères d’équité fiscale de la liste de l’UE (soit les critères 2.1 et 2.2) afin de tenir compte des résultats de la réforme fiscale internationale sur l’imposition minimale effective (pilier 2). En outre, et conformément à la communication de la Commission de juillet 2020, des travaux ont déjà commencé sur la réforme du code de conduite, notamment pour étendre son champ d’application à certaines caractéristiques générales des systèmes d’imposition des sociétés, qui pourraient présenter des risques similaires aux régimes fiscaux préférentiels.</w:t>
      </w:r>
    </w:p>
    <w:p w:rsidR="00BB74B4" w:rsidRDefault="00DC7CB7" w:rsidP="00DC7CB7">
      <w:pPr>
        <w:widowControl w:val="0"/>
        <w:spacing w:after="120" w:line="240" w:lineRule="auto"/>
        <w:jc w:val="both"/>
        <w:rPr>
          <w:rFonts w:eastAsia="Times New Roman" w:cs="Times New Roman"/>
          <w:szCs w:val="24"/>
          <w:lang w:val="fr-BE" w:eastAsia="en-GB"/>
        </w:rPr>
      </w:pPr>
      <w:r w:rsidRPr="00DC7CB7">
        <w:rPr>
          <w:rFonts w:eastAsia="Times New Roman" w:cs="Times New Roman"/>
          <w:szCs w:val="24"/>
          <w:lang w:val="fr-BE" w:eastAsia="en-GB"/>
        </w:rPr>
        <w:t>Au paragraphe 14, le Parlement</w:t>
      </w:r>
      <w:proofErr w:type="gramStart"/>
      <w:r w:rsidRPr="00DC7CB7">
        <w:rPr>
          <w:rFonts w:eastAsia="Times New Roman" w:cs="Times New Roman"/>
          <w:szCs w:val="24"/>
          <w:lang w:val="fr-BE" w:eastAsia="en-GB"/>
        </w:rPr>
        <w:t xml:space="preserve"> «demande</w:t>
      </w:r>
      <w:proofErr w:type="gramEnd"/>
      <w:r w:rsidRPr="00DC7CB7">
        <w:rPr>
          <w:rFonts w:eastAsia="Times New Roman" w:cs="Times New Roman"/>
          <w:szCs w:val="24"/>
          <w:lang w:val="fr-BE" w:eastAsia="en-GB"/>
        </w:rPr>
        <w:t xml:space="preserve"> à la Commission d’envisager les avantages que présenterait l’adoption d’une initiative similaire au deuxième pilier du cadre inclusif pour les critères d’inscription sur la liste de l’Union, au cas où aucun consensus politique ne se dégagerait au niveau de l’OCDE sur la mise en œuvre de ces mesures d’ici à la fin 2021». Comme l’a déjà annoncé à maintes reprises le commissaire Gentiloni, la Commission proposera une transposition rapide d’un éventuel accord de l’OCDE et présentera une proposition législative ad hoc en l’absence de solution consensuelle à l’échelle mondiale. À la suite de toute initiative de ce type, les critères d’inscription sur la liste de l’UE sur l’équité fiscale (c’est-à-dire les critères 2.1 et 2.2) devront être réexaminés afin de tenir compte de l’évolution du taux minimal d’imposition.</w:t>
      </w:r>
    </w:p>
    <w:p w:rsidR="00BB74B4" w:rsidRDefault="00BB74B4">
      <w:pPr>
        <w:rPr>
          <w:rFonts w:eastAsia="Times New Roman" w:cs="Times New Roman"/>
          <w:szCs w:val="24"/>
          <w:lang w:val="fr-BE" w:eastAsia="en-GB"/>
        </w:rPr>
      </w:pPr>
      <w:r>
        <w:rPr>
          <w:rFonts w:eastAsia="Times New Roman" w:cs="Times New Roman"/>
          <w:szCs w:val="24"/>
          <w:lang w:val="fr-BE" w:eastAsia="en-GB"/>
        </w:rPr>
        <w:br w:type="page"/>
      </w:r>
    </w:p>
    <w:p w:rsidR="00DC7CB7" w:rsidRPr="00DC7CB7" w:rsidRDefault="00DC7CB7" w:rsidP="00DC7CB7">
      <w:pPr>
        <w:widowControl w:val="0"/>
        <w:spacing w:after="120" w:line="240" w:lineRule="auto"/>
        <w:jc w:val="both"/>
        <w:rPr>
          <w:rFonts w:eastAsia="Times New Roman" w:cs="Times New Roman"/>
          <w:szCs w:val="24"/>
          <w:u w:val="single"/>
          <w:lang w:val="fr-BE" w:eastAsia="en-GB"/>
        </w:rPr>
      </w:pPr>
      <w:bookmarkStart w:id="1" w:name="_GoBack"/>
      <w:bookmarkEnd w:id="1"/>
      <w:r w:rsidRPr="00DC7CB7">
        <w:rPr>
          <w:rFonts w:eastAsia="Times New Roman" w:cs="Times New Roman"/>
          <w:szCs w:val="24"/>
          <w:u w:val="single"/>
          <w:lang w:val="fr-BE" w:eastAsia="en-GB"/>
        </w:rPr>
        <w:lastRenderedPageBreak/>
        <w:t>Élargissement du champ d’application géopolitique de la liste de l’UE</w:t>
      </w:r>
    </w:p>
    <w:p w:rsidR="00DC7CB7" w:rsidRPr="00DC7CB7" w:rsidRDefault="00DC7CB7" w:rsidP="00DC7CB7">
      <w:pPr>
        <w:widowControl w:val="0"/>
        <w:spacing w:after="120" w:line="240" w:lineRule="auto"/>
        <w:jc w:val="both"/>
        <w:rPr>
          <w:rFonts w:eastAsia="Times New Roman" w:cs="Times New Roman"/>
          <w:szCs w:val="20"/>
          <w:lang w:val="fr-BE" w:eastAsia="en-GB"/>
        </w:rPr>
      </w:pPr>
      <w:r w:rsidRPr="00DC7CB7">
        <w:rPr>
          <w:rFonts w:eastAsia="Times New Roman" w:cs="Times New Roman"/>
          <w:szCs w:val="24"/>
          <w:lang w:val="fr-BE" w:eastAsia="en-GB"/>
        </w:rPr>
        <w:t>Au paragraphe 17, le Parlement</w:t>
      </w:r>
      <w:proofErr w:type="gramStart"/>
      <w:r w:rsidRPr="00DC7CB7">
        <w:rPr>
          <w:rFonts w:eastAsia="Times New Roman" w:cs="Times New Roman"/>
          <w:szCs w:val="24"/>
          <w:lang w:val="fr-BE" w:eastAsia="en-GB"/>
        </w:rPr>
        <w:t xml:space="preserve"> «soutient</w:t>
      </w:r>
      <w:proofErr w:type="gramEnd"/>
      <w:r w:rsidRPr="00DC7CB7">
        <w:rPr>
          <w:rFonts w:eastAsia="Times New Roman" w:cs="Times New Roman"/>
          <w:szCs w:val="24"/>
          <w:lang w:val="fr-BE" w:eastAsia="en-GB"/>
        </w:rPr>
        <w:t xml:space="preserve"> l’élargissement du champ d’application géographique de la liste de l’Union, tout en tenant compte de la position des pays les moins avancés», tout en soulignant «qu’il conviendra de prendre en compte de manière systématique, dans de futures évaluations, le fait que certains pays en développement pourraient ne pas disposer des ressources nécessaires à l’application rapide des normes fiscales nouvellement convenues». Il est toutefois précisé que</w:t>
      </w:r>
      <w:proofErr w:type="gramStart"/>
      <w:r w:rsidRPr="00DC7CB7">
        <w:rPr>
          <w:rFonts w:eastAsia="Times New Roman" w:cs="Times New Roman"/>
          <w:szCs w:val="24"/>
          <w:lang w:val="fr-BE" w:eastAsia="en-GB"/>
        </w:rPr>
        <w:t xml:space="preserve"> «les</w:t>
      </w:r>
      <w:proofErr w:type="gramEnd"/>
      <w:r w:rsidRPr="00DC7CB7">
        <w:rPr>
          <w:rFonts w:eastAsia="Times New Roman" w:cs="Times New Roman"/>
          <w:szCs w:val="24"/>
          <w:lang w:val="fr-BE" w:eastAsia="en-GB"/>
        </w:rPr>
        <w:t xml:space="preserve"> pays disposant de centres financiers de taille conséquente ne devraient pas bénéficier d’une telle tolérance». La Commission convient que le champ d’application géographique de la liste de l’UE devrait être élargi, en tenant compte du statut de développement des pays et du fait qu’ils disposent ou non d’un centre financier. En particulier, les États membres ont décidé dès le départ d’exclure les pays les moins avancés du processus d’inscription sur la liste de l’UE, compte tenu de leurs capacités administratives limitées. En outre, la plupart des pays en développement sont exemptés de l’obligation d’échange automatique d’informations (critère 1.1 du processus d’inscription sur la liste de l’UE). Les pays en développement bénéficient d’une assistance technique étendue et des conseils d’experts de la Commission afin de mettre en œuvre les mesures appropriées leur permettant de se conformer aux critères de la liste de l’UE. À l’heure actuelle, la Commission travaille à la mise à jour du tableau de bord 2016 afin de donner la priorité aux pays et territoires devant faire l’objet d’une évaluation dans le cadre du processus d’inscription sur la liste de l’UE.</w:t>
      </w:r>
    </w:p>
    <w:p w:rsidR="00DC7CB7" w:rsidRPr="00DC7CB7" w:rsidRDefault="00DC7CB7" w:rsidP="00DC7CB7">
      <w:pPr>
        <w:spacing w:after="120" w:line="240" w:lineRule="auto"/>
        <w:jc w:val="both"/>
        <w:rPr>
          <w:rFonts w:eastAsia="Times New Roman" w:cs="Times New Roman"/>
          <w:szCs w:val="20"/>
          <w:u w:val="single"/>
          <w:lang w:val="fr-BE" w:eastAsia="en-GB"/>
        </w:rPr>
      </w:pPr>
      <w:r w:rsidRPr="00DC7CB7">
        <w:rPr>
          <w:rFonts w:eastAsia="Times New Roman" w:cs="Times New Roman"/>
          <w:szCs w:val="20"/>
          <w:u w:val="single"/>
          <w:lang w:val="fr-BE" w:eastAsia="en-GB"/>
        </w:rPr>
        <w:t>Divergences entre la liste de l’UE et les autres listes</w:t>
      </w:r>
    </w:p>
    <w:p w:rsidR="00DC7CB7" w:rsidRPr="00DC7CB7" w:rsidRDefault="00DC7CB7" w:rsidP="00DC7CB7">
      <w:pPr>
        <w:spacing w:after="120" w:line="240" w:lineRule="auto"/>
        <w:jc w:val="both"/>
        <w:rPr>
          <w:rFonts w:eastAsia="Times New Roman" w:cs="Times New Roman"/>
          <w:szCs w:val="24"/>
          <w:lang w:val="fr-BE" w:eastAsia="en-GB"/>
        </w:rPr>
      </w:pPr>
      <w:r w:rsidRPr="00DC7CB7">
        <w:rPr>
          <w:rFonts w:eastAsia="Times New Roman" w:cs="Times New Roman"/>
          <w:szCs w:val="24"/>
          <w:lang w:val="fr-BE" w:eastAsia="en-GB"/>
        </w:rPr>
        <w:t xml:space="preserve">Au paragraphe 5, le Parlement met particulièrement en garde contre la possibilité que la liste européenne diffère des listes de paradis fiscaux dressées de manière transparente par des tierces </w:t>
      </w:r>
      <w:proofErr w:type="gramStart"/>
      <w:r w:rsidRPr="00DC7CB7">
        <w:rPr>
          <w:rFonts w:eastAsia="Times New Roman" w:cs="Times New Roman"/>
          <w:szCs w:val="24"/>
          <w:lang w:val="fr-BE" w:eastAsia="en-GB"/>
        </w:rPr>
        <w:t>parties»</w:t>
      </w:r>
      <w:proofErr w:type="gramEnd"/>
      <w:r w:rsidRPr="00DC7CB7">
        <w:rPr>
          <w:rFonts w:eastAsia="Times New Roman" w:cs="Times New Roman"/>
          <w:szCs w:val="24"/>
          <w:lang w:val="fr-BE" w:eastAsia="en-GB"/>
        </w:rPr>
        <w:t>. Il</w:t>
      </w:r>
      <w:proofErr w:type="gramStart"/>
      <w:r w:rsidRPr="00DC7CB7">
        <w:rPr>
          <w:rFonts w:eastAsia="Times New Roman" w:cs="Times New Roman"/>
          <w:szCs w:val="24"/>
          <w:lang w:val="fr-BE" w:eastAsia="en-GB"/>
        </w:rPr>
        <w:t xml:space="preserve"> «rappelle</w:t>
      </w:r>
      <w:proofErr w:type="gramEnd"/>
      <w:r w:rsidRPr="00DC7CB7">
        <w:rPr>
          <w:rFonts w:eastAsia="Times New Roman" w:cs="Times New Roman"/>
          <w:szCs w:val="24"/>
          <w:lang w:val="fr-BE" w:eastAsia="en-GB"/>
        </w:rPr>
        <w:t xml:space="preserve"> l’existence de la liste initiale, compilation des listes établies par les États membres, mentionnée par la Commission dans sa communication intitulée “Un système d’imposition des sociétés juste et efficace au sein de l’Union européenne: cinq domaines d’action prioritaires” et qui contenait 30 pays et territoires nommés par dix États membres ou plus». La Commission note qu’il est important de comparer les listes sur la base des critères qui les sous-tendent. </w:t>
      </w:r>
      <w:r w:rsidRPr="00DC7CB7">
        <w:rPr>
          <w:rFonts w:eastAsia="Times New Roman" w:cs="Times New Roman"/>
          <w:szCs w:val="20"/>
          <w:lang w:val="fr-BE" w:eastAsia="en-GB"/>
        </w:rPr>
        <w:t>La liste de 2015 était une compilation des listes nationales des États membres et ne tenait pas compte de toutes les mesures prises par les pays et territoires relevant du champ d’application pour mettre leurs systèmes fiscaux en conformité avec les normes/critères de bonne gouvernance fiscale.</w:t>
      </w:r>
    </w:p>
    <w:p w:rsidR="00DC7CB7" w:rsidRPr="00DC7CB7" w:rsidRDefault="00DC7CB7" w:rsidP="00DC7CB7">
      <w:pPr>
        <w:spacing w:after="120" w:line="240" w:lineRule="auto"/>
        <w:jc w:val="both"/>
        <w:rPr>
          <w:rFonts w:eastAsia="Times New Roman" w:cs="Times New Roman"/>
          <w:szCs w:val="20"/>
          <w:lang w:val="fr-BE" w:eastAsia="en-GB"/>
        </w:rPr>
      </w:pPr>
      <w:r w:rsidRPr="00DC7CB7">
        <w:rPr>
          <w:rFonts w:eastAsia="Times New Roman" w:cs="Times New Roman"/>
          <w:szCs w:val="20"/>
          <w:lang w:val="fr-BE" w:eastAsia="en-GB"/>
        </w:rPr>
        <w:t>Au paragraphe 18, le Parlement</w:t>
      </w:r>
      <w:proofErr w:type="gramStart"/>
      <w:r w:rsidRPr="00DC7CB7">
        <w:rPr>
          <w:rFonts w:eastAsia="Times New Roman" w:cs="Times New Roman"/>
          <w:szCs w:val="20"/>
          <w:lang w:val="fr-BE" w:eastAsia="en-GB"/>
        </w:rPr>
        <w:t xml:space="preserve"> «pointe</w:t>
      </w:r>
      <w:proofErr w:type="gramEnd"/>
      <w:r w:rsidRPr="00DC7CB7">
        <w:rPr>
          <w:rFonts w:eastAsia="Times New Roman" w:cs="Times New Roman"/>
          <w:szCs w:val="20"/>
          <w:lang w:val="fr-BE" w:eastAsia="en-GB"/>
        </w:rPr>
        <w:t xml:space="preserve"> les divergences importantes entre la liste des pays et territoires non coopératifs de l’Union et ses équivalents nationaux [...] ainsi que l’ambition de la Commission de mieux les faire correspondre» et le Parlement «appelle de ses vœux une convergence vers le haut ainsi que l’harmonisation des critères afin de garantir le renforcement des normes et de la cohérence». La Commission salue et soutient pleinement l’appel en faveur d’une plus grande convergence entre les listes de l’UE et les listes nationales pour des normes plus élevées. À cette fin, la Commission travaille déjà avec le groupe</w:t>
      </w:r>
      <w:proofErr w:type="gramStart"/>
      <w:r w:rsidRPr="00DC7CB7">
        <w:rPr>
          <w:rFonts w:eastAsia="Times New Roman" w:cs="Times New Roman"/>
          <w:szCs w:val="20"/>
          <w:lang w:val="fr-BE" w:eastAsia="en-GB"/>
        </w:rPr>
        <w:t xml:space="preserve"> «Code</w:t>
      </w:r>
      <w:proofErr w:type="gramEnd"/>
      <w:r w:rsidRPr="00DC7CB7">
        <w:rPr>
          <w:rFonts w:eastAsia="Times New Roman" w:cs="Times New Roman"/>
          <w:szCs w:val="20"/>
          <w:lang w:val="fr-BE" w:eastAsia="en-GB"/>
        </w:rPr>
        <w:t xml:space="preserve"> de conduite» et regrette qu’en raison de la crise actuelle, cette discussion ait dû être reportée.</w:t>
      </w:r>
    </w:p>
    <w:p w:rsidR="00DC7CB7" w:rsidRPr="00DC7CB7" w:rsidRDefault="00DC7CB7" w:rsidP="00DC7CB7">
      <w:pPr>
        <w:spacing w:after="120" w:line="240" w:lineRule="auto"/>
        <w:jc w:val="both"/>
        <w:rPr>
          <w:rFonts w:eastAsia="Times New Roman" w:cs="Times New Roman"/>
          <w:szCs w:val="20"/>
          <w:u w:val="single"/>
          <w:lang w:val="fr-BE" w:eastAsia="en-GB"/>
        </w:rPr>
      </w:pPr>
      <w:r w:rsidRPr="00DC7CB7">
        <w:rPr>
          <w:rFonts w:eastAsia="Times New Roman" w:cs="Times New Roman"/>
          <w:szCs w:val="20"/>
          <w:u w:val="single"/>
          <w:lang w:val="fr-BE" w:eastAsia="en-GB"/>
        </w:rPr>
        <w:t>Conséquences du Brexit</w:t>
      </w:r>
    </w:p>
    <w:p w:rsidR="00DC7CB7" w:rsidRPr="00DC7CB7" w:rsidRDefault="00DC7CB7" w:rsidP="00DC7CB7">
      <w:pPr>
        <w:spacing w:after="120" w:line="240" w:lineRule="auto"/>
        <w:jc w:val="both"/>
        <w:rPr>
          <w:rFonts w:eastAsia="Times New Roman" w:cs="Times New Roman"/>
          <w:szCs w:val="20"/>
          <w:lang w:val="fr-BE" w:eastAsia="en-GB"/>
        </w:rPr>
      </w:pPr>
      <w:r w:rsidRPr="00DC7CB7">
        <w:rPr>
          <w:rFonts w:eastAsia="Times New Roman" w:cs="Times New Roman"/>
          <w:szCs w:val="24"/>
          <w:lang w:val="fr-BE" w:eastAsia="en-GB"/>
        </w:rPr>
        <w:t>Au paragraphe 20, le Parlement</w:t>
      </w:r>
      <w:proofErr w:type="gramStart"/>
      <w:r w:rsidRPr="00DC7CB7">
        <w:rPr>
          <w:rFonts w:eastAsia="Times New Roman" w:cs="Times New Roman"/>
          <w:szCs w:val="24"/>
          <w:lang w:val="fr-BE" w:eastAsia="en-GB"/>
        </w:rPr>
        <w:t xml:space="preserve"> «prend</w:t>
      </w:r>
      <w:proofErr w:type="gramEnd"/>
      <w:r w:rsidRPr="00DC7CB7">
        <w:rPr>
          <w:rFonts w:eastAsia="Times New Roman" w:cs="Times New Roman"/>
          <w:szCs w:val="24"/>
          <w:lang w:val="fr-BE" w:eastAsia="en-GB"/>
        </w:rPr>
        <w:t xml:space="preserve"> note des efforts déployés pour assurer des conditions de concurrence équitables à la suite du départ du Royaume-Uni de Grande-Bretagne et d’Irlande du Nord de l’Union européenne» et «appelle de ses vœux une évaluation approfondie de ces juridictions, y compris la poursuite de l’évaluation des territoires d’outre-mer du Royaume-Uni et des dépendances de la Couronne, conformément aux normes fixées </w:t>
      </w:r>
      <w:r w:rsidRPr="00DC7CB7">
        <w:rPr>
          <w:rFonts w:eastAsia="Times New Roman" w:cs="Times New Roman"/>
          <w:szCs w:val="24"/>
          <w:lang w:val="fr-BE" w:eastAsia="en-GB"/>
        </w:rPr>
        <w:lastRenderedPageBreak/>
        <w:t xml:space="preserve">par le groupe “Code de conduite” [...]». </w:t>
      </w:r>
      <w:r w:rsidRPr="00DC7CB7">
        <w:rPr>
          <w:rFonts w:eastAsia="Times New Roman" w:cs="Times New Roman"/>
          <w:szCs w:val="20"/>
          <w:lang w:val="fr-BE" w:eastAsia="en-GB"/>
        </w:rPr>
        <w:t>L’accord de commerce et de coopération conclu avec le Royaume-Uni comporte un volet relatif à la lutte contre les régimes fiscaux dommageables. Il s’agit d’une déclaration commune qui répète l’essence du code de conduite et vise, par le dialogue politique, à empêcher le Royaume-Uni d’introduire des régimes fiscaux destinés à attirer injustement des recettes fiscales. La Commission suivra de très près l’évolution de la situation et la bonne mise en œuvre de la partie fiscale de l’accord. En cas d’évolution inquiétante au Royaume-Uni, les États membres peuvent toujours décider d’inclure le Royaume-Uni dans le champ d’application de l’évaluation de l’UE à tout moment. Les territoires d’outre-mer du Royaume-Uni et les dépendances de la Couronne resteront dans le champ d’application de la procédure d’inscription sur la liste.</w:t>
      </w:r>
    </w:p>
    <w:p w:rsidR="00DC7CB7" w:rsidRPr="00DC7CB7" w:rsidRDefault="00DC7CB7" w:rsidP="00DC7CB7">
      <w:pPr>
        <w:widowControl w:val="0"/>
        <w:spacing w:after="120" w:line="240" w:lineRule="auto"/>
        <w:jc w:val="both"/>
        <w:rPr>
          <w:rFonts w:eastAsia="Times New Roman" w:cs="Times New Roman"/>
          <w:szCs w:val="24"/>
          <w:u w:val="single"/>
          <w:lang w:val="fr-BE" w:eastAsia="en-GB"/>
        </w:rPr>
      </w:pPr>
      <w:r w:rsidRPr="00DC7CB7">
        <w:rPr>
          <w:rFonts w:eastAsia="Times New Roman" w:cs="Times New Roman"/>
          <w:szCs w:val="24"/>
          <w:u w:val="single"/>
          <w:lang w:val="fr-BE" w:eastAsia="en-GB"/>
        </w:rPr>
        <w:t>Demandes concernant les mesures défensives</w:t>
      </w:r>
    </w:p>
    <w:p w:rsidR="00DC7CB7" w:rsidRPr="00DC7CB7" w:rsidRDefault="00DC7CB7" w:rsidP="00DC7CB7">
      <w:pPr>
        <w:widowControl w:val="0"/>
        <w:spacing w:after="120" w:line="240" w:lineRule="auto"/>
        <w:jc w:val="both"/>
        <w:rPr>
          <w:rFonts w:eastAsia="Times New Roman" w:cs="Times New Roman"/>
          <w:szCs w:val="24"/>
          <w:lang w:val="fr-BE" w:eastAsia="en-GB"/>
        </w:rPr>
      </w:pPr>
      <w:r w:rsidRPr="00DC7CB7">
        <w:rPr>
          <w:rFonts w:eastAsia="Times New Roman" w:cs="Times New Roman"/>
          <w:szCs w:val="24"/>
          <w:lang w:val="fr-BE" w:eastAsia="en-GB"/>
        </w:rPr>
        <w:t>Au paragraphe 26, le Parlement</w:t>
      </w:r>
      <w:proofErr w:type="gramStart"/>
      <w:r w:rsidRPr="00DC7CB7">
        <w:rPr>
          <w:rFonts w:eastAsia="Times New Roman" w:cs="Times New Roman"/>
          <w:szCs w:val="24"/>
          <w:lang w:val="fr-BE" w:eastAsia="en-GB"/>
        </w:rPr>
        <w:t xml:space="preserve"> «invite</w:t>
      </w:r>
      <w:proofErr w:type="gramEnd"/>
      <w:r w:rsidRPr="00DC7CB7">
        <w:rPr>
          <w:rFonts w:eastAsia="Times New Roman" w:cs="Times New Roman"/>
          <w:szCs w:val="24"/>
          <w:lang w:val="fr-BE" w:eastAsia="en-GB"/>
        </w:rPr>
        <w:t xml:space="preserve"> [...] la Commission à envisager de présenter une proposition législative relative à des mesures défensives coordonnées contre l’évasion et la fraude fiscales, qui tienne compte des négociations sur le deuxième pilier du cadre inclusif ou sur un taux d’imposition minimal effectif au niveau européen [...]».</w:t>
      </w:r>
    </w:p>
    <w:p w:rsidR="00DC7CB7" w:rsidRPr="00DC7CB7" w:rsidRDefault="00DC7CB7" w:rsidP="00DC7CB7">
      <w:pPr>
        <w:widowControl w:val="0"/>
        <w:spacing w:after="120" w:line="240" w:lineRule="auto"/>
        <w:jc w:val="both"/>
        <w:rPr>
          <w:rFonts w:eastAsia="Times New Roman" w:cs="Times New Roman"/>
          <w:szCs w:val="24"/>
          <w:lang w:val="fr-BE" w:eastAsia="en-GB"/>
        </w:rPr>
      </w:pPr>
      <w:r w:rsidRPr="00DC7CB7">
        <w:rPr>
          <w:rFonts w:eastAsia="Times New Roman" w:cs="Times New Roman"/>
          <w:szCs w:val="24"/>
          <w:lang w:val="fr-BE" w:eastAsia="en-GB"/>
        </w:rPr>
        <w:t>Dans le domaine fiscal, la Commission a demandé à plusieurs reprises aux États membres d’appliquer au niveau national des mesures défensives fortes, dissuasives et coordonnées à l’égard des pays et territoires non coopératifs. La coordination est essentielle pour éviter de créer des failles que les contribuables pourraient exploiter pour contourner ou compromettre les effets des mesures défensives appliquées par les États membres, ainsi que pour garantir un cadre juridique clair et stable pour les contribuables et les pays et territoires tiers.</w:t>
      </w:r>
    </w:p>
    <w:p w:rsidR="00DC7CB7" w:rsidRPr="00DC7CB7" w:rsidRDefault="00DC7CB7" w:rsidP="00DC7CB7">
      <w:pPr>
        <w:widowControl w:val="0"/>
        <w:spacing w:after="120" w:line="240" w:lineRule="auto"/>
        <w:jc w:val="both"/>
        <w:rPr>
          <w:rFonts w:eastAsia="Times New Roman" w:cs="Times New Roman"/>
          <w:szCs w:val="24"/>
          <w:lang w:val="fr-BE" w:eastAsia="en-GB"/>
        </w:rPr>
      </w:pPr>
      <w:r w:rsidRPr="00DC7CB7">
        <w:rPr>
          <w:rFonts w:eastAsia="Times New Roman" w:cs="Times New Roman"/>
          <w:szCs w:val="24"/>
          <w:lang w:val="fr-BE" w:eastAsia="en-GB"/>
        </w:rPr>
        <w:t>En décembre 2019, les États membres ont renforcé la première mesure qu’ils avaient prise en décembre 2017 pour parvenir à une telle coordination. Ils sont convenus d’appliquer des mesures défensives de nature législative à l’égard des pays et territoires non coopératifs à compter du 1</w:t>
      </w:r>
      <w:r w:rsidRPr="00DC7CB7">
        <w:rPr>
          <w:rFonts w:eastAsia="Times New Roman" w:cs="Times New Roman"/>
          <w:szCs w:val="24"/>
          <w:vertAlign w:val="superscript"/>
          <w:lang w:val="fr-BE" w:eastAsia="en-GB"/>
        </w:rPr>
        <w:t>er</w:t>
      </w:r>
      <w:r w:rsidRPr="00DC7CB7">
        <w:rPr>
          <w:rFonts w:eastAsia="Times New Roman" w:cs="Times New Roman"/>
          <w:szCs w:val="24"/>
          <w:lang w:val="fr-BE" w:eastAsia="en-GB"/>
        </w:rPr>
        <w:t> janvier 2021 ou du 1</w:t>
      </w:r>
      <w:r w:rsidRPr="00DC7CB7">
        <w:rPr>
          <w:rFonts w:eastAsia="Times New Roman" w:cs="Times New Roman"/>
          <w:szCs w:val="24"/>
          <w:vertAlign w:val="superscript"/>
          <w:lang w:val="fr-BE" w:eastAsia="en-GB"/>
        </w:rPr>
        <w:t>er</w:t>
      </w:r>
      <w:r w:rsidRPr="00DC7CB7">
        <w:rPr>
          <w:rFonts w:eastAsia="Times New Roman" w:cs="Times New Roman"/>
          <w:szCs w:val="24"/>
          <w:lang w:val="fr-BE" w:eastAsia="en-GB"/>
        </w:rPr>
        <w:t> juillet 2021 au plus tard. À cette fin, les États membres se sont mis d’accord sur une boîte à outils dans laquelle ils sont censés choisir au moins l’une des mesures défensives qu’ils souhaitent appliquer. Les États membres ayant convenu d’évaluer la nécessité de renforcer la coordination en 2022, la Commission collaborera avec eux tout au long de l’année 2021 pour préparer une telle évaluation. Dans un premier temps, la Commission a déjà commencé à suivre attentivement la situation afin de déterminer si les États membres ont adopté une législation nationale pour appliquer au moins une des mesures défensives à partir de 2021. À cette fin, début 2021, les États membres ont déjà accepté de remplir un questionnaire avant la fin du mois de mars. La Commission évaluera les réponses des États membres et, sur cette base, procédera à une évaluation de ces mesures. Si l’approche de la boîte à outils adoptée par les États membres s’avère inefficace, la Commission envisagera une proposition législative.</w:t>
      </w:r>
    </w:p>
    <w:p w:rsidR="00DC7CB7" w:rsidRPr="00DC7CB7" w:rsidRDefault="00DC7CB7" w:rsidP="00DC7CB7">
      <w:pPr>
        <w:widowControl w:val="0"/>
        <w:spacing w:after="120" w:line="240" w:lineRule="auto"/>
        <w:jc w:val="both"/>
        <w:rPr>
          <w:rFonts w:eastAsia="Times New Roman" w:cs="Times New Roman"/>
          <w:szCs w:val="24"/>
          <w:u w:val="single"/>
          <w:lang w:val="fr-BE" w:eastAsia="en-GB"/>
        </w:rPr>
      </w:pPr>
      <w:r w:rsidRPr="00DC7CB7">
        <w:rPr>
          <w:rFonts w:eastAsia="Times New Roman" w:cs="Times New Roman"/>
          <w:szCs w:val="24"/>
          <w:u w:val="single"/>
          <w:lang w:val="fr-BE" w:eastAsia="en-GB"/>
        </w:rPr>
        <w:t>Demandes concernant les accords internationaux et la bonne gouvernance fiscale</w:t>
      </w:r>
    </w:p>
    <w:p w:rsidR="00DC7CB7" w:rsidRPr="00DC7CB7" w:rsidRDefault="00DC7CB7" w:rsidP="00DC7CB7">
      <w:pPr>
        <w:widowControl w:val="0"/>
        <w:spacing w:after="120" w:line="240" w:lineRule="auto"/>
        <w:jc w:val="both"/>
        <w:rPr>
          <w:rFonts w:eastAsia="Times New Roman" w:cs="Times New Roman"/>
          <w:szCs w:val="24"/>
          <w:lang w:val="fr-BE" w:eastAsia="en-GB"/>
        </w:rPr>
      </w:pPr>
      <w:r w:rsidRPr="00DC7CB7">
        <w:rPr>
          <w:rFonts w:eastAsia="Times New Roman" w:cs="Times New Roman"/>
          <w:szCs w:val="24"/>
          <w:lang w:val="fr-BE" w:eastAsia="en-GB"/>
        </w:rPr>
        <w:t>Au paragraphe 28, le Parlement «demande à la Commission de dresser la liste des accords entre l’Union et des pays ou régions tiers qui ne comprennent pas de clause de “bonne gouvernance” telle que l’exige le paragraphe 3, point 1, de la communication de la Commission sur une stratégie extérieure pour une imposition effective et l’esquissent les conclusions du Conseil du 25 mai 2018, qui fixent les dispositions types des accords avec les pays tiers» et «invite la Commission et le Conseil à expliquer l’absence de cette clause [...]».</w:t>
      </w:r>
    </w:p>
    <w:p w:rsidR="00DC7CB7" w:rsidRPr="00DC7CB7" w:rsidRDefault="00DC7CB7" w:rsidP="00DC7CB7">
      <w:pPr>
        <w:widowControl w:val="0"/>
        <w:spacing w:after="120" w:line="240" w:lineRule="auto"/>
        <w:jc w:val="both"/>
        <w:rPr>
          <w:rFonts w:eastAsia="Times New Roman" w:cs="Times New Roman"/>
          <w:szCs w:val="24"/>
          <w:lang w:val="fr-BE" w:eastAsia="en-GB"/>
        </w:rPr>
      </w:pPr>
      <w:r w:rsidRPr="00DC7CB7">
        <w:rPr>
          <w:rFonts w:eastAsia="Times New Roman" w:cs="Times New Roman"/>
          <w:szCs w:val="24"/>
          <w:lang w:val="fr-BE" w:eastAsia="en-GB"/>
        </w:rPr>
        <w:t xml:space="preserve">Le 25 mai 2018, le Conseil a mis à jour la disposition type de l’Union européenne relative à la bonne gouvernance en matière fiscale en fonction de l’évolution des normes internationales: «Les parties reconnaissent les principes d’une bonne gouvernance en matière fiscale, y compris les normes internationales en vigueur concernant la transparence et </w:t>
      </w:r>
      <w:r w:rsidRPr="00DC7CB7">
        <w:rPr>
          <w:rFonts w:eastAsia="Times New Roman" w:cs="Times New Roman"/>
          <w:szCs w:val="24"/>
          <w:lang w:val="fr-BE" w:eastAsia="en-GB"/>
        </w:rPr>
        <w:lastRenderedPageBreak/>
        <w:t>l’échange d’informations, l’équité fiscale ainsi que les normes minimales visant à lutter contre l’érosion de la base d’imposition et le transfert de bénéfices (</w:t>
      </w:r>
      <w:proofErr w:type="spellStart"/>
      <w:r w:rsidRPr="00DC7CB7">
        <w:rPr>
          <w:rFonts w:eastAsia="Times New Roman" w:cs="Times New Roman"/>
          <w:szCs w:val="24"/>
          <w:lang w:val="fr-BE" w:eastAsia="en-GB"/>
        </w:rPr>
        <w:t>BEPS</w:t>
      </w:r>
      <w:proofErr w:type="spellEnd"/>
      <w:r w:rsidRPr="00DC7CB7">
        <w:rPr>
          <w:rFonts w:eastAsia="Times New Roman" w:cs="Times New Roman"/>
          <w:szCs w:val="24"/>
          <w:lang w:val="fr-BE" w:eastAsia="en-GB"/>
        </w:rPr>
        <w:t>) [...]. Les parties promouvront la bonne gouvernance en matière fiscale, amélioreront la coopération internationale dans le domaine fiscal et faciliteront la perception de recettes fiscales</w:t>
      </w:r>
      <w:proofErr w:type="gramStart"/>
      <w:r w:rsidRPr="00DC7CB7">
        <w:rPr>
          <w:rFonts w:eastAsia="Times New Roman" w:cs="Times New Roman"/>
          <w:szCs w:val="24"/>
          <w:lang w:val="fr-BE" w:eastAsia="en-GB"/>
        </w:rPr>
        <w:t>.»</w:t>
      </w:r>
      <w:proofErr w:type="gramEnd"/>
    </w:p>
    <w:p w:rsidR="00DC7CB7" w:rsidRPr="00DC7CB7" w:rsidRDefault="00DC7CB7" w:rsidP="00DC7CB7">
      <w:pPr>
        <w:widowControl w:val="0"/>
        <w:spacing w:after="120" w:line="240" w:lineRule="auto"/>
        <w:jc w:val="both"/>
        <w:rPr>
          <w:rFonts w:eastAsia="Times New Roman" w:cs="Times New Roman"/>
          <w:b/>
          <w:bCs/>
          <w:i/>
          <w:iCs/>
          <w:szCs w:val="24"/>
          <w:lang w:val="fr-BE" w:eastAsia="en-GB"/>
        </w:rPr>
      </w:pPr>
      <w:r w:rsidRPr="00DC7CB7">
        <w:rPr>
          <w:rFonts w:eastAsia="Times New Roman" w:cs="Times New Roman"/>
          <w:szCs w:val="24"/>
          <w:lang w:val="fr-BE" w:eastAsia="en-GB"/>
        </w:rPr>
        <w:t>Depuis la mise à jour de la disposition type de l’UE relative à la bonne gouvernance en matière fiscale, la Commission l’a intégrée dans les propositions de négociation de tous les accords pertinents de l’UE avec des pays tiers, où les questions fiscales sont restées ouvertes à l’examen au moment de la mise à jour ou ont été ouvertes/rouvertes par la suite. Il s’agit notamment d’accords avec l’Azerbaïdjan, les pays d’Afrique, des Caraïbes et du Pacifique, l'Andorre, Monaco et Saint-Marin, le Chili, le Kirghizstan, la Thaïlande, l’Ouzbékistan et le Royaume-Uni. L’accord de commerce et de coopération avec le Royaume-Uni, qui a été conclu avec succès à la fin de 2020, comprend un article sur la bonne gouvernance fiscale. Des clauses de bonne gouvernance fiscale ont également été provisoirement convenues avec l’Azerbaïdjan, le Chili, le Kirghizstan et l’Ouzbékistan en 2019 et 2020, tandis que les discussions avec l'Andorre, Monaco et Saint-Marin et avec la Thaïlande sont toujours en cours. Le projet d’accord post-Cotonou comprend un paragraphe sur la bonne gouvernance fiscale dans un article consacré à la bonne gouvernance dans la partie générale de l’accord.</w:t>
      </w:r>
    </w:p>
    <w:p w:rsidR="00F36993" w:rsidRPr="00DC7CB7" w:rsidRDefault="00F36993">
      <w:pPr>
        <w:rPr>
          <w:lang w:val="fr-BE"/>
        </w:rPr>
      </w:pPr>
    </w:p>
    <w:sectPr w:rsidR="00F36993" w:rsidRPr="00DC7C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F17CB2"/>
    <w:multiLevelType w:val="hybridMultilevel"/>
    <w:tmpl w:val="C66A48E8"/>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oNotDisplayPageBoundaries/>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CB7"/>
    <w:rsid w:val="0065281F"/>
    <w:rsid w:val="00BB74B4"/>
    <w:rsid w:val="00DC7CB7"/>
    <w:rsid w:val="00F36993"/>
    <w:rsid w:val="00FF26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E30193-82C5-4C12-BD88-FE040821E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3047</Words>
  <Characters>17126</Characters>
  <Application>Microsoft Office Word</Application>
  <DocSecurity>0</DocSecurity>
  <Lines>241</Lines>
  <Paragraphs>41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BIANCHIN Raffaella (SG)</dc:creator>
  <cp:keywords/>
  <dc:description/>
  <cp:lastModifiedBy>BIANCHIN Raffaella (SG)</cp:lastModifiedBy>
  <cp:revision>2</cp:revision>
  <dcterms:created xsi:type="dcterms:W3CDTF">2021-07-09T09:02:00Z</dcterms:created>
  <dcterms:modified xsi:type="dcterms:W3CDTF">2021-07-09T09:03:00Z</dcterms:modified>
</cp:coreProperties>
</file>