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F8EA3" w14:textId="77777777" w:rsidR="0045216A" w:rsidRPr="00340A14" w:rsidRDefault="0045216A" w:rsidP="0045216A">
      <w:pPr>
        <w:spacing w:after="600"/>
        <w:jc w:val="center"/>
        <w:rPr>
          <w:rFonts w:ascii="Times New Roman" w:hAnsi="Times New Roman"/>
          <w:b/>
          <w:bCs/>
          <w:szCs w:val="24"/>
          <w:lang w:val="fr-BE"/>
        </w:rPr>
      </w:pPr>
      <w:bookmarkStart w:id="0" w:name="dimoxystrobin"/>
      <w:r w:rsidRPr="00340A14">
        <w:rPr>
          <w:rFonts w:ascii="Times New Roman" w:hAnsi="Times New Roman"/>
          <w:b/>
          <w:szCs w:val="24"/>
          <w:lang w:val="fr-BE"/>
        </w:rPr>
        <w:t xml:space="preserve">Suite donnée à la résolution non législative du Parlement européen </w:t>
      </w:r>
      <w:r w:rsidRPr="00340A14">
        <w:rPr>
          <w:rFonts w:ascii="Times New Roman" w:hAnsi="Times New Roman"/>
          <w:b/>
          <w:szCs w:val="24"/>
          <w:shd w:val="clear" w:color="auto" w:fill="FFFFFF"/>
          <w:lang w:val="fr-BE"/>
        </w:rPr>
        <w:t>sur le règlement d’exécution (UE) 2021/52 de la Commission du 22 janvier 2021 modifiant le règlement d’exécution (UE) nº 540/2011 en ce qui concerne la prolongation de la période d’approbation des substances actives «benfluraline», «dimoxystrobine», «fluazinam», «flutolanil», «mécoprop-P», «mépiquat», «métirame», «oxamyl» et «pyraclostrobine»</w:t>
      </w:r>
      <w:bookmarkEnd w:id="0"/>
    </w:p>
    <w:p w14:paraId="6BEFAED2" w14:textId="77777777" w:rsidR="0045216A" w:rsidRPr="00340A14" w:rsidRDefault="0045216A" w:rsidP="0045216A">
      <w:pPr>
        <w:numPr>
          <w:ilvl w:val="0"/>
          <w:numId w:val="9"/>
        </w:numPr>
        <w:ind w:left="567" w:hanging="567"/>
        <w:rPr>
          <w:rFonts w:ascii="Times New Roman" w:hAnsi="Times New Roman"/>
          <w:b/>
          <w:bCs/>
          <w:szCs w:val="24"/>
          <w:lang w:val="fr-BE"/>
        </w:rPr>
      </w:pPr>
      <w:r w:rsidRPr="00340A14">
        <w:rPr>
          <w:rFonts w:ascii="Times New Roman" w:hAnsi="Times New Roman"/>
          <w:b/>
          <w:bCs/>
          <w:szCs w:val="24"/>
          <w:lang w:val="fr-BE"/>
        </w:rPr>
        <w:t>Résolution présentée conformément à l’article 112, paragraphes 2 et 3, du règlement intérieur du Parlement européen</w:t>
      </w:r>
    </w:p>
    <w:p w14:paraId="6512A38D" w14:textId="77777777" w:rsidR="0045216A" w:rsidRPr="00340A14" w:rsidRDefault="0045216A" w:rsidP="0045216A">
      <w:pPr>
        <w:numPr>
          <w:ilvl w:val="0"/>
          <w:numId w:val="9"/>
        </w:numPr>
        <w:ind w:left="567" w:hanging="567"/>
        <w:rPr>
          <w:rFonts w:ascii="Times New Roman" w:hAnsi="Times New Roman"/>
          <w:i/>
          <w:iCs/>
          <w:szCs w:val="24"/>
          <w:lang w:val="fr-BE"/>
        </w:rPr>
      </w:pPr>
      <w:r w:rsidRPr="00340A14">
        <w:rPr>
          <w:rFonts w:ascii="Times New Roman" w:hAnsi="Times New Roman"/>
          <w:b/>
          <w:bCs/>
          <w:szCs w:val="24"/>
          <w:lang w:val="fr-BE"/>
        </w:rPr>
        <w:t xml:space="preserve">Numéros de référence: </w:t>
      </w:r>
      <w:r w:rsidRPr="00340A14">
        <w:rPr>
          <w:rFonts w:ascii="Times New Roman" w:hAnsi="Times New Roman"/>
          <w:szCs w:val="24"/>
          <w:lang w:val="fr-BE"/>
        </w:rPr>
        <w:t>2021/2552(RSP) / B9-0162/2021 / P9_TA-PROV(2021)0079</w:t>
      </w:r>
    </w:p>
    <w:p w14:paraId="17193C68" w14:textId="77777777" w:rsidR="0045216A" w:rsidRPr="00340A14" w:rsidRDefault="0045216A" w:rsidP="0045216A">
      <w:pPr>
        <w:numPr>
          <w:ilvl w:val="0"/>
          <w:numId w:val="9"/>
        </w:numPr>
        <w:ind w:left="567" w:hanging="567"/>
        <w:rPr>
          <w:rFonts w:ascii="Times New Roman" w:hAnsi="Times New Roman"/>
          <w:szCs w:val="24"/>
          <w:lang w:val="fr-BE"/>
        </w:rPr>
      </w:pPr>
      <w:r w:rsidRPr="00340A14">
        <w:rPr>
          <w:rFonts w:ascii="Times New Roman" w:hAnsi="Times New Roman"/>
          <w:b/>
          <w:bCs/>
          <w:szCs w:val="24"/>
          <w:lang w:val="fr-BE"/>
        </w:rPr>
        <w:t xml:space="preserve">Date d’adoption de la résolution: </w:t>
      </w:r>
      <w:r w:rsidRPr="00340A14">
        <w:rPr>
          <w:rFonts w:ascii="Times New Roman" w:hAnsi="Times New Roman"/>
          <w:szCs w:val="24"/>
          <w:lang w:val="fr-BE"/>
        </w:rPr>
        <w:t>11 mars 2021</w:t>
      </w:r>
    </w:p>
    <w:p w14:paraId="3E2F0FA3" w14:textId="77777777" w:rsidR="0045216A" w:rsidRPr="00340A14" w:rsidRDefault="0045216A" w:rsidP="0045216A">
      <w:pPr>
        <w:numPr>
          <w:ilvl w:val="0"/>
          <w:numId w:val="9"/>
        </w:numPr>
        <w:ind w:left="567" w:hanging="567"/>
        <w:rPr>
          <w:rFonts w:ascii="Times New Roman" w:hAnsi="Times New Roman"/>
          <w:i/>
          <w:iCs/>
          <w:szCs w:val="24"/>
          <w:lang w:val="fr-BE"/>
        </w:rPr>
      </w:pPr>
      <w:r w:rsidRPr="00340A14">
        <w:rPr>
          <w:rFonts w:ascii="Times New Roman" w:hAnsi="Times New Roman"/>
          <w:b/>
          <w:bCs/>
          <w:szCs w:val="24"/>
          <w:lang w:val="fr-BE"/>
        </w:rPr>
        <w:t xml:space="preserve">Commission parlementaire compétente: </w:t>
      </w:r>
      <w:r w:rsidRPr="00340A14">
        <w:rPr>
          <w:rFonts w:ascii="Times New Roman" w:hAnsi="Times New Roman"/>
          <w:szCs w:val="24"/>
          <w:lang w:val="fr-BE"/>
        </w:rPr>
        <w:t>commission de l’environnement, de la santé publique et de la sécurité alimentaire (ENVI)</w:t>
      </w:r>
    </w:p>
    <w:p w14:paraId="2E77C059" w14:textId="77777777" w:rsidR="0045216A" w:rsidRPr="00340A14" w:rsidRDefault="0045216A" w:rsidP="0045216A">
      <w:pPr>
        <w:widowControl w:val="0"/>
        <w:numPr>
          <w:ilvl w:val="0"/>
          <w:numId w:val="9"/>
        </w:numPr>
        <w:ind w:left="567" w:hanging="567"/>
        <w:rPr>
          <w:rFonts w:ascii="Times New Roman" w:hAnsi="Times New Roman"/>
          <w:szCs w:val="24"/>
          <w:lang w:val="fr-BE"/>
        </w:rPr>
      </w:pPr>
      <w:r w:rsidRPr="00340A14">
        <w:rPr>
          <w:rFonts w:ascii="Times New Roman" w:hAnsi="Times New Roman"/>
          <w:b/>
          <w:bCs/>
          <w:szCs w:val="24"/>
          <w:lang w:val="fr-BE"/>
        </w:rPr>
        <w:t>Analyse/évaluation succincte de la résolution et des demandes qu’elle contient:</w:t>
      </w:r>
    </w:p>
    <w:p w14:paraId="431AF1E5"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Dans sa résolution, le Parlement européen conteste la prolongation répétée de la période d’approbation des substances actives, en particulier de la dimoxystrobine (</w:t>
      </w:r>
      <w:r w:rsidRPr="00340A14">
        <w:rPr>
          <w:rFonts w:ascii="Times New Roman" w:hAnsi="Times New Roman"/>
          <w:b/>
          <w:szCs w:val="24"/>
          <w:lang w:val="fr-BE"/>
        </w:rPr>
        <w:t xml:space="preserve">considérant C), </w:t>
      </w:r>
      <w:r w:rsidRPr="00340A14">
        <w:rPr>
          <w:rFonts w:ascii="Times New Roman" w:hAnsi="Times New Roman"/>
          <w:szCs w:val="24"/>
          <w:lang w:val="fr-BE"/>
        </w:rPr>
        <w:t>reproche à la Commission de ne pas expliquer les motifs de la prolongation (</w:t>
      </w:r>
      <w:r w:rsidRPr="00340A14">
        <w:rPr>
          <w:rFonts w:ascii="Times New Roman" w:hAnsi="Times New Roman"/>
          <w:b/>
          <w:szCs w:val="24"/>
          <w:lang w:val="fr-BE"/>
        </w:rPr>
        <w:t>considérant D</w:t>
      </w:r>
      <w:r w:rsidRPr="00340A14">
        <w:rPr>
          <w:rFonts w:ascii="Times New Roman" w:hAnsi="Times New Roman"/>
          <w:szCs w:val="24"/>
          <w:lang w:val="fr-BE"/>
        </w:rPr>
        <w:t>) et rappelle plusieurs dispositions du règlement (CE) nº 1107/2009 (</w:t>
      </w:r>
      <w:r w:rsidRPr="00340A14">
        <w:rPr>
          <w:rFonts w:ascii="Times New Roman" w:hAnsi="Times New Roman"/>
          <w:b/>
          <w:szCs w:val="24"/>
          <w:lang w:val="fr-BE"/>
        </w:rPr>
        <w:t xml:space="preserve">considérants E, F, G, H </w:t>
      </w:r>
      <w:r w:rsidRPr="00340A14">
        <w:rPr>
          <w:rFonts w:ascii="Times New Roman" w:hAnsi="Times New Roman"/>
          <w:szCs w:val="24"/>
          <w:lang w:val="fr-BE"/>
        </w:rPr>
        <w:t>et </w:t>
      </w:r>
      <w:r w:rsidRPr="00340A14">
        <w:rPr>
          <w:rFonts w:ascii="Times New Roman" w:hAnsi="Times New Roman"/>
          <w:b/>
          <w:szCs w:val="24"/>
          <w:lang w:val="fr-BE"/>
        </w:rPr>
        <w:t>I</w:t>
      </w:r>
      <w:r w:rsidRPr="00340A14">
        <w:rPr>
          <w:rFonts w:ascii="Times New Roman" w:hAnsi="Times New Roman"/>
          <w:szCs w:val="24"/>
          <w:lang w:val="fr-BE"/>
        </w:rPr>
        <w:t>). Il évoque l’inscription de la dimoxystrobine sur la «liste de substances dont on envisage la substitution» par le règlement d’exécution (UE) 2015/408 de la Commission et ses effets perturbateurs endocriniens (</w:t>
      </w:r>
      <w:r w:rsidRPr="00340A14">
        <w:rPr>
          <w:rFonts w:ascii="Times New Roman" w:hAnsi="Times New Roman"/>
          <w:b/>
          <w:szCs w:val="24"/>
          <w:lang w:val="fr-BE"/>
        </w:rPr>
        <w:t xml:space="preserve">considérants J </w:t>
      </w:r>
      <w:r w:rsidRPr="00340A14">
        <w:rPr>
          <w:rFonts w:ascii="Times New Roman" w:hAnsi="Times New Roman"/>
          <w:szCs w:val="24"/>
          <w:lang w:val="fr-BE"/>
        </w:rPr>
        <w:t>et </w:t>
      </w:r>
      <w:r w:rsidRPr="00340A14">
        <w:rPr>
          <w:rFonts w:ascii="Times New Roman" w:hAnsi="Times New Roman"/>
          <w:b/>
          <w:szCs w:val="24"/>
          <w:lang w:val="fr-BE"/>
        </w:rPr>
        <w:t>K</w:t>
      </w:r>
      <w:r w:rsidRPr="00340A14">
        <w:rPr>
          <w:rFonts w:ascii="Times New Roman" w:hAnsi="Times New Roman"/>
          <w:szCs w:val="24"/>
          <w:lang w:val="fr-BE"/>
        </w:rPr>
        <w:t>), et affirme qu’il est inacceptable que l’utilisation de substances qui satisfont aux critères d’exclusion des substances actives qui sont mutagènes, cancérogènes, toxiques pour la reproduction, ou qui ont des effets perturbateurs endocriniens demeure autorisée (</w:t>
      </w:r>
      <w:r w:rsidRPr="00340A14">
        <w:rPr>
          <w:rFonts w:ascii="Times New Roman" w:hAnsi="Times New Roman"/>
          <w:b/>
          <w:szCs w:val="24"/>
          <w:lang w:val="fr-BE"/>
        </w:rPr>
        <w:t>considérant L</w:t>
      </w:r>
      <w:r w:rsidRPr="00340A14">
        <w:rPr>
          <w:rFonts w:ascii="Times New Roman" w:hAnsi="Times New Roman"/>
          <w:szCs w:val="24"/>
          <w:lang w:val="fr-BE"/>
        </w:rPr>
        <w:t>). Il affirme que les demandeurs peuvent tirer parti de l’automaticité intégrée dans les méthodes de travail de la Commission, qui prolonge immédiatement les périodes d’approbation des substances actives lorsque la réévaluation des risques n’a pas été menée à son terme, en fournissant des données incomplètes et en demandant des dérogations et des conditions spéciales (</w:t>
      </w:r>
      <w:r w:rsidRPr="00340A14">
        <w:rPr>
          <w:rFonts w:ascii="Times New Roman" w:hAnsi="Times New Roman"/>
          <w:b/>
          <w:bCs/>
          <w:szCs w:val="24"/>
          <w:lang w:val="fr-BE"/>
        </w:rPr>
        <w:t>considérant M</w:t>
      </w:r>
      <w:r w:rsidRPr="00340A14">
        <w:rPr>
          <w:rFonts w:ascii="Times New Roman" w:hAnsi="Times New Roman"/>
          <w:szCs w:val="24"/>
          <w:lang w:val="fr-BE"/>
        </w:rPr>
        <w:t>). Il rappelle sa résolution antérieure du 13 septembre 2018 sur la question de la prolongation des approbations (</w:t>
      </w:r>
      <w:r w:rsidRPr="00340A14">
        <w:rPr>
          <w:rFonts w:ascii="Times New Roman" w:hAnsi="Times New Roman"/>
          <w:b/>
          <w:szCs w:val="24"/>
          <w:lang w:val="fr-BE"/>
        </w:rPr>
        <w:t>considérant N</w:t>
      </w:r>
      <w:r w:rsidRPr="00340A14">
        <w:rPr>
          <w:rFonts w:ascii="Times New Roman" w:hAnsi="Times New Roman"/>
          <w:szCs w:val="24"/>
          <w:lang w:val="fr-BE"/>
        </w:rPr>
        <w:t>), le fait qu’il s’est déjà opposé à la précédente prolongation de la période d’approbation de la dimoxystrobine dans sa résolution du 18 décembre 2019 (</w:t>
      </w:r>
      <w:r w:rsidRPr="00340A14">
        <w:rPr>
          <w:rFonts w:ascii="Times New Roman" w:hAnsi="Times New Roman"/>
          <w:b/>
          <w:szCs w:val="24"/>
          <w:lang w:val="fr-BE"/>
        </w:rPr>
        <w:t>considérant O</w:t>
      </w:r>
      <w:r w:rsidRPr="00340A14">
        <w:rPr>
          <w:rFonts w:ascii="Times New Roman" w:hAnsi="Times New Roman"/>
          <w:szCs w:val="24"/>
          <w:lang w:val="fr-BE"/>
        </w:rPr>
        <w:t>), et évoque d’autres décisions de prolonger les périodes d’approbation d’autres substances prises depuis lors (</w:t>
      </w:r>
      <w:r w:rsidRPr="00340A14">
        <w:rPr>
          <w:rFonts w:ascii="Times New Roman" w:hAnsi="Times New Roman"/>
          <w:b/>
          <w:szCs w:val="24"/>
          <w:lang w:val="fr-BE"/>
        </w:rPr>
        <w:t>considérant P</w:t>
      </w:r>
      <w:r w:rsidRPr="00340A14">
        <w:rPr>
          <w:rFonts w:ascii="Times New Roman" w:hAnsi="Times New Roman"/>
          <w:szCs w:val="24"/>
          <w:lang w:val="fr-BE"/>
        </w:rPr>
        <w:t>).</w:t>
      </w:r>
    </w:p>
    <w:p w14:paraId="7BBEB6AE" w14:textId="77777777" w:rsidR="0045216A" w:rsidRPr="00441A17" w:rsidRDefault="0045216A" w:rsidP="0045216A">
      <w:pPr>
        <w:widowControl w:val="0"/>
        <w:spacing w:after="120"/>
        <w:rPr>
          <w:rFonts w:ascii="Times New Roman" w:hAnsi="Times New Roman"/>
          <w:b/>
          <w:szCs w:val="24"/>
        </w:rPr>
      </w:pPr>
      <w:r w:rsidRPr="00340A14">
        <w:rPr>
          <w:rFonts w:ascii="Times New Roman" w:hAnsi="Times New Roman"/>
          <w:szCs w:val="24"/>
          <w:lang w:val="fr-BE"/>
        </w:rPr>
        <w:t>Dans sa résolution, le Parlement européen considère que le règlement d’exécution (UE) 2021/52 excède les compétences d’exécution prévues dans le règlement (CE) nº 1107/2009 (</w:t>
      </w:r>
      <w:r w:rsidRPr="00340A14">
        <w:rPr>
          <w:rFonts w:ascii="Times New Roman" w:hAnsi="Times New Roman"/>
          <w:b/>
          <w:szCs w:val="24"/>
          <w:lang w:val="fr-BE"/>
        </w:rPr>
        <w:t>paragraphe 1</w:t>
      </w:r>
      <w:r w:rsidRPr="00340A14">
        <w:rPr>
          <w:rFonts w:ascii="Times New Roman" w:hAnsi="Times New Roman"/>
          <w:szCs w:val="24"/>
          <w:lang w:val="fr-BE"/>
        </w:rPr>
        <w:t>) et ne respecte pas le principe de précaution (</w:t>
      </w:r>
      <w:r w:rsidRPr="00340A14">
        <w:rPr>
          <w:rFonts w:ascii="Times New Roman" w:hAnsi="Times New Roman"/>
          <w:b/>
          <w:szCs w:val="24"/>
          <w:lang w:val="fr-BE"/>
        </w:rPr>
        <w:t>paragraphe 2</w:t>
      </w:r>
      <w:r w:rsidRPr="00340A14">
        <w:rPr>
          <w:rFonts w:ascii="Times New Roman" w:hAnsi="Times New Roman"/>
          <w:szCs w:val="24"/>
          <w:lang w:val="fr-BE"/>
        </w:rPr>
        <w:t>). Il estime en outre que la décision de prolonger la période d’approbation de la dimoxystrobine n’est pas conforme aux critères de sécurité énoncés dans le règlement (CE) nº 1107/2009 et ne repose ni sur des preuves que cette substance peut être utilisée en toute sécurité ni sur un besoin urgent et démontré de celle-ci pour la production alimentaire dans l’Union (</w:t>
      </w:r>
      <w:r w:rsidRPr="00340A14">
        <w:rPr>
          <w:rFonts w:ascii="Times New Roman" w:hAnsi="Times New Roman"/>
          <w:b/>
          <w:bCs/>
          <w:szCs w:val="24"/>
          <w:lang w:val="fr-BE"/>
        </w:rPr>
        <w:t>paragraphe 3</w:t>
      </w:r>
      <w:r w:rsidRPr="00340A14">
        <w:rPr>
          <w:rFonts w:ascii="Times New Roman" w:hAnsi="Times New Roman"/>
          <w:szCs w:val="24"/>
          <w:lang w:val="fr-BE"/>
        </w:rPr>
        <w:t xml:space="preserve">). </w:t>
      </w:r>
      <w:r>
        <w:rPr>
          <w:rFonts w:ascii="Times New Roman" w:hAnsi="Times New Roman"/>
          <w:szCs w:val="24"/>
        </w:rPr>
        <w:t>Le Parlement européen demande à la Commission:</w:t>
      </w:r>
    </w:p>
    <w:p w14:paraId="5E731EE8" w14:textId="77777777" w:rsidR="0045216A" w:rsidRPr="00340A14" w:rsidRDefault="0045216A" w:rsidP="0045216A">
      <w:pPr>
        <w:widowControl w:val="0"/>
        <w:numPr>
          <w:ilvl w:val="0"/>
          <w:numId w:val="21"/>
        </w:numPr>
        <w:spacing w:after="120"/>
        <w:ind w:left="927"/>
        <w:rPr>
          <w:rFonts w:ascii="Times New Roman" w:hAnsi="Times New Roman"/>
          <w:szCs w:val="24"/>
          <w:lang w:val="fr-BE"/>
        </w:rPr>
      </w:pPr>
      <w:r w:rsidRPr="00340A14">
        <w:rPr>
          <w:rFonts w:ascii="Times New Roman" w:hAnsi="Times New Roman"/>
          <w:szCs w:val="24"/>
          <w:lang w:val="fr-BE"/>
        </w:rPr>
        <w:t>d’abroger son règlement d’exécution (UE) 2021/52 et de présenter un nouveau projet qui tienne compte des preuves scientifiques relatives aux propriétés nocives de toutes les substances concernées, en particulier de la dimoxystrobine (</w:t>
      </w:r>
      <w:r w:rsidRPr="00340A14">
        <w:rPr>
          <w:rFonts w:ascii="Times New Roman" w:hAnsi="Times New Roman"/>
          <w:b/>
          <w:bCs/>
          <w:szCs w:val="24"/>
          <w:lang w:val="fr-BE"/>
        </w:rPr>
        <w:t>paragraphe 4</w:t>
      </w:r>
      <w:r w:rsidRPr="00340A14">
        <w:rPr>
          <w:rFonts w:ascii="Times New Roman" w:hAnsi="Times New Roman"/>
          <w:szCs w:val="24"/>
          <w:lang w:val="fr-BE"/>
        </w:rPr>
        <w:t>);</w:t>
      </w:r>
    </w:p>
    <w:p w14:paraId="01758121" w14:textId="77777777" w:rsidR="0045216A" w:rsidRPr="00340A14" w:rsidRDefault="0045216A" w:rsidP="0045216A">
      <w:pPr>
        <w:widowControl w:val="0"/>
        <w:numPr>
          <w:ilvl w:val="0"/>
          <w:numId w:val="21"/>
        </w:numPr>
        <w:spacing w:after="120"/>
        <w:ind w:left="927"/>
        <w:rPr>
          <w:rFonts w:ascii="Times New Roman" w:hAnsi="Times New Roman"/>
          <w:szCs w:val="24"/>
          <w:lang w:val="fr-BE"/>
        </w:rPr>
      </w:pPr>
      <w:r w:rsidRPr="00340A14">
        <w:rPr>
          <w:rFonts w:ascii="Times New Roman" w:hAnsi="Times New Roman"/>
          <w:szCs w:val="24"/>
          <w:lang w:val="fr-BE"/>
        </w:rPr>
        <w:lastRenderedPageBreak/>
        <w:t>de présenter une proposition en vue du non-renouvellement de l’approbation de la dimoxystrobine lors de la prochaine réunion du comité permanent des végétaux, des animaux, des denrées alimentaires et des aliments pour animaux (</w:t>
      </w:r>
      <w:r w:rsidRPr="00340A14">
        <w:rPr>
          <w:rFonts w:ascii="Times New Roman" w:hAnsi="Times New Roman"/>
          <w:b/>
          <w:bCs/>
          <w:szCs w:val="24"/>
          <w:lang w:val="fr-BE"/>
        </w:rPr>
        <w:t>paragraphe 5</w:t>
      </w:r>
      <w:r w:rsidRPr="00340A14">
        <w:rPr>
          <w:rFonts w:ascii="Times New Roman" w:hAnsi="Times New Roman"/>
          <w:szCs w:val="24"/>
          <w:lang w:val="fr-BE"/>
        </w:rPr>
        <w:t>);</w:t>
      </w:r>
    </w:p>
    <w:p w14:paraId="13E7701C" w14:textId="77777777" w:rsidR="0045216A" w:rsidRPr="00340A14" w:rsidRDefault="0045216A" w:rsidP="0045216A">
      <w:pPr>
        <w:widowControl w:val="0"/>
        <w:numPr>
          <w:ilvl w:val="0"/>
          <w:numId w:val="21"/>
        </w:numPr>
        <w:spacing w:after="120"/>
        <w:ind w:left="927"/>
        <w:rPr>
          <w:rFonts w:ascii="Times New Roman" w:hAnsi="Times New Roman"/>
          <w:szCs w:val="24"/>
          <w:lang w:val="fr-BE"/>
        </w:rPr>
      </w:pPr>
      <w:r w:rsidRPr="00340A14">
        <w:rPr>
          <w:rFonts w:ascii="Times New Roman" w:hAnsi="Times New Roman"/>
          <w:szCs w:val="24"/>
          <w:lang w:val="fr-BE"/>
        </w:rPr>
        <w:t>de communiquer au Parlement les circonstances spécifiques qui justifient que l’évaluation des substances a été retardée pour des raisons indépendantes de la volonté des demandeurs, les critères qui sont encore en cours d’évaluation, ainsi que les raisons qui expliquent pourquoi les évaluations nécessitent tant de temps (</w:t>
      </w:r>
      <w:r w:rsidRPr="00340A14">
        <w:rPr>
          <w:rFonts w:ascii="Times New Roman" w:hAnsi="Times New Roman"/>
          <w:b/>
          <w:bCs/>
          <w:szCs w:val="24"/>
          <w:lang w:val="fr-BE"/>
        </w:rPr>
        <w:t>paragraphe 6</w:t>
      </w:r>
      <w:r w:rsidRPr="00340A14">
        <w:rPr>
          <w:rFonts w:ascii="Times New Roman" w:hAnsi="Times New Roman"/>
          <w:szCs w:val="24"/>
          <w:lang w:val="fr-BE"/>
        </w:rPr>
        <w:t>);</w:t>
      </w:r>
    </w:p>
    <w:p w14:paraId="30C4A097" w14:textId="77777777" w:rsidR="0045216A" w:rsidRPr="00340A14" w:rsidRDefault="0045216A" w:rsidP="0045216A">
      <w:pPr>
        <w:widowControl w:val="0"/>
        <w:numPr>
          <w:ilvl w:val="0"/>
          <w:numId w:val="21"/>
        </w:numPr>
        <w:spacing w:after="120"/>
        <w:ind w:left="927"/>
        <w:rPr>
          <w:rFonts w:ascii="Times New Roman" w:hAnsi="Times New Roman"/>
          <w:szCs w:val="24"/>
          <w:lang w:val="fr-BE"/>
        </w:rPr>
      </w:pPr>
      <w:r w:rsidRPr="00340A14">
        <w:rPr>
          <w:rFonts w:ascii="Times New Roman" w:hAnsi="Times New Roman"/>
          <w:szCs w:val="24"/>
          <w:lang w:val="fr-BE"/>
        </w:rPr>
        <w:t>de ne présenter des projets de règlement d’exécution qu’en vue de prolonger la période d’approbation de substances pour lesquelles, au regard de l’état des connaissances scientifiques, elle ne devrait pas être amenée à présenter une proposition de non-renouvellement de l’autorisation de la substance active concernée (</w:t>
      </w:r>
      <w:r w:rsidRPr="00340A14">
        <w:rPr>
          <w:rFonts w:ascii="Times New Roman" w:hAnsi="Times New Roman"/>
          <w:b/>
          <w:bCs/>
          <w:szCs w:val="24"/>
          <w:lang w:val="fr-BE"/>
        </w:rPr>
        <w:t>paragraphe 7</w:t>
      </w:r>
      <w:r w:rsidRPr="00340A14">
        <w:rPr>
          <w:rFonts w:ascii="Times New Roman" w:hAnsi="Times New Roman"/>
          <w:szCs w:val="24"/>
          <w:lang w:val="fr-BE"/>
        </w:rPr>
        <w:t>);</w:t>
      </w:r>
    </w:p>
    <w:p w14:paraId="02518B9A" w14:textId="77777777" w:rsidR="0045216A" w:rsidRPr="00340A14" w:rsidRDefault="0045216A" w:rsidP="0045216A">
      <w:pPr>
        <w:widowControl w:val="0"/>
        <w:numPr>
          <w:ilvl w:val="0"/>
          <w:numId w:val="21"/>
        </w:numPr>
        <w:spacing w:after="120"/>
        <w:ind w:left="927"/>
        <w:rPr>
          <w:rFonts w:ascii="Times New Roman" w:hAnsi="Times New Roman"/>
          <w:szCs w:val="24"/>
          <w:lang w:val="fr-BE"/>
        </w:rPr>
      </w:pPr>
      <w:r w:rsidRPr="00340A14">
        <w:rPr>
          <w:rFonts w:ascii="Times New Roman" w:hAnsi="Times New Roman"/>
          <w:szCs w:val="24"/>
          <w:lang w:val="fr-BE"/>
        </w:rPr>
        <w:t>de révoquer l’approbation des substances pour lesquelles il existe des preuves ou des doutes raisonnables que celles-ci ne satisferont pas aux critères de sécurité énoncés dans le règlement (CE) nº 1107/2009 (</w:t>
      </w:r>
      <w:r w:rsidRPr="00340A14">
        <w:rPr>
          <w:rFonts w:ascii="Times New Roman" w:hAnsi="Times New Roman"/>
          <w:b/>
          <w:bCs/>
          <w:szCs w:val="24"/>
          <w:lang w:val="fr-BE"/>
        </w:rPr>
        <w:t>paragraphe 8</w:t>
      </w:r>
      <w:r w:rsidRPr="00340A14">
        <w:rPr>
          <w:rFonts w:ascii="Times New Roman" w:hAnsi="Times New Roman"/>
          <w:szCs w:val="24"/>
          <w:lang w:val="fr-BE"/>
        </w:rPr>
        <w:t>).</w:t>
      </w:r>
    </w:p>
    <w:p w14:paraId="0D653A66"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Il demande en outre aux États membres de réévaluer, en temps et en heure, les autorisations des substances actives pour lesquelles ils sont les États membres rapporteurs, et de résorber les retards actuels de manière effective (</w:t>
      </w:r>
      <w:r w:rsidRPr="00340A14">
        <w:rPr>
          <w:rFonts w:ascii="Times New Roman" w:hAnsi="Times New Roman"/>
          <w:b/>
          <w:bCs/>
          <w:szCs w:val="24"/>
          <w:lang w:val="fr-BE"/>
        </w:rPr>
        <w:t>paragraphe 9</w:t>
      </w:r>
      <w:r w:rsidRPr="00340A14">
        <w:rPr>
          <w:rFonts w:ascii="Times New Roman" w:hAnsi="Times New Roman"/>
          <w:szCs w:val="24"/>
          <w:lang w:val="fr-BE"/>
        </w:rPr>
        <w:t>).</w:t>
      </w:r>
    </w:p>
    <w:p w14:paraId="7F7E13A9" w14:textId="77777777" w:rsidR="0045216A" w:rsidRPr="00340A14" w:rsidRDefault="0045216A" w:rsidP="0045216A">
      <w:pPr>
        <w:widowControl w:val="0"/>
        <w:numPr>
          <w:ilvl w:val="0"/>
          <w:numId w:val="9"/>
        </w:numPr>
        <w:ind w:left="567" w:hanging="567"/>
        <w:rPr>
          <w:rFonts w:ascii="Times New Roman" w:hAnsi="Times New Roman"/>
          <w:b/>
          <w:bCs/>
          <w:i/>
          <w:iCs/>
          <w:szCs w:val="24"/>
          <w:lang w:val="fr-BE"/>
        </w:rPr>
      </w:pPr>
      <w:r w:rsidRPr="00340A14">
        <w:rPr>
          <w:rFonts w:ascii="Times New Roman" w:hAnsi="Times New Roman"/>
          <w:b/>
          <w:bCs/>
          <w:szCs w:val="24"/>
          <w:lang w:val="fr-BE"/>
        </w:rPr>
        <w:t>Réponse à ces demandes et aperçu des mesures que la Commission a prises ou envisage de prendre</w:t>
      </w:r>
    </w:p>
    <w:p w14:paraId="22C54739"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 xml:space="preserve">En réponse aux </w:t>
      </w:r>
      <w:r w:rsidRPr="00340A14">
        <w:rPr>
          <w:rFonts w:ascii="Times New Roman" w:hAnsi="Times New Roman"/>
          <w:b/>
          <w:bCs/>
          <w:szCs w:val="24"/>
          <w:lang w:val="fr-BE"/>
        </w:rPr>
        <w:t>paragraphes 1, 4 et 5,</w:t>
      </w:r>
      <w:r w:rsidRPr="00340A14">
        <w:rPr>
          <w:rFonts w:ascii="Times New Roman" w:hAnsi="Times New Roman"/>
          <w:szCs w:val="24"/>
          <w:lang w:val="fr-BE"/>
        </w:rPr>
        <w:t xml:space="preserve"> la Commission voudrait souligner que le règlement d’exécution (UE) 2021/52 de la Commission est totalement conforme aux compétences d’exécution prévues dans l’acte de base.</w:t>
      </w:r>
    </w:p>
    <w:p w14:paraId="054A2B81"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Les prolongations adoptées dans le règlement sont devenues nécessaires du fait de l’impossibilité d’adopter une décision sur le renouvellement ou non de l’approbation des substances actives avant l’expiration de la période d’approbation pour des raisons indépendantes de la volonté des demandeurs. Dans une telle situation, l’article 17 du règlement (CE) nº 1107/2009 contraint la Commission à prolonger la période d’approbation des substances en cause.</w:t>
      </w:r>
    </w:p>
    <w:p w14:paraId="0973A685"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Il est aussi à noter que, dans sa décision dans l’affaire 687/2018/TE, le Médiateur européen a confirmé que la Commission était contrainte de prolonger l’approbation des substances actives si la réévaluation n’intervenait pas dans les délais, à condition que le retard ne soit pas imputable au demandeur.</w:t>
      </w:r>
    </w:p>
    <w:p w14:paraId="34C7E7B3"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 xml:space="preserve">En réponse au </w:t>
      </w:r>
      <w:r w:rsidRPr="00340A14">
        <w:rPr>
          <w:rFonts w:ascii="Times New Roman" w:hAnsi="Times New Roman"/>
          <w:b/>
          <w:szCs w:val="24"/>
          <w:lang w:val="fr-BE"/>
        </w:rPr>
        <w:t>paragraphe 6</w:t>
      </w:r>
      <w:r w:rsidRPr="00340A14">
        <w:rPr>
          <w:rFonts w:ascii="Times New Roman" w:hAnsi="Times New Roman"/>
          <w:szCs w:val="24"/>
          <w:lang w:val="fr-BE"/>
        </w:rPr>
        <w:t>, la Commission voudrait informer le Parlement que l’Autorité européenne de sécurité des aliments (EFSA) a réclamé des informations supplémentaires au demandeur pour le renouvellement de la dimoxystrobine conformément à l’article 13, paragraphe 3 </w:t>
      </w:r>
      <w:r w:rsidRPr="00340A14">
        <w:rPr>
          <w:rFonts w:ascii="Times New Roman" w:hAnsi="Times New Roman"/>
          <w:i/>
          <w:iCs/>
          <w:szCs w:val="24"/>
          <w:lang w:val="fr-BE"/>
        </w:rPr>
        <w:t>bis</w:t>
      </w:r>
      <w:r w:rsidRPr="00340A14">
        <w:rPr>
          <w:rFonts w:ascii="Times New Roman" w:hAnsi="Times New Roman"/>
          <w:szCs w:val="24"/>
          <w:lang w:val="fr-BE"/>
        </w:rPr>
        <w:t>, du règlement (UE) nº 844/2012, que le demandeur a produites dans le délai fixé par l’EFSA (26 août 2019). Cependant, l’État membre rapporteur (la Hongrie) n’a à ce jour pas évalué ces informations, et les autres États membres et l’EFSA n’ont donc pas pu procéder à l’examen par les pairs avant l’expiration de l’approbation.</w:t>
      </w:r>
    </w:p>
    <w:p w14:paraId="424D4798" w14:textId="55781CDC" w:rsidR="00DB6797" w:rsidRDefault="0045216A" w:rsidP="00DB6797">
      <w:pPr>
        <w:widowControl w:val="0"/>
        <w:spacing w:after="120"/>
        <w:rPr>
          <w:rFonts w:ascii="Times New Roman" w:hAnsi="Times New Roman"/>
          <w:szCs w:val="24"/>
          <w:lang w:val="fr-BE"/>
        </w:rPr>
      </w:pPr>
      <w:r w:rsidRPr="00340A14">
        <w:rPr>
          <w:rFonts w:ascii="Times New Roman" w:hAnsi="Times New Roman"/>
          <w:szCs w:val="24"/>
          <w:lang w:val="fr-BE"/>
        </w:rPr>
        <w:t>La Commission considère donc qu’en adoptant le règlement d’exécution (UE) 2021/52 qui respecte pleinement les phases de procédure et les exigences légales définies par les colégislateurs dans la législation sur les produits phytopharmaceutiques, elle n’a pas</w:t>
      </w:r>
      <w:r w:rsidR="00DB6797">
        <w:rPr>
          <w:rFonts w:ascii="Times New Roman" w:hAnsi="Times New Roman"/>
          <w:szCs w:val="24"/>
          <w:lang w:val="fr-BE"/>
        </w:rPr>
        <w:br/>
      </w:r>
      <w:r w:rsidR="00DB6797">
        <w:rPr>
          <w:rFonts w:ascii="Times New Roman" w:hAnsi="Times New Roman"/>
          <w:szCs w:val="24"/>
          <w:lang w:val="fr-BE"/>
        </w:rPr>
        <w:br w:type="page"/>
      </w:r>
    </w:p>
    <w:p w14:paraId="74109E62" w14:textId="01C89326"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 xml:space="preserve">outrepassé ses compétences d’exécution. Par conséquent, il n’y a aucune raison de retirer ledit </w:t>
      </w:r>
      <w:r w:rsidRPr="00340A14">
        <w:rPr>
          <w:rFonts w:ascii="Times New Roman" w:hAnsi="Times New Roman"/>
          <w:szCs w:val="24"/>
          <w:lang w:val="fr-BE"/>
        </w:rPr>
        <w:lastRenderedPageBreak/>
        <w:t>règlement.</w:t>
      </w:r>
    </w:p>
    <w:p w14:paraId="3C990612"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Pour ce qui est des autres dispositions de la résolution, la Commission considère qu’elles ne relèvent pas du droit de regard, qui se limite à la question de savoir si un acte d’exécution excède les compétences d’exécution prévues par l’acte de base. La Commission n’est pas tenue de justifier ces points précis de l’acte d’exécution. Néanmoins, la Commission a examiné avec attention les positions exprimées par le Parlement et souhaite formuler les commentaires suivants:</w:t>
      </w:r>
    </w:p>
    <w:p w14:paraId="558AACBD"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 xml:space="preserve">Concernant les </w:t>
      </w:r>
      <w:r w:rsidRPr="00340A14">
        <w:rPr>
          <w:rFonts w:ascii="Times New Roman" w:hAnsi="Times New Roman"/>
          <w:b/>
          <w:bCs/>
          <w:szCs w:val="24"/>
          <w:lang w:val="fr-BE"/>
        </w:rPr>
        <w:t>paragraphes 2</w:t>
      </w:r>
      <w:r w:rsidRPr="00340A14">
        <w:rPr>
          <w:rFonts w:ascii="Times New Roman" w:hAnsi="Times New Roman"/>
          <w:szCs w:val="24"/>
          <w:lang w:val="fr-BE"/>
        </w:rPr>
        <w:t xml:space="preserve"> et </w:t>
      </w:r>
      <w:r w:rsidRPr="00340A14">
        <w:rPr>
          <w:rFonts w:ascii="Times New Roman" w:hAnsi="Times New Roman"/>
          <w:b/>
          <w:bCs/>
          <w:szCs w:val="24"/>
          <w:lang w:val="fr-BE"/>
        </w:rPr>
        <w:t>3</w:t>
      </w:r>
      <w:r w:rsidRPr="00340A14">
        <w:rPr>
          <w:rFonts w:ascii="Times New Roman" w:hAnsi="Times New Roman"/>
          <w:szCs w:val="24"/>
          <w:lang w:val="fr-BE"/>
        </w:rPr>
        <w:t xml:space="preserve">, la Commission attire l’attention sur le fait que l’article 17 et l’article 4 du règlement (CE) nº 1107/2009 reflètent le choix des colégislateurs d’exiger qu’une évaluation complète soit réalisée avant qu’une décision puisse être prise sur le renouvellement ou non d’une substance active. L’article 17 vise à permettre la réalisation de cette évaluation et ne fait pas de distinction entre les substances qui remplissent les critères d’exclusion, les substances qui remplissent les critères requis pour être considérées comme des substances dont on envisage la substitution, et les substances qui ne remplissent pas ces critères. </w:t>
      </w:r>
    </w:p>
    <w:p w14:paraId="4411C473"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Concernant les effets expressément mentionnés dans la résolution, la Commission voudrait faire remarquer que la dimoxystrobine a été reconnue comme étant un perturbateur endocrinien au titre des critères provisoires spécifiés dans le règlement (CE) nº 1107/2009. Ces critères provisoires ne sont plus valables et ont été remplacés par les critères scientifiques énoncés dans le règlement (UE) nº 2018/605, et la dimoxystrobine n’a pas été reconnue comme étant un puissant perturbateur endocrinien dans l’étude accompagnant l’analyse d’impact menée avant l’adoption de ce règlement.</w:t>
      </w:r>
    </w:p>
    <w:p w14:paraId="78AA37EE"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 xml:space="preserve">Pour ce qui est des </w:t>
      </w:r>
      <w:r w:rsidRPr="00340A14">
        <w:rPr>
          <w:rFonts w:ascii="Times New Roman" w:hAnsi="Times New Roman"/>
          <w:b/>
          <w:bCs/>
          <w:szCs w:val="24"/>
          <w:lang w:val="fr-BE"/>
        </w:rPr>
        <w:t>paragraphes 7</w:t>
      </w:r>
      <w:r w:rsidRPr="00340A14">
        <w:rPr>
          <w:rFonts w:ascii="Times New Roman" w:hAnsi="Times New Roman"/>
          <w:szCs w:val="24"/>
          <w:lang w:val="fr-BE"/>
        </w:rPr>
        <w:t xml:space="preserve"> et </w:t>
      </w:r>
      <w:r w:rsidRPr="00340A14">
        <w:rPr>
          <w:rFonts w:ascii="Times New Roman" w:hAnsi="Times New Roman"/>
          <w:b/>
          <w:bCs/>
          <w:szCs w:val="24"/>
          <w:lang w:val="fr-BE"/>
        </w:rPr>
        <w:t>8</w:t>
      </w:r>
      <w:r w:rsidRPr="00340A14">
        <w:rPr>
          <w:rFonts w:ascii="Times New Roman" w:hAnsi="Times New Roman"/>
          <w:szCs w:val="24"/>
          <w:lang w:val="fr-BE"/>
        </w:rPr>
        <w:t>, la Commission souhaite insister sur le fait qu’au stade actuel de la procédure, il n’y a pas de raison manifeste de penser que l’approbation de la dimoxystrobine ne puisse pas être renouvelée. Il en va différemment pour d’autres substances, par exemple le chlorpyrifos ou le chlorpyriphos-méthyl, pour lesquelles il est apparu clairement, au cours de l’examen par les pairs du projet d’évaluation présenté par l’État membre rapporteur, que les critères d’approbation n’étaient plus remplis. La Commission n’a donc pas prolongé l’approbation de ces deux substances afin d’achever l’évaluation complète.</w:t>
      </w:r>
    </w:p>
    <w:p w14:paraId="3530A298"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 xml:space="preserve">Quant au </w:t>
      </w:r>
      <w:r w:rsidRPr="00340A14">
        <w:rPr>
          <w:rFonts w:ascii="Times New Roman" w:hAnsi="Times New Roman"/>
          <w:b/>
          <w:bCs/>
          <w:szCs w:val="24"/>
          <w:lang w:val="fr-BE"/>
        </w:rPr>
        <w:t>paragraphe 9</w:t>
      </w:r>
      <w:r w:rsidRPr="00340A14">
        <w:rPr>
          <w:rFonts w:ascii="Times New Roman" w:hAnsi="Times New Roman"/>
          <w:szCs w:val="24"/>
          <w:lang w:val="fr-BE"/>
        </w:rPr>
        <w:t>, la Commission partage le point de vue du Parlement européen selon lequel les États membres devraient présenter leurs rapports d’évaluation en temps utile.</w:t>
      </w:r>
    </w:p>
    <w:p w14:paraId="25DA61E2" w14:textId="77777777" w:rsidR="0045216A"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La Commission regrette que l’article 17 doive être appliqué régulièrement en raison de retards considérables dans l’achèvement des processus de renouvellement des substances actives. Des retards sur les délais dans le cadre du processus de renouvellement se produisent pour diverses raisons indépendantes du demandeur. Ils peuvent être dus à la complexité de l’évaluation, ou à la nécessité d’approfondir certains aspects de l’évaluation des risques tels que l’évaluation des effets perturbateurs endocriniens selon les nouveaux critères, ou encore à l’évaluation de la situation du demandeur à l’égard des possibilités de dérogation de ce que l’on appelle les critères d’exclusion.</w:t>
      </w:r>
    </w:p>
    <w:p w14:paraId="521398E1" w14:textId="45E9EB93" w:rsidR="00035319" w:rsidRPr="00340A14" w:rsidRDefault="0045216A" w:rsidP="0045216A">
      <w:pPr>
        <w:widowControl w:val="0"/>
        <w:spacing w:after="120"/>
        <w:rPr>
          <w:rFonts w:ascii="Times New Roman" w:hAnsi="Times New Roman"/>
          <w:szCs w:val="24"/>
          <w:lang w:val="fr-BE"/>
        </w:rPr>
      </w:pPr>
      <w:r w:rsidRPr="00340A14">
        <w:rPr>
          <w:rFonts w:ascii="Times New Roman" w:hAnsi="Times New Roman"/>
          <w:szCs w:val="24"/>
          <w:lang w:val="fr-BE"/>
        </w:rPr>
        <w:t>Les prolongations décidées par la Commission sont limitées au minimum et, dans ses décisions de prolongation, la Commission opte pour la prolongation la plus courte possible plutôt que pour une période de prolongation unique plus longue. En outre, le règlement de prolongation précise que la prolongation sera dénoncée avec effet immédiat si un règlement de non-renouvellement est adopté au cours de la période d’approbation prolongée</w:t>
      </w:r>
      <w:r w:rsidR="00035319" w:rsidRPr="00340A14">
        <w:rPr>
          <w:rFonts w:ascii="Times New Roman" w:hAnsi="Times New Roman"/>
          <w:szCs w:val="24"/>
          <w:lang w:val="fr-BE"/>
        </w:rPr>
        <w:t>.</w:t>
      </w:r>
    </w:p>
    <w:p w14:paraId="76BFD882" w14:textId="516A761F" w:rsidR="00734A59" w:rsidRPr="000967AA" w:rsidRDefault="00734A59" w:rsidP="000967AA">
      <w:pPr>
        <w:spacing w:after="600"/>
        <w:jc w:val="center"/>
        <w:rPr>
          <w:rFonts w:ascii="Times New Roman" w:hAnsi="Times New Roman"/>
          <w:szCs w:val="24"/>
          <w:lang w:val="fr-BE"/>
        </w:rPr>
      </w:pPr>
      <w:bookmarkStart w:id="1" w:name="_GoBack"/>
      <w:bookmarkEnd w:id="1"/>
    </w:p>
    <w:sectPr w:rsidR="00734A59" w:rsidRPr="000967A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A0FB4" w14:textId="77777777" w:rsidR="003A1B6F" w:rsidRDefault="003A1B6F" w:rsidP="00E5337B">
      <w:pPr>
        <w:spacing w:after="0"/>
      </w:pPr>
      <w:r>
        <w:separator/>
      </w:r>
    </w:p>
  </w:endnote>
  <w:endnote w:type="continuationSeparator" w:id="0">
    <w:p w14:paraId="3C2B0347" w14:textId="77777777" w:rsidR="003A1B6F" w:rsidRDefault="003A1B6F" w:rsidP="00E53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panose1 w:val="020B050604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8E6AB" w14:textId="77777777" w:rsidR="003C3401" w:rsidRDefault="003C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321917"/>
      <w:docPartObj>
        <w:docPartGallery w:val="Page Numbers (Bottom of Page)"/>
        <w:docPartUnique/>
      </w:docPartObj>
    </w:sdtPr>
    <w:sdtEndPr>
      <w:rPr>
        <w:noProof/>
      </w:rPr>
    </w:sdtEndPr>
    <w:sdtContent>
      <w:p w14:paraId="2CB62B53" w14:textId="57F03210" w:rsidR="003A1B6F" w:rsidRDefault="003A1B6F">
        <w:pPr>
          <w:pStyle w:val="Footer"/>
          <w:jc w:val="center"/>
        </w:pPr>
        <w:r w:rsidRPr="00D64824">
          <w:rPr>
            <w:rFonts w:ascii="Times New Roman" w:hAnsi="Times New Roman"/>
            <w:sz w:val="20"/>
          </w:rPr>
          <w:fldChar w:fldCharType="begin"/>
        </w:r>
        <w:r w:rsidRPr="00D64824">
          <w:rPr>
            <w:rFonts w:ascii="Times New Roman" w:hAnsi="Times New Roman"/>
            <w:sz w:val="20"/>
          </w:rPr>
          <w:instrText xml:space="preserve"> PAGE   \* MERGEFORMAT </w:instrText>
        </w:r>
        <w:r w:rsidRPr="00D64824">
          <w:rPr>
            <w:rFonts w:ascii="Times New Roman" w:hAnsi="Times New Roman"/>
            <w:sz w:val="20"/>
          </w:rPr>
          <w:fldChar w:fldCharType="separate"/>
        </w:r>
        <w:r w:rsidR="00DB6797">
          <w:rPr>
            <w:rFonts w:ascii="Times New Roman" w:hAnsi="Times New Roman"/>
            <w:noProof/>
            <w:sz w:val="20"/>
          </w:rPr>
          <w:t>3</w:t>
        </w:r>
        <w:r w:rsidRPr="00D64824">
          <w:rPr>
            <w:rFonts w:ascii="Times New Roman" w:hAnsi="Times New Roman"/>
            <w:noProof/>
            <w:sz w:val="20"/>
          </w:rPr>
          <w:fldChar w:fldCharType="end"/>
        </w:r>
      </w:p>
    </w:sdtContent>
  </w:sdt>
  <w:p w14:paraId="63A8DD87" w14:textId="77777777" w:rsidR="003A1B6F" w:rsidRDefault="003A1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FBB4" w14:textId="77777777" w:rsidR="003C3401" w:rsidRDefault="003C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625C" w14:textId="77777777" w:rsidR="003A1B6F" w:rsidRDefault="003A1B6F" w:rsidP="00E5337B">
      <w:pPr>
        <w:spacing w:after="0"/>
      </w:pPr>
      <w:r>
        <w:separator/>
      </w:r>
    </w:p>
  </w:footnote>
  <w:footnote w:type="continuationSeparator" w:id="0">
    <w:p w14:paraId="764491E3" w14:textId="77777777" w:rsidR="003A1B6F" w:rsidRDefault="003A1B6F" w:rsidP="00E533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18D05" w14:textId="77777777" w:rsidR="003C3401" w:rsidRDefault="003C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BFE8" w14:textId="77777777" w:rsidR="003C3401" w:rsidRDefault="003C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202C" w14:textId="77777777" w:rsidR="003C3401" w:rsidRDefault="003C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43F072B"/>
    <w:multiLevelType w:val="hybridMultilevel"/>
    <w:tmpl w:val="657EF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858CB"/>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2772438"/>
    <w:multiLevelType w:val="hybridMultilevel"/>
    <w:tmpl w:val="41E09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6670DB"/>
    <w:multiLevelType w:val="hybridMultilevel"/>
    <w:tmpl w:val="B8E6EBC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81A6558"/>
    <w:multiLevelType w:val="hybridMultilevel"/>
    <w:tmpl w:val="DCF4FDB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EA71987"/>
    <w:multiLevelType w:val="hybridMultilevel"/>
    <w:tmpl w:val="17A810CA"/>
    <w:lvl w:ilvl="0" w:tplc="EABA8D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C36EE"/>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AF2487E"/>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B9C0298"/>
    <w:multiLevelType w:val="hybridMultilevel"/>
    <w:tmpl w:val="7494E44A"/>
    <w:lvl w:ilvl="0" w:tplc="3C4813B0">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F3013E"/>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B645C6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3539BE"/>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5FB97A34"/>
    <w:multiLevelType w:val="hybridMultilevel"/>
    <w:tmpl w:val="03A08B1E"/>
    <w:lvl w:ilvl="0" w:tplc="80E0A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B5C5F"/>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1AD6AC0"/>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6F17CB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C525E28"/>
    <w:multiLevelType w:val="hybridMultilevel"/>
    <w:tmpl w:val="E3861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537710"/>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6"/>
  </w:num>
  <w:num w:numId="3">
    <w:abstractNumId w:val="19"/>
  </w:num>
  <w:num w:numId="4">
    <w:abstractNumId w:val="12"/>
  </w:num>
  <w:num w:numId="5">
    <w:abstractNumId w:val="11"/>
  </w:num>
  <w:num w:numId="6">
    <w:abstractNumId w:val="16"/>
  </w:num>
  <w:num w:numId="7">
    <w:abstractNumId w:val="17"/>
  </w:num>
  <w:num w:numId="8">
    <w:abstractNumId w:val="8"/>
  </w:num>
  <w:num w:numId="9">
    <w:abstractNumId w:val="20"/>
  </w:num>
  <w:num w:numId="10">
    <w:abstractNumId w:val="18"/>
  </w:num>
  <w:num w:numId="11">
    <w:abstractNumId w:val="2"/>
  </w:num>
  <w:num w:numId="12">
    <w:abstractNumId w:val="9"/>
  </w:num>
  <w:num w:numId="13">
    <w:abstractNumId w:val="7"/>
  </w:num>
  <w:num w:numId="14">
    <w:abstractNumId w:val="15"/>
  </w:num>
  <w:num w:numId="15">
    <w:abstractNumId w:val="1"/>
  </w:num>
  <w:num w:numId="16">
    <w:abstractNumId w:val="4"/>
  </w:num>
  <w:num w:numId="17">
    <w:abstractNumId w:val="3"/>
  </w:num>
  <w:num w:numId="18">
    <w:abstractNumId w:val="5"/>
  </w:num>
  <w:num w:numId="19">
    <w:abstractNumId w:val="14"/>
  </w:num>
  <w:num w:numId="20">
    <w:abstractNumId w:val="13"/>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defaultTabStop w:val="720"/>
  <w:hyphenationZone w:val="425"/>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81A72"/>
    <w:rsid w:val="00000073"/>
    <w:rsid w:val="000055F0"/>
    <w:rsid w:val="00013C39"/>
    <w:rsid w:val="00026136"/>
    <w:rsid w:val="0002618B"/>
    <w:rsid w:val="00035319"/>
    <w:rsid w:val="000508C7"/>
    <w:rsid w:val="000621E1"/>
    <w:rsid w:val="000724E0"/>
    <w:rsid w:val="00073BA8"/>
    <w:rsid w:val="0007540E"/>
    <w:rsid w:val="000755B1"/>
    <w:rsid w:val="0007579B"/>
    <w:rsid w:val="00076F0C"/>
    <w:rsid w:val="00083D99"/>
    <w:rsid w:val="0008401B"/>
    <w:rsid w:val="00087974"/>
    <w:rsid w:val="00090DBF"/>
    <w:rsid w:val="00094868"/>
    <w:rsid w:val="000967AA"/>
    <w:rsid w:val="000976A0"/>
    <w:rsid w:val="000A5480"/>
    <w:rsid w:val="000B1BD0"/>
    <w:rsid w:val="000B5B7D"/>
    <w:rsid w:val="000C2C3D"/>
    <w:rsid w:val="000C610C"/>
    <w:rsid w:val="000D4485"/>
    <w:rsid w:val="000D5D7D"/>
    <w:rsid w:val="000E12B4"/>
    <w:rsid w:val="000E1ECC"/>
    <w:rsid w:val="000E72E3"/>
    <w:rsid w:val="000E7824"/>
    <w:rsid w:val="000F5CA1"/>
    <w:rsid w:val="001040D4"/>
    <w:rsid w:val="00104AF3"/>
    <w:rsid w:val="00105C85"/>
    <w:rsid w:val="00111B39"/>
    <w:rsid w:val="00112492"/>
    <w:rsid w:val="001141FB"/>
    <w:rsid w:val="00116BBF"/>
    <w:rsid w:val="00134E09"/>
    <w:rsid w:val="0014793E"/>
    <w:rsid w:val="001755D2"/>
    <w:rsid w:val="001807DB"/>
    <w:rsid w:val="00195D43"/>
    <w:rsid w:val="001B314B"/>
    <w:rsid w:val="001B4E7A"/>
    <w:rsid w:val="001B57F5"/>
    <w:rsid w:val="001C268C"/>
    <w:rsid w:val="001C3595"/>
    <w:rsid w:val="001C6BA2"/>
    <w:rsid w:val="001D18EB"/>
    <w:rsid w:val="001D4E53"/>
    <w:rsid w:val="001D5FD8"/>
    <w:rsid w:val="001D7866"/>
    <w:rsid w:val="001E1029"/>
    <w:rsid w:val="001E1ED2"/>
    <w:rsid w:val="002004F9"/>
    <w:rsid w:val="002020CD"/>
    <w:rsid w:val="002073A0"/>
    <w:rsid w:val="002141A8"/>
    <w:rsid w:val="0021442F"/>
    <w:rsid w:val="002219A5"/>
    <w:rsid w:val="00227A61"/>
    <w:rsid w:val="00234D47"/>
    <w:rsid w:val="00247B1D"/>
    <w:rsid w:val="00251214"/>
    <w:rsid w:val="002558AB"/>
    <w:rsid w:val="0026224F"/>
    <w:rsid w:val="0027220A"/>
    <w:rsid w:val="00273ED5"/>
    <w:rsid w:val="002852B6"/>
    <w:rsid w:val="002903BD"/>
    <w:rsid w:val="002925FD"/>
    <w:rsid w:val="00295501"/>
    <w:rsid w:val="002A35FD"/>
    <w:rsid w:val="002A61E7"/>
    <w:rsid w:val="002B4AFC"/>
    <w:rsid w:val="002D1783"/>
    <w:rsid w:val="002F1D0F"/>
    <w:rsid w:val="002F298F"/>
    <w:rsid w:val="002F5D36"/>
    <w:rsid w:val="002F5E9D"/>
    <w:rsid w:val="00303383"/>
    <w:rsid w:val="003108A9"/>
    <w:rsid w:val="00325C83"/>
    <w:rsid w:val="00325E7E"/>
    <w:rsid w:val="00330DA7"/>
    <w:rsid w:val="003368D9"/>
    <w:rsid w:val="00340A14"/>
    <w:rsid w:val="00340B59"/>
    <w:rsid w:val="00346FB9"/>
    <w:rsid w:val="00347192"/>
    <w:rsid w:val="00351FD9"/>
    <w:rsid w:val="003539DF"/>
    <w:rsid w:val="003604D4"/>
    <w:rsid w:val="003620D3"/>
    <w:rsid w:val="00374116"/>
    <w:rsid w:val="00377472"/>
    <w:rsid w:val="00377D9C"/>
    <w:rsid w:val="003806D0"/>
    <w:rsid w:val="00386900"/>
    <w:rsid w:val="003914A8"/>
    <w:rsid w:val="00392320"/>
    <w:rsid w:val="0039252C"/>
    <w:rsid w:val="00395DF5"/>
    <w:rsid w:val="003A1B6F"/>
    <w:rsid w:val="003A7934"/>
    <w:rsid w:val="003B04A1"/>
    <w:rsid w:val="003B3F3D"/>
    <w:rsid w:val="003B4CEB"/>
    <w:rsid w:val="003C3401"/>
    <w:rsid w:val="003C7F43"/>
    <w:rsid w:val="003E481B"/>
    <w:rsid w:val="003E6324"/>
    <w:rsid w:val="003E68E6"/>
    <w:rsid w:val="003F325C"/>
    <w:rsid w:val="003F3F39"/>
    <w:rsid w:val="00401FC5"/>
    <w:rsid w:val="00403AB0"/>
    <w:rsid w:val="00404E13"/>
    <w:rsid w:val="00405DCF"/>
    <w:rsid w:val="00410958"/>
    <w:rsid w:val="004201A3"/>
    <w:rsid w:val="00424287"/>
    <w:rsid w:val="004245C1"/>
    <w:rsid w:val="004253E1"/>
    <w:rsid w:val="004274E2"/>
    <w:rsid w:val="004361A3"/>
    <w:rsid w:val="004406D7"/>
    <w:rsid w:val="0045216A"/>
    <w:rsid w:val="00467201"/>
    <w:rsid w:val="00467C10"/>
    <w:rsid w:val="00495226"/>
    <w:rsid w:val="0049573A"/>
    <w:rsid w:val="004A7C92"/>
    <w:rsid w:val="004B0F78"/>
    <w:rsid w:val="004B4221"/>
    <w:rsid w:val="004B488D"/>
    <w:rsid w:val="004F4F6B"/>
    <w:rsid w:val="00505459"/>
    <w:rsid w:val="00506B10"/>
    <w:rsid w:val="00521A67"/>
    <w:rsid w:val="00523D9C"/>
    <w:rsid w:val="00531B75"/>
    <w:rsid w:val="005374EF"/>
    <w:rsid w:val="00546B49"/>
    <w:rsid w:val="00557846"/>
    <w:rsid w:val="00562B92"/>
    <w:rsid w:val="00562E1D"/>
    <w:rsid w:val="0056368A"/>
    <w:rsid w:val="005638C4"/>
    <w:rsid w:val="00566FB5"/>
    <w:rsid w:val="005718E9"/>
    <w:rsid w:val="00577870"/>
    <w:rsid w:val="0058343D"/>
    <w:rsid w:val="005836BC"/>
    <w:rsid w:val="005A15A0"/>
    <w:rsid w:val="005A605A"/>
    <w:rsid w:val="005B4887"/>
    <w:rsid w:val="005B6018"/>
    <w:rsid w:val="005B6F40"/>
    <w:rsid w:val="005B7EAE"/>
    <w:rsid w:val="005D352F"/>
    <w:rsid w:val="005E6BB5"/>
    <w:rsid w:val="005F61AB"/>
    <w:rsid w:val="005F6F65"/>
    <w:rsid w:val="00603CE8"/>
    <w:rsid w:val="00607278"/>
    <w:rsid w:val="00615D5C"/>
    <w:rsid w:val="0061693B"/>
    <w:rsid w:val="0062336A"/>
    <w:rsid w:val="0062369D"/>
    <w:rsid w:val="0062705E"/>
    <w:rsid w:val="00633FB2"/>
    <w:rsid w:val="00634434"/>
    <w:rsid w:val="00641001"/>
    <w:rsid w:val="00651DE5"/>
    <w:rsid w:val="006642E5"/>
    <w:rsid w:val="00673C24"/>
    <w:rsid w:val="006762B5"/>
    <w:rsid w:val="00677D6C"/>
    <w:rsid w:val="00681A07"/>
    <w:rsid w:val="00684AAE"/>
    <w:rsid w:val="006A1AAA"/>
    <w:rsid w:val="006A4870"/>
    <w:rsid w:val="006B009E"/>
    <w:rsid w:val="006B0722"/>
    <w:rsid w:val="006B14DE"/>
    <w:rsid w:val="006B4C4D"/>
    <w:rsid w:val="006B5CD4"/>
    <w:rsid w:val="006C123C"/>
    <w:rsid w:val="006C2962"/>
    <w:rsid w:val="006C710D"/>
    <w:rsid w:val="006D1DE3"/>
    <w:rsid w:val="006D2011"/>
    <w:rsid w:val="006E0B2E"/>
    <w:rsid w:val="006E531A"/>
    <w:rsid w:val="006E79A2"/>
    <w:rsid w:val="00711B1C"/>
    <w:rsid w:val="00714FC4"/>
    <w:rsid w:val="00723091"/>
    <w:rsid w:val="00731ABA"/>
    <w:rsid w:val="00732F5D"/>
    <w:rsid w:val="00734A59"/>
    <w:rsid w:val="007375A9"/>
    <w:rsid w:val="007378D8"/>
    <w:rsid w:val="007431A6"/>
    <w:rsid w:val="007552A6"/>
    <w:rsid w:val="00757887"/>
    <w:rsid w:val="0076016D"/>
    <w:rsid w:val="00763136"/>
    <w:rsid w:val="00770B33"/>
    <w:rsid w:val="00773E4C"/>
    <w:rsid w:val="00775247"/>
    <w:rsid w:val="007801D2"/>
    <w:rsid w:val="00781727"/>
    <w:rsid w:val="00781A72"/>
    <w:rsid w:val="007906E6"/>
    <w:rsid w:val="00795AF7"/>
    <w:rsid w:val="007A4354"/>
    <w:rsid w:val="007A4F5B"/>
    <w:rsid w:val="007B6120"/>
    <w:rsid w:val="007B7834"/>
    <w:rsid w:val="007B7941"/>
    <w:rsid w:val="007C0FA1"/>
    <w:rsid w:val="007C5367"/>
    <w:rsid w:val="007C5B49"/>
    <w:rsid w:val="007D507D"/>
    <w:rsid w:val="007E0B37"/>
    <w:rsid w:val="007F1D37"/>
    <w:rsid w:val="007F1DC8"/>
    <w:rsid w:val="007F2AAA"/>
    <w:rsid w:val="007F3747"/>
    <w:rsid w:val="007F4AF7"/>
    <w:rsid w:val="007F5EF8"/>
    <w:rsid w:val="00804AAC"/>
    <w:rsid w:val="008121D6"/>
    <w:rsid w:val="00826076"/>
    <w:rsid w:val="008263FA"/>
    <w:rsid w:val="0082752A"/>
    <w:rsid w:val="00836884"/>
    <w:rsid w:val="008405AB"/>
    <w:rsid w:val="00846098"/>
    <w:rsid w:val="00846400"/>
    <w:rsid w:val="0085750C"/>
    <w:rsid w:val="008629A0"/>
    <w:rsid w:val="00865B95"/>
    <w:rsid w:val="00865F64"/>
    <w:rsid w:val="008722A2"/>
    <w:rsid w:val="00884615"/>
    <w:rsid w:val="00885DE7"/>
    <w:rsid w:val="00892AC9"/>
    <w:rsid w:val="00896377"/>
    <w:rsid w:val="008A217A"/>
    <w:rsid w:val="008A411C"/>
    <w:rsid w:val="008A4DA5"/>
    <w:rsid w:val="008C0834"/>
    <w:rsid w:val="008C6C82"/>
    <w:rsid w:val="008C6E88"/>
    <w:rsid w:val="008C74DD"/>
    <w:rsid w:val="008D0021"/>
    <w:rsid w:val="008D68F3"/>
    <w:rsid w:val="008F3148"/>
    <w:rsid w:val="008F3947"/>
    <w:rsid w:val="00900924"/>
    <w:rsid w:val="00902931"/>
    <w:rsid w:val="0090330B"/>
    <w:rsid w:val="00904041"/>
    <w:rsid w:val="00907A7C"/>
    <w:rsid w:val="00915F24"/>
    <w:rsid w:val="00917059"/>
    <w:rsid w:val="00932244"/>
    <w:rsid w:val="0093515D"/>
    <w:rsid w:val="00935EE3"/>
    <w:rsid w:val="00936E06"/>
    <w:rsid w:val="009433F5"/>
    <w:rsid w:val="00943AB4"/>
    <w:rsid w:val="00950E81"/>
    <w:rsid w:val="00954D0C"/>
    <w:rsid w:val="00961A39"/>
    <w:rsid w:val="00963D91"/>
    <w:rsid w:val="00965025"/>
    <w:rsid w:val="009704EC"/>
    <w:rsid w:val="00973D29"/>
    <w:rsid w:val="00974F08"/>
    <w:rsid w:val="00976F9A"/>
    <w:rsid w:val="00982937"/>
    <w:rsid w:val="00984EC9"/>
    <w:rsid w:val="00993AA8"/>
    <w:rsid w:val="009B543A"/>
    <w:rsid w:val="009B5C7F"/>
    <w:rsid w:val="009C1DD1"/>
    <w:rsid w:val="009C5E91"/>
    <w:rsid w:val="009C604A"/>
    <w:rsid w:val="009D085C"/>
    <w:rsid w:val="009E2C40"/>
    <w:rsid w:val="009E7F21"/>
    <w:rsid w:val="009F7F09"/>
    <w:rsid w:val="00A01117"/>
    <w:rsid w:val="00A02369"/>
    <w:rsid w:val="00A1588D"/>
    <w:rsid w:val="00A20F32"/>
    <w:rsid w:val="00A22D80"/>
    <w:rsid w:val="00A26B61"/>
    <w:rsid w:val="00A30D02"/>
    <w:rsid w:val="00A32EC0"/>
    <w:rsid w:val="00A3487D"/>
    <w:rsid w:val="00A42B44"/>
    <w:rsid w:val="00A43431"/>
    <w:rsid w:val="00A62B81"/>
    <w:rsid w:val="00A73FEF"/>
    <w:rsid w:val="00A86E91"/>
    <w:rsid w:val="00A92CDC"/>
    <w:rsid w:val="00A944BB"/>
    <w:rsid w:val="00A95972"/>
    <w:rsid w:val="00AA6E88"/>
    <w:rsid w:val="00AB31C4"/>
    <w:rsid w:val="00AB32EC"/>
    <w:rsid w:val="00AC1160"/>
    <w:rsid w:val="00AC1E31"/>
    <w:rsid w:val="00AC7774"/>
    <w:rsid w:val="00AD5E99"/>
    <w:rsid w:val="00AD6137"/>
    <w:rsid w:val="00AE3DE2"/>
    <w:rsid w:val="00AF4FCE"/>
    <w:rsid w:val="00AF7B2D"/>
    <w:rsid w:val="00B0490D"/>
    <w:rsid w:val="00B07A51"/>
    <w:rsid w:val="00B20600"/>
    <w:rsid w:val="00B23DBA"/>
    <w:rsid w:val="00B2729D"/>
    <w:rsid w:val="00B50BAE"/>
    <w:rsid w:val="00B56E4C"/>
    <w:rsid w:val="00B75891"/>
    <w:rsid w:val="00BA62C2"/>
    <w:rsid w:val="00BB1328"/>
    <w:rsid w:val="00BB2E18"/>
    <w:rsid w:val="00BB4B87"/>
    <w:rsid w:val="00BC0F81"/>
    <w:rsid w:val="00BC285D"/>
    <w:rsid w:val="00BC57FD"/>
    <w:rsid w:val="00BD45C7"/>
    <w:rsid w:val="00BE0B8F"/>
    <w:rsid w:val="00BE5878"/>
    <w:rsid w:val="00C07709"/>
    <w:rsid w:val="00C218C7"/>
    <w:rsid w:val="00C25DA3"/>
    <w:rsid w:val="00C35640"/>
    <w:rsid w:val="00C439F4"/>
    <w:rsid w:val="00C533D4"/>
    <w:rsid w:val="00C57C26"/>
    <w:rsid w:val="00C607A5"/>
    <w:rsid w:val="00C622C6"/>
    <w:rsid w:val="00C7687F"/>
    <w:rsid w:val="00C77ABA"/>
    <w:rsid w:val="00C90294"/>
    <w:rsid w:val="00CA36F5"/>
    <w:rsid w:val="00CB1B47"/>
    <w:rsid w:val="00CC22E6"/>
    <w:rsid w:val="00CC6D03"/>
    <w:rsid w:val="00CE3707"/>
    <w:rsid w:val="00CE5F71"/>
    <w:rsid w:val="00D01ADE"/>
    <w:rsid w:val="00D01DE0"/>
    <w:rsid w:val="00D07F72"/>
    <w:rsid w:val="00D23D94"/>
    <w:rsid w:val="00D27F0D"/>
    <w:rsid w:val="00D31EE3"/>
    <w:rsid w:val="00D542FA"/>
    <w:rsid w:val="00D61D4B"/>
    <w:rsid w:val="00D6310A"/>
    <w:rsid w:val="00D64824"/>
    <w:rsid w:val="00D8112F"/>
    <w:rsid w:val="00D84CE0"/>
    <w:rsid w:val="00D94818"/>
    <w:rsid w:val="00DA5AE3"/>
    <w:rsid w:val="00DA668F"/>
    <w:rsid w:val="00DB6797"/>
    <w:rsid w:val="00DC07EC"/>
    <w:rsid w:val="00DC4F51"/>
    <w:rsid w:val="00DD113E"/>
    <w:rsid w:val="00DD1421"/>
    <w:rsid w:val="00DD450B"/>
    <w:rsid w:val="00DD79C8"/>
    <w:rsid w:val="00DE4772"/>
    <w:rsid w:val="00E05DD0"/>
    <w:rsid w:val="00E12B6A"/>
    <w:rsid w:val="00E47582"/>
    <w:rsid w:val="00E520CF"/>
    <w:rsid w:val="00E52176"/>
    <w:rsid w:val="00E5337B"/>
    <w:rsid w:val="00E623CA"/>
    <w:rsid w:val="00E77DA4"/>
    <w:rsid w:val="00E85A3C"/>
    <w:rsid w:val="00E87836"/>
    <w:rsid w:val="00EA06F8"/>
    <w:rsid w:val="00EA245D"/>
    <w:rsid w:val="00EA3A35"/>
    <w:rsid w:val="00EA3E45"/>
    <w:rsid w:val="00EA51AA"/>
    <w:rsid w:val="00EB3388"/>
    <w:rsid w:val="00EB3C3C"/>
    <w:rsid w:val="00EB4022"/>
    <w:rsid w:val="00EB49B7"/>
    <w:rsid w:val="00EB6FEF"/>
    <w:rsid w:val="00ED69B3"/>
    <w:rsid w:val="00ED78F6"/>
    <w:rsid w:val="00EE214F"/>
    <w:rsid w:val="00EE43AC"/>
    <w:rsid w:val="00EE6A52"/>
    <w:rsid w:val="00F0041A"/>
    <w:rsid w:val="00F00A73"/>
    <w:rsid w:val="00F00B24"/>
    <w:rsid w:val="00F02029"/>
    <w:rsid w:val="00F07746"/>
    <w:rsid w:val="00F10483"/>
    <w:rsid w:val="00F26526"/>
    <w:rsid w:val="00F32B4D"/>
    <w:rsid w:val="00F34E88"/>
    <w:rsid w:val="00F36D6D"/>
    <w:rsid w:val="00F370D7"/>
    <w:rsid w:val="00F413A4"/>
    <w:rsid w:val="00F5013E"/>
    <w:rsid w:val="00F57C59"/>
    <w:rsid w:val="00F63BEA"/>
    <w:rsid w:val="00F65C6F"/>
    <w:rsid w:val="00F83D5E"/>
    <w:rsid w:val="00FA130A"/>
    <w:rsid w:val="00FA1727"/>
    <w:rsid w:val="00FB0DCA"/>
    <w:rsid w:val="00FB3AFA"/>
    <w:rsid w:val="00FB3C7B"/>
    <w:rsid w:val="00FB7A5A"/>
    <w:rsid w:val="00FC33CC"/>
    <w:rsid w:val="00FD192E"/>
    <w:rsid w:val="00FD1E2C"/>
    <w:rsid w:val="00FD385F"/>
    <w:rsid w:val="00FE0968"/>
    <w:rsid w:val="00FE7D2E"/>
    <w:rsid w:val="00FF0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93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72"/>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unhideWhenUsed/>
    <w:rsid w:val="00781A72"/>
    <w:pPr>
      <w:spacing w:after="0"/>
      <w:ind w:left="5103" w:right="-567"/>
      <w:jc w:val="left"/>
    </w:pPr>
  </w:style>
  <w:style w:type="character" w:customStyle="1" w:styleId="DateChar">
    <w:name w:val="Date Char"/>
    <w:basedOn w:val="DefaultParagraphFont"/>
    <w:link w:val="Date"/>
    <w:semiHidden/>
    <w:rsid w:val="00781A72"/>
    <w:rPr>
      <w:rFonts w:ascii="Courier New" w:eastAsia="Times New Roman" w:hAnsi="Courier New" w:cs="Times New Roman"/>
      <w:sz w:val="24"/>
      <w:szCs w:val="20"/>
      <w:lang w:eastAsia="en-GB"/>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ist Paragraph compact"/>
    <w:basedOn w:val="Normal"/>
    <w:link w:val="ListParagraphChar"/>
    <w:uiPriority w:val="34"/>
    <w:qFormat/>
    <w:rsid w:val="00781A72"/>
    <w:pPr>
      <w:spacing w:after="200" w:line="276" w:lineRule="auto"/>
      <w:ind w:left="720"/>
      <w:contextualSpacing/>
      <w:jc w:val="left"/>
    </w:pPr>
    <w:rPr>
      <w:rFonts w:ascii="Calibri" w:eastAsia="Calibri" w:hAnsi="Calibri"/>
      <w:sz w:val="22"/>
      <w:szCs w:val="22"/>
      <w:lang w:eastAsia="en-US"/>
    </w:rPr>
  </w:style>
  <w:style w:type="paragraph" w:customStyle="1" w:styleId="Subject">
    <w:name w:val="Subject"/>
    <w:basedOn w:val="Normal"/>
    <w:next w:val="Normal"/>
    <w:rsid w:val="00781A72"/>
    <w:pPr>
      <w:spacing w:after="480"/>
      <w:ind w:left="1191" w:hanging="1191"/>
      <w:jc w:val="left"/>
    </w:pPr>
    <w:rPr>
      <w:b/>
    </w:rPr>
  </w:style>
  <w:style w:type="paragraph" w:customStyle="1" w:styleId="ZDGName">
    <w:name w:val="Z_DGName"/>
    <w:basedOn w:val="Normal"/>
    <w:uiPriority w:val="99"/>
    <w:rsid w:val="00781A72"/>
    <w:pPr>
      <w:spacing w:after="0"/>
      <w:ind w:right="85"/>
    </w:pPr>
    <w:rPr>
      <w:rFonts w:ascii="Arial" w:hAnsi="Arial"/>
      <w:sz w:val="16"/>
    </w:rPr>
  </w:style>
  <w:style w:type="paragraph" w:customStyle="1" w:styleId="ZCom">
    <w:name w:val="Z_Com"/>
    <w:basedOn w:val="Normal"/>
    <w:next w:val="ZDGName"/>
    <w:uiPriority w:val="99"/>
    <w:rsid w:val="00781A72"/>
    <w:pPr>
      <w:spacing w:after="0"/>
      <w:ind w:right="85"/>
    </w:pPr>
    <w:rPr>
      <w:rFonts w:ascii="Arial" w:hAnsi="Arial"/>
    </w:rPr>
  </w:style>
  <w:style w:type="paragraph" w:customStyle="1" w:styleId="ZFlag">
    <w:name w:val="Z_Flag"/>
    <w:basedOn w:val="Normal"/>
    <w:next w:val="Normal"/>
    <w:uiPriority w:val="99"/>
    <w:semiHidden/>
    <w:rsid w:val="00781A72"/>
    <w:pPr>
      <w:widowControl w:val="0"/>
      <w:spacing w:after="0"/>
      <w:ind w:right="85"/>
    </w:pPr>
    <w:rPr>
      <w:rFonts w:ascii="Times New Roman" w:hAnsi="Times New Roman"/>
      <w:lang w:eastAsia="fr-BE"/>
    </w:rPr>
  </w:style>
  <w:style w:type="table" w:customStyle="1" w:styleId="TableLetterhead">
    <w:name w:val="Table Letterhead"/>
    <w:basedOn w:val="TableNormal"/>
    <w:uiPriority w:val="99"/>
    <w:rsid w:val="00781A72"/>
    <w:pPr>
      <w:spacing w:after="0" w:line="240" w:lineRule="auto"/>
    </w:pPr>
    <w:rPr>
      <w:rFonts w:ascii="Times New Roman" w:eastAsia="Times New Roman" w:hAnsi="Times New Roman" w:cs="Times New Roman"/>
      <w:sz w:val="24"/>
      <w:szCs w:val="20"/>
      <w:lang w:eastAsia="fr-BE"/>
    </w:rPr>
    <w:tblPr>
      <w:tblInd w:w="0" w:type="nil"/>
      <w:tblCellMar>
        <w:left w:w="0" w:type="dxa"/>
        <w:bottom w:w="340" w:type="dxa"/>
        <w:right w:w="0" w:type="dxa"/>
      </w:tblCellMar>
    </w:tbl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CSR"/>
    <w:basedOn w:val="Normal"/>
    <w:link w:val="FootnoteTextChar2"/>
    <w:uiPriority w:val="99"/>
    <w:qFormat/>
    <w:rsid w:val="00E5337B"/>
    <w:pPr>
      <w:ind w:left="357" w:hanging="357"/>
    </w:pPr>
    <w:rPr>
      <w:sz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5_G Char,Fußn Char"/>
    <w:basedOn w:val="DefaultParagraphFont"/>
    <w:uiPriority w:val="99"/>
    <w:qFormat/>
    <w:rsid w:val="00E5337B"/>
    <w:rPr>
      <w:rFonts w:ascii="Courier New" w:eastAsia="Times New Roman" w:hAnsi="Courier New" w:cs="Times New Roman"/>
      <w:sz w:val="20"/>
      <w:szCs w:val="20"/>
      <w:lang w:eastAsia="en-GB"/>
    </w:rPr>
  </w:style>
  <w:style w:type="paragraph" w:styleId="ListBullet">
    <w:name w:val="List Bullet"/>
    <w:basedOn w:val="Normal"/>
    <w:link w:val="ListBulletChar"/>
    <w:uiPriority w:val="99"/>
    <w:rsid w:val="00E5337B"/>
    <w:pPr>
      <w:numPr>
        <w:numId w:val="1"/>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E5337B"/>
    <w:rPr>
      <w:vertAlign w:val="superscript"/>
    </w:rPr>
  </w:style>
  <w:style w:type="character" w:styleId="Hyperlink">
    <w:name w:val="Hyperlink"/>
    <w:aliases w:val="Char1"/>
    <w:uiPriority w:val="99"/>
    <w:rsid w:val="00E5337B"/>
    <w:rPr>
      <w:color w:val="0000FF"/>
      <w:u w:val="single"/>
    </w:rPr>
  </w:style>
  <w:style w:type="character" w:customStyle="1" w:styleId="ListBulletChar">
    <w:name w:val="List Bullet Char"/>
    <w:link w:val="ListBullet"/>
    <w:uiPriority w:val="99"/>
    <w:rsid w:val="00E5337B"/>
    <w:rPr>
      <w:rFonts w:ascii="Courier New" w:eastAsia="Times New Roman" w:hAnsi="Courier New" w:cs="Times New Roman"/>
      <w:sz w:val="24"/>
      <w:szCs w:val="20"/>
      <w:lang w:eastAsia="en-GB"/>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E5337B"/>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E5337B"/>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rsid w:val="00E5337B"/>
    <w:pPr>
      <w:spacing w:after="0" w:line="360" w:lineRule="auto"/>
    </w:pPr>
    <w:rPr>
      <w:rFonts w:ascii="Verdana" w:hAnsi="Verdana"/>
      <w:sz w:val="20"/>
      <w:lang w:eastAsia="pl-PL"/>
    </w:rPr>
  </w:style>
  <w:style w:type="paragraph" w:styleId="BalloonText">
    <w:name w:val="Balloon Text"/>
    <w:basedOn w:val="Normal"/>
    <w:link w:val="BalloonTextChar"/>
    <w:uiPriority w:val="99"/>
    <w:semiHidden/>
    <w:unhideWhenUsed/>
    <w:rsid w:val="00467C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10"/>
    <w:rPr>
      <w:rFonts w:ascii="Segoe UI" w:eastAsia="Times New Roman" w:hAnsi="Segoe UI" w:cs="Segoe UI"/>
      <w:sz w:val="18"/>
      <w:szCs w:val="18"/>
      <w:lang w:eastAsia="en-GB"/>
    </w:rPr>
  </w:style>
  <w:style w:type="character" w:customStyle="1" w:styleId="st">
    <w:name w:val="st"/>
    <w:basedOn w:val="DefaultParagraphFont"/>
    <w:rsid w:val="00EA06F8"/>
  </w:style>
  <w:style w:type="paragraph" w:styleId="NormalWeb">
    <w:name w:val="Normal (Web)"/>
    <w:aliases w:val=" webb,webb"/>
    <w:basedOn w:val="Normal"/>
    <w:link w:val="NormalWebChar"/>
    <w:uiPriority w:val="99"/>
    <w:rsid w:val="00392320"/>
    <w:pPr>
      <w:spacing w:before="100" w:beforeAutospacing="1" w:after="100" w:afterAutospacing="1"/>
      <w:jc w:val="left"/>
    </w:pPr>
    <w:rPr>
      <w:rFonts w:ascii="Times New Roman" w:hAnsi="Times New Roman"/>
      <w:szCs w:val="24"/>
    </w:rPr>
  </w:style>
  <w:style w:type="character" w:customStyle="1" w:styleId="NormalWebChar">
    <w:name w:val="Normal (Web) Char"/>
    <w:aliases w:val=" webb Char,webb Char"/>
    <w:link w:val="NormalWeb"/>
    <w:uiPriority w:val="99"/>
    <w:rsid w:val="00392320"/>
    <w:rPr>
      <w:rFonts w:ascii="Times New Roman" w:eastAsia="Times New Roman" w:hAnsi="Times New Roman" w:cs="Times New Roman"/>
      <w:sz w:val="24"/>
      <w:szCs w:val="24"/>
      <w:lang w:eastAsia="en-GB"/>
    </w:rPr>
  </w:style>
  <w:style w:type="paragraph" w:customStyle="1" w:styleId="Body">
    <w:name w:val="Body"/>
    <w:basedOn w:val="Normal"/>
    <w:link w:val="BodyChar"/>
    <w:qFormat/>
    <w:rsid w:val="00392320"/>
    <w:pPr>
      <w:spacing w:before="120" w:after="120"/>
    </w:pPr>
    <w:rPr>
      <w:rFonts w:ascii="EC Square Sans Pro" w:hAnsi="EC Square Sans Pro"/>
      <w:szCs w:val="24"/>
      <w:lang w:eastAsia="en-US"/>
    </w:rPr>
  </w:style>
  <w:style w:type="character" w:customStyle="1" w:styleId="BodyChar">
    <w:name w:val="Body Char"/>
    <w:link w:val="Body"/>
    <w:rsid w:val="00392320"/>
    <w:rPr>
      <w:rFonts w:ascii="EC Square Sans Pro" w:eastAsia="Times New Roman" w:hAnsi="EC Square Sans Pro" w:cs="Times New Roman"/>
      <w:sz w:val="24"/>
      <w:szCs w:val="24"/>
    </w:rPr>
  </w:style>
  <w:style w:type="paragraph" w:customStyle="1" w:styleId="Text1">
    <w:name w:val="Text 1"/>
    <w:basedOn w:val="Normal"/>
    <w:link w:val="Text1Char"/>
    <w:rsid w:val="00711B1C"/>
    <w:pPr>
      <w:ind w:left="482"/>
    </w:pPr>
  </w:style>
  <w:style w:type="character" w:customStyle="1" w:styleId="Text1Char">
    <w:name w:val="Text 1 Char"/>
    <w:link w:val="Text1"/>
    <w:rsid w:val="00711B1C"/>
    <w:rPr>
      <w:rFonts w:ascii="Courier New" w:eastAsia="Times New Roman" w:hAnsi="Courier New" w:cs="Times New Roman"/>
      <w:sz w:val="24"/>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711B1C"/>
    <w:rPr>
      <w:rFonts w:ascii="Calibri" w:eastAsia="Calibri" w:hAnsi="Calibri" w:cs="Times New Roman"/>
      <w:lang w:val="en-GB"/>
    </w:rPr>
  </w:style>
  <w:style w:type="character" w:styleId="Emphasis">
    <w:name w:val="Emphasis"/>
    <w:basedOn w:val="DefaultParagraphFont"/>
    <w:uiPriority w:val="20"/>
    <w:qFormat/>
    <w:rsid w:val="00273ED5"/>
    <w:rPr>
      <w:i/>
      <w:iCs/>
    </w:rPr>
  </w:style>
  <w:style w:type="character" w:customStyle="1" w:styleId="epname">
    <w:name w:val="ep_name"/>
    <w:basedOn w:val="DefaultParagraphFont"/>
    <w:rsid w:val="0058343D"/>
  </w:style>
  <w:style w:type="paragraph" w:styleId="Header">
    <w:name w:val="header"/>
    <w:basedOn w:val="Normal"/>
    <w:link w:val="HeaderChar"/>
    <w:uiPriority w:val="99"/>
    <w:unhideWhenUsed/>
    <w:rsid w:val="00D64824"/>
    <w:pPr>
      <w:tabs>
        <w:tab w:val="center" w:pos="4513"/>
        <w:tab w:val="right" w:pos="9026"/>
      </w:tabs>
      <w:spacing w:after="0"/>
    </w:pPr>
  </w:style>
  <w:style w:type="character" w:customStyle="1" w:styleId="HeaderChar">
    <w:name w:val="Header Char"/>
    <w:basedOn w:val="DefaultParagraphFont"/>
    <w:link w:val="Header"/>
    <w:uiPriority w:val="99"/>
    <w:rsid w:val="00D64824"/>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D64824"/>
    <w:pPr>
      <w:tabs>
        <w:tab w:val="center" w:pos="4513"/>
        <w:tab w:val="right" w:pos="9026"/>
      </w:tabs>
      <w:spacing w:after="0"/>
    </w:pPr>
  </w:style>
  <w:style w:type="character" w:customStyle="1" w:styleId="FooterChar">
    <w:name w:val="Footer Char"/>
    <w:basedOn w:val="DefaultParagraphFont"/>
    <w:link w:val="Footer"/>
    <w:uiPriority w:val="99"/>
    <w:rsid w:val="00D64824"/>
    <w:rPr>
      <w:rFonts w:ascii="Courier New" w:eastAsia="Times New Roman" w:hAnsi="Courier New" w:cs="Times New Roman"/>
      <w:sz w:val="24"/>
      <w:szCs w:val="20"/>
      <w:lang w:eastAsia="en-GB"/>
    </w:rPr>
  </w:style>
  <w:style w:type="paragraph" w:styleId="CommentText">
    <w:name w:val="annotation text"/>
    <w:basedOn w:val="Normal"/>
    <w:link w:val="CommentTextChar"/>
    <w:rsid w:val="006E79A2"/>
    <w:rPr>
      <w:sz w:val="20"/>
    </w:rPr>
  </w:style>
  <w:style w:type="character" w:customStyle="1" w:styleId="CommentTextChar">
    <w:name w:val="Comment Text Char"/>
    <w:basedOn w:val="DefaultParagraphFont"/>
    <w:link w:val="CommentText"/>
    <w:rsid w:val="006E79A2"/>
    <w:rPr>
      <w:rFonts w:ascii="Courier New" w:eastAsia="Times New Roman" w:hAnsi="Courier New" w:cs="Times New Roman"/>
      <w:sz w:val="20"/>
      <w:szCs w:val="20"/>
      <w:lang w:eastAsia="en-GB"/>
    </w:rPr>
  </w:style>
  <w:style w:type="character" w:styleId="CommentReference">
    <w:name w:val="annotation reference"/>
    <w:uiPriority w:val="99"/>
    <w:rsid w:val="006E79A2"/>
    <w:rPr>
      <w:sz w:val="16"/>
    </w:rPr>
  </w:style>
  <w:style w:type="character" w:styleId="FollowedHyperlink">
    <w:name w:val="FollowedHyperlink"/>
    <w:basedOn w:val="DefaultParagraphFont"/>
    <w:uiPriority w:val="99"/>
    <w:semiHidden/>
    <w:unhideWhenUsed/>
    <w:rsid w:val="000F5CA1"/>
    <w:rPr>
      <w:color w:val="800080" w:themeColor="followedHyperlink"/>
      <w:u w:val="single"/>
    </w:rPr>
  </w:style>
  <w:style w:type="character" w:customStyle="1" w:styleId="highlight">
    <w:name w:val="highlight"/>
    <w:rsid w:val="00C07709"/>
  </w:style>
  <w:style w:type="paragraph" w:customStyle="1" w:styleId="site-slogan">
    <w:name w:val="site-slogan"/>
    <w:basedOn w:val="Normal"/>
    <w:rsid w:val="0082752A"/>
    <w:pPr>
      <w:spacing w:before="100" w:beforeAutospacing="1" w:after="100" w:afterAutospacing="1"/>
      <w:jc w:val="left"/>
    </w:pPr>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566FB5"/>
    <w:rPr>
      <w:b/>
      <w:bCs/>
    </w:rPr>
  </w:style>
  <w:style w:type="character" w:customStyle="1" w:styleId="CommentSubjectChar">
    <w:name w:val="Comment Subject Char"/>
    <w:basedOn w:val="CommentTextChar"/>
    <w:link w:val="CommentSubject"/>
    <w:uiPriority w:val="99"/>
    <w:semiHidden/>
    <w:rsid w:val="00566FB5"/>
    <w:rPr>
      <w:rFonts w:ascii="Courier New" w:eastAsia="Times New Roman" w:hAnsi="Courier New" w:cs="Times New Roman"/>
      <w:b/>
      <w:bCs/>
      <w:sz w:val="20"/>
      <w:szCs w:val="20"/>
      <w:lang w:eastAsia="en-GB"/>
    </w:rPr>
  </w:style>
  <w:style w:type="character" w:styleId="Strong">
    <w:name w:val="Strong"/>
    <w:basedOn w:val="DefaultParagraphFont"/>
    <w:uiPriority w:val="22"/>
    <w:qFormat/>
    <w:rsid w:val="00A73FEF"/>
    <w:rPr>
      <w:b/>
      <w:bCs/>
    </w:rPr>
  </w:style>
  <w:style w:type="paragraph" w:customStyle="1" w:styleId="Normal1">
    <w:name w:val="Normal1"/>
    <w:basedOn w:val="Normal"/>
    <w:rsid w:val="00865F64"/>
    <w:pPr>
      <w:spacing w:before="100" w:beforeAutospacing="1" w:after="100" w:afterAutospacing="1"/>
      <w:jc w:val="left"/>
    </w:pPr>
    <w:rPr>
      <w:rFonts w:ascii="Times New Roman" w:hAnsi="Times New Roman"/>
      <w:szCs w:val="24"/>
      <w:lang w:val="fr-BE" w:eastAsia="fr-BE"/>
    </w:rPr>
  </w:style>
  <w:style w:type="character" w:customStyle="1" w:styleId="footnotereference0">
    <w:name w:val="footnotereference"/>
    <w:basedOn w:val="DefaultParagraphFont"/>
    <w:rsid w:val="005B7EAE"/>
  </w:style>
  <w:style w:type="paragraph" w:customStyle="1" w:styleId="NormalHanging12a">
    <w:name w:val="NormalHanging12a"/>
    <w:basedOn w:val="Normal"/>
    <w:link w:val="NormalHanging12aChar"/>
    <w:rsid w:val="00CC22E6"/>
    <w:pPr>
      <w:widowControl w:val="0"/>
      <w:ind w:left="567" w:hanging="567"/>
      <w:jc w:val="left"/>
    </w:pPr>
    <w:rPr>
      <w:rFonts w:ascii="Times New Roman" w:hAnsi="Times New Roman"/>
    </w:rPr>
  </w:style>
  <w:style w:type="character" w:customStyle="1" w:styleId="NormalHanging12aChar">
    <w:name w:val="NormalHanging12a Char"/>
    <w:link w:val="NormalHanging12a"/>
    <w:rsid w:val="00CC22E6"/>
    <w:rPr>
      <w:rFonts w:ascii="Times New Roman" w:eastAsia="Times New Roman" w:hAnsi="Times New Roman" w:cs="Times New Roman"/>
      <w:sz w:val="24"/>
      <w:szCs w:val="20"/>
      <w:lang w:eastAsia="en-GB"/>
    </w:rPr>
  </w:style>
  <w:style w:type="character" w:customStyle="1" w:styleId="oecd-shared-footercopyright-first">
    <w:name w:val="oecd-shared-footer__copyright-first"/>
    <w:basedOn w:val="DefaultParagraphFont"/>
    <w:rsid w:val="00641001"/>
  </w:style>
  <w:style w:type="character" w:customStyle="1" w:styleId="oecd-shared-footercopyright-second">
    <w:name w:val="oecd-shared-footer__copyright-second"/>
    <w:basedOn w:val="DefaultParagraphFont"/>
    <w:rsid w:val="00641001"/>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AB31C4"/>
    <w:pPr>
      <w:spacing w:after="160" w:line="240" w:lineRule="exact"/>
    </w:pPr>
    <w:rPr>
      <w:rFonts w:ascii="Times New Roman" w:hAnsi="Times New Roman"/>
      <w:sz w:val="20"/>
      <w:vertAlign w:val="superscript"/>
      <w:lang w:val="en-US" w:eastAsia="en-US"/>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ftref,Ref"/>
    <w:basedOn w:val="Normal"/>
    <w:rsid w:val="002F1D0F"/>
    <w:pPr>
      <w:suppressAutoHyphens/>
      <w:spacing w:after="0" w:line="240" w:lineRule="exact"/>
    </w:pPr>
    <w:rPr>
      <w:rFonts w:ascii="Times New Roman" w:hAnsi="Times New Roman"/>
      <w:sz w:val="20"/>
      <w:vertAlign w:val="superscript"/>
    </w:rPr>
  </w:style>
  <w:style w:type="character" w:styleId="HTMLCite">
    <w:name w:val="HTML Cite"/>
    <w:uiPriority w:val="99"/>
    <w:semiHidden/>
    <w:unhideWhenUsed/>
    <w:rsid w:val="002F1D0F"/>
    <w:rPr>
      <w:i/>
      <w:iCs/>
      <w:lang w:val="en-GB"/>
    </w:rPr>
  </w:style>
  <w:style w:type="paragraph" w:customStyle="1" w:styleId="Default">
    <w:name w:val="Default"/>
    <w:rsid w:val="002F1D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08313">
      <w:bodyDiv w:val="1"/>
      <w:marLeft w:val="0"/>
      <w:marRight w:val="0"/>
      <w:marTop w:val="0"/>
      <w:marBottom w:val="0"/>
      <w:divBdr>
        <w:top w:val="none" w:sz="0" w:space="0" w:color="auto"/>
        <w:left w:val="none" w:sz="0" w:space="0" w:color="auto"/>
        <w:bottom w:val="none" w:sz="0" w:space="0" w:color="auto"/>
        <w:right w:val="none" w:sz="0" w:space="0" w:color="auto"/>
      </w:divBdr>
      <w:divsChild>
        <w:div w:id="1290237141">
          <w:marLeft w:val="360"/>
          <w:marRight w:val="0"/>
          <w:marTop w:val="0"/>
          <w:marBottom w:val="0"/>
          <w:divBdr>
            <w:top w:val="none" w:sz="0" w:space="0" w:color="auto"/>
            <w:left w:val="none" w:sz="0" w:space="0" w:color="auto"/>
            <w:bottom w:val="none" w:sz="0" w:space="0" w:color="auto"/>
            <w:right w:val="none" w:sz="0" w:space="0" w:color="auto"/>
          </w:divBdr>
        </w:div>
      </w:divsChild>
    </w:div>
    <w:div w:id="2096201296">
      <w:bodyDiv w:val="1"/>
      <w:marLeft w:val="0"/>
      <w:marRight w:val="0"/>
      <w:marTop w:val="0"/>
      <w:marBottom w:val="0"/>
      <w:divBdr>
        <w:top w:val="none" w:sz="0" w:space="0" w:color="auto"/>
        <w:left w:val="none" w:sz="0" w:space="0" w:color="auto"/>
        <w:bottom w:val="none" w:sz="0" w:space="0" w:color="auto"/>
        <w:right w:val="none" w:sz="0" w:space="0" w:color="auto"/>
      </w:divBdr>
    </w:div>
    <w:div w:id="20962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1A4BA5C-5920-40E3-A6A4-7DE65A29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8958</Characters>
  <Application>Microsoft Office Word</Application>
  <DocSecurity>0</DocSecurity>
  <Lines>127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2021-07-12T08:01:00Z</dcterms:created>
  <dcterms:modified xsi:type="dcterms:W3CDTF">2021-07-12T08:02:00Z</dcterms:modified>
</cp:coreProperties>
</file>