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924" w:rsidRPr="00F237F5" w:rsidRDefault="00B41924" w:rsidP="00B41924">
      <w:pPr>
        <w:pStyle w:val="docsubtitlelevel1"/>
        <w:spacing w:before="0" w:beforeAutospacing="0" w:after="600" w:afterAutospacing="0"/>
        <w:jc w:val="center"/>
        <w:rPr>
          <w:b/>
          <w:bCs/>
          <w:lang w:val="fr-BE"/>
        </w:rPr>
      </w:pPr>
      <w:r w:rsidRPr="00F237F5">
        <w:rPr>
          <w:b/>
          <w:bCs/>
          <w:lang w:val="fr-BE"/>
        </w:rPr>
        <w:t>S</w:t>
      </w:r>
      <w:bookmarkStart w:id="0" w:name="B9349"/>
      <w:bookmarkEnd w:id="0"/>
      <w:r w:rsidRPr="00F237F5">
        <w:rPr>
          <w:b/>
          <w:bCs/>
          <w:lang w:val="fr-BE"/>
        </w:rPr>
        <w:t xml:space="preserve">uite donnée à la </w:t>
      </w:r>
      <w:r w:rsidRPr="00F237F5">
        <w:rPr>
          <w:b/>
          <w:lang w:val="fr-BE"/>
        </w:rPr>
        <w:t>résolution non législative du Parlement européen</w:t>
      </w:r>
      <w:r w:rsidRPr="00F237F5">
        <w:rPr>
          <w:lang w:val="fr-BE"/>
        </w:rPr>
        <w:t xml:space="preserve"> </w:t>
      </w:r>
      <w:r w:rsidRPr="00F237F5">
        <w:rPr>
          <w:b/>
          <w:shd w:val="clear" w:color="auto" w:fill="FFFFFF"/>
          <w:lang w:val="fr-BE"/>
        </w:rPr>
        <w:t>sur le projet de décision d’exécution de la Commission autorisant la mise sur le marché de produits contenant du soja génétiquement modifié SYHT0H2 (SYN-ØØØH2-5), consistant en ce soja ou produits à partir de celui-ci, en application du règlement </w:t>
      </w:r>
      <w:r>
        <w:rPr>
          <w:b/>
          <w:shd w:val="clear" w:color="auto" w:fill="FFFFFF"/>
          <w:lang w:val="fr-BE"/>
        </w:rPr>
        <w:br/>
      </w:r>
      <w:r w:rsidRPr="00F237F5">
        <w:rPr>
          <w:b/>
          <w:shd w:val="clear" w:color="auto" w:fill="FFFFFF"/>
          <w:lang w:val="fr-BE"/>
        </w:rPr>
        <w:t>(CE) nº 1829/2003 du Parlement européen et du Conseil</w:t>
      </w:r>
    </w:p>
    <w:p w:rsidR="00B41924" w:rsidRPr="00F237F5" w:rsidRDefault="00B41924" w:rsidP="00B41924">
      <w:pPr>
        <w:numPr>
          <w:ilvl w:val="0"/>
          <w:numId w:val="1"/>
        </w:numPr>
        <w:spacing w:after="240" w:line="240" w:lineRule="auto"/>
        <w:jc w:val="both"/>
        <w:rPr>
          <w:rFonts w:ascii="Times New Roman" w:hAnsi="Times New Roman"/>
          <w:b/>
          <w:bCs/>
          <w:szCs w:val="24"/>
          <w:lang w:val="fr-BE"/>
        </w:rPr>
      </w:pPr>
      <w:r w:rsidRPr="00F237F5">
        <w:rPr>
          <w:rFonts w:ascii="Times New Roman" w:hAnsi="Times New Roman"/>
          <w:b/>
          <w:bCs/>
          <w:szCs w:val="24"/>
          <w:lang w:val="fr-BE"/>
        </w:rPr>
        <w:t>Résolution présentée conformément à l’article 112, paragraphes 2 et 3, du règlement intérieur du Parlement européen</w:t>
      </w:r>
    </w:p>
    <w:p w:rsidR="00B41924" w:rsidRPr="00F237F5" w:rsidRDefault="00B41924" w:rsidP="00B41924">
      <w:pPr>
        <w:numPr>
          <w:ilvl w:val="0"/>
          <w:numId w:val="1"/>
        </w:numPr>
        <w:spacing w:after="240" w:line="240" w:lineRule="auto"/>
        <w:jc w:val="both"/>
        <w:rPr>
          <w:rFonts w:ascii="Times New Roman" w:hAnsi="Times New Roman"/>
          <w:i/>
          <w:iCs/>
          <w:szCs w:val="24"/>
          <w:lang w:val="fr-BE"/>
        </w:rPr>
      </w:pPr>
      <w:r w:rsidRPr="00F237F5">
        <w:rPr>
          <w:rFonts w:ascii="Times New Roman" w:hAnsi="Times New Roman"/>
          <w:b/>
          <w:bCs/>
          <w:szCs w:val="24"/>
          <w:lang w:val="fr-BE"/>
        </w:rPr>
        <w:t xml:space="preserve">Numéros de référence: </w:t>
      </w:r>
      <w:r w:rsidRPr="00F237F5">
        <w:rPr>
          <w:rFonts w:ascii="Times New Roman" w:hAnsi="Times New Roman"/>
          <w:szCs w:val="24"/>
          <w:lang w:val="fr-BE"/>
        </w:rPr>
        <w:t>2020/2838 (RSP) / </w:t>
      </w:r>
      <w:bookmarkStart w:id="1" w:name="_GoBack"/>
      <w:r w:rsidRPr="00F237F5">
        <w:rPr>
          <w:rFonts w:ascii="Times New Roman" w:hAnsi="Times New Roman"/>
          <w:szCs w:val="24"/>
          <w:lang w:val="fr-BE"/>
        </w:rPr>
        <w:t>B9-0349/2020</w:t>
      </w:r>
      <w:bookmarkEnd w:id="1"/>
      <w:r w:rsidRPr="00F237F5">
        <w:rPr>
          <w:rFonts w:ascii="Times New Roman" w:hAnsi="Times New Roman"/>
          <w:szCs w:val="24"/>
          <w:lang w:val="fr-BE"/>
        </w:rPr>
        <w:t> / P9_TA-</w:t>
      </w:r>
      <w:proofErr w:type="gramStart"/>
      <w:r w:rsidRPr="00F237F5">
        <w:rPr>
          <w:rFonts w:ascii="Times New Roman" w:hAnsi="Times New Roman"/>
          <w:szCs w:val="24"/>
          <w:lang w:val="fr-BE"/>
        </w:rPr>
        <w:t>PROV(</w:t>
      </w:r>
      <w:proofErr w:type="gramEnd"/>
      <w:r w:rsidRPr="00F237F5">
        <w:rPr>
          <w:rFonts w:ascii="Times New Roman" w:hAnsi="Times New Roman"/>
          <w:szCs w:val="24"/>
          <w:lang w:val="fr-BE"/>
        </w:rPr>
        <w:t>2020)0292</w:t>
      </w:r>
    </w:p>
    <w:p w:rsidR="00B41924" w:rsidRPr="00F237F5" w:rsidRDefault="00B41924" w:rsidP="00B41924">
      <w:pPr>
        <w:numPr>
          <w:ilvl w:val="0"/>
          <w:numId w:val="1"/>
        </w:numPr>
        <w:spacing w:after="240" w:line="240" w:lineRule="auto"/>
        <w:jc w:val="both"/>
        <w:rPr>
          <w:rFonts w:ascii="Times New Roman" w:hAnsi="Times New Roman"/>
          <w:szCs w:val="24"/>
          <w:lang w:val="fr-BE"/>
        </w:rPr>
      </w:pPr>
      <w:r w:rsidRPr="00F237F5">
        <w:rPr>
          <w:rFonts w:ascii="Times New Roman" w:hAnsi="Times New Roman"/>
          <w:b/>
          <w:bCs/>
          <w:szCs w:val="24"/>
          <w:lang w:val="fr-BE"/>
        </w:rPr>
        <w:t xml:space="preserve">Date d’adoption de la résolution: </w:t>
      </w:r>
      <w:r w:rsidRPr="00F237F5">
        <w:rPr>
          <w:rFonts w:ascii="Times New Roman" w:hAnsi="Times New Roman"/>
          <w:szCs w:val="24"/>
          <w:lang w:val="fr-BE"/>
        </w:rPr>
        <w:t>11 novembre 2020</w:t>
      </w:r>
    </w:p>
    <w:p w:rsidR="00B41924" w:rsidRPr="00F237F5" w:rsidRDefault="00B41924" w:rsidP="00B41924">
      <w:pPr>
        <w:pStyle w:val="ListParagraph"/>
        <w:numPr>
          <w:ilvl w:val="0"/>
          <w:numId w:val="1"/>
        </w:numPr>
        <w:spacing w:after="240"/>
        <w:jc w:val="both"/>
        <w:rPr>
          <w:rFonts w:ascii="Times New Roman" w:hAnsi="Times New Roman"/>
          <w:sz w:val="24"/>
          <w:szCs w:val="24"/>
          <w:lang w:val="fr-BE"/>
        </w:rPr>
      </w:pPr>
      <w:r w:rsidRPr="00F237F5">
        <w:rPr>
          <w:rFonts w:ascii="Times New Roman" w:hAnsi="Times New Roman"/>
          <w:b/>
          <w:bCs/>
          <w:sz w:val="24"/>
          <w:szCs w:val="24"/>
          <w:lang w:val="fr-BE"/>
        </w:rPr>
        <w:t xml:space="preserve">Commission parlementaire compétente: </w:t>
      </w:r>
      <w:r w:rsidRPr="00F237F5">
        <w:rPr>
          <w:rFonts w:ascii="Times New Roman" w:hAnsi="Times New Roman"/>
          <w:sz w:val="24"/>
          <w:szCs w:val="24"/>
          <w:lang w:val="fr-BE"/>
        </w:rPr>
        <w:t>commission de l’</w:t>
      </w:r>
      <w:r w:rsidRPr="00F237F5">
        <w:rPr>
          <w:rStyle w:val="epname"/>
          <w:rFonts w:ascii="Times New Roman" w:hAnsi="Times New Roman"/>
          <w:sz w:val="24"/>
          <w:szCs w:val="24"/>
          <w:bdr w:val="none" w:sz="0" w:space="0" w:color="auto" w:frame="1"/>
          <w:lang w:val="fr-BE"/>
        </w:rPr>
        <w:t>environnement, de la santé publique et de la sécurité alimentaire</w:t>
      </w:r>
      <w:r w:rsidRPr="00F237F5">
        <w:rPr>
          <w:rFonts w:ascii="Times New Roman" w:hAnsi="Times New Roman"/>
          <w:sz w:val="24"/>
          <w:szCs w:val="24"/>
          <w:lang w:val="fr-BE"/>
        </w:rPr>
        <w:t> (ENVI)</w:t>
      </w:r>
    </w:p>
    <w:p w:rsidR="00B41924" w:rsidRPr="00F237F5" w:rsidRDefault="00B41924" w:rsidP="00B41924">
      <w:pPr>
        <w:widowControl w:val="0"/>
        <w:numPr>
          <w:ilvl w:val="0"/>
          <w:numId w:val="1"/>
        </w:numPr>
        <w:spacing w:after="240" w:line="240" w:lineRule="auto"/>
        <w:jc w:val="both"/>
        <w:rPr>
          <w:rFonts w:ascii="Times New Roman" w:hAnsi="Times New Roman"/>
          <w:szCs w:val="24"/>
          <w:lang w:val="fr-BE"/>
        </w:rPr>
      </w:pPr>
      <w:r w:rsidRPr="00F237F5">
        <w:rPr>
          <w:rFonts w:ascii="Times New Roman" w:hAnsi="Times New Roman"/>
          <w:b/>
          <w:szCs w:val="24"/>
          <w:lang w:val="fr-BE"/>
        </w:rPr>
        <w:t>Analyse/évaluation succincte de la résolution et des demandes qu’elle contient:</w:t>
      </w:r>
    </w:p>
    <w:p w:rsidR="00B41924" w:rsidRPr="00F237F5" w:rsidRDefault="00B41924" w:rsidP="00B41924">
      <w:pPr>
        <w:spacing w:after="120"/>
        <w:jc w:val="both"/>
        <w:rPr>
          <w:rFonts w:ascii="Times New Roman" w:hAnsi="Times New Roman"/>
          <w:szCs w:val="24"/>
          <w:lang w:val="fr-BE"/>
        </w:rPr>
      </w:pPr>
      <w:r w:rsidRPr="00F237F5">
        <w:rPr>
          <w:rFonts w:ascii="Times New Roman" w:hAnsi="Times New Roman"/>
          <w:szCs w:val="24"/>
          <w:lang w:val="fr-BE"/>
        </w:rPr>
        <w:t xml:space="preserve">Dans sa résolution, le Parlement européen demande le retrait du projet de décision d’exécution de la Commission </w:t>
      </w:r>
      <w:r w:rsidRPr="00F237F5">
        <w:rPr>
          <w:rFonts w:ascii="Times New Roman" w:hAnsi="Times New Roman"/>
          <w:b/>
          <w:bCs/>
          <w:szCs w:val="24"/>
          <w:lang w:val="fr-BE"/>
        </w:rPr>
        <w:t>(paragraphe 3)</w:t>
      </w:r>
      <w:r w:rsidRPr="00F237F5">
        <w:rPr>
          <w:rFonts w:ascii="Times New Roman" w:hAnsi="Times New Roman"/>
          <w:szCs w:val="24"/>
          <w:lang w:val="fr-BE"/>
        </w:rPr>
        <w:t xml:space="preserve">, au motif que ce projet de mesure excède les compétences d’exécution prévues dans le règlement (CE) nº 1829/2003 </w:t>
      </w:r>
      <w:r w:rsidRPr="00F237F5">
        <w:rPr>
          <w:rFonts w:ascii="Times New Roman" w:hAnsi="Times New Roman"/>
          <w:b/>
          <w:bCs/>
          <w:szCs w:val="24"/>
          <w:lang w:val="fr-BE"/>
        </w:rPr>
        <w:t>(paragraphe 1)</w:t>
      </w:r>
      <w:r w:rsidRPr="00F237F5">
        <w:rPr>
          <w:rFonts w:ascii="Times New Roman" w:hAnsi="Times New Roman"/>
          <w:szCs w:val="24"/>
          <w:lang w:val="fr-BE"/>
        </w:rPr>
        <w:t xml:space="preserve"> et qu’il n’est pas compatible avec l’objectif dudit règlement ni avec les principes généraux prévus dans le règlement (CE) nº 178/2002, </w:t>
      </w:r>
      <w:r w:rsidRPr="00F237F5">
        <w:rPr>
          <w:rFonts w:ascii="Times New Roman" w:hAnsi="Times New Roman"/>
          <w:szCs w:val="24"/>
          <w:lang w:val="fr-BE"/>
        </w:rPr>
        <w:br/>
        <w:t xml:space="preserve">à savoir la protection de la vie et de la santé des personnes, de la santé et du bien-être des animaux, de l’environnement et des intérêts des consommateurs </w:t>
      </w:r>
      <w:r w:rsidRPr="00F237F5">
        <w:rPr>
          <w:rFonts w:ascii="Times New Roman" w:hAnsi="Times New Roman"/>
          <w:b/>
          <w:bCs/>
          <w:szCs w:val="24"/>
          <w:lang w:val="fr-BE"/>
        </w:rPr>
        <w:t>(paragraphe 2)</w:t>
      </w:r>
      <w:r w:rsidRPr="00F237F5">
        <w:rPr>
          <w:rFonts w:ascii="Times New Roman" w:hAnsi="Times New Roman"/>
          <w:szCs w:val="24"/>
          <w:lang w:val="fr-BE"/>
        </w:rPr>
        <w:t xml:space="preserve">. Par sa résolution, le Parlement prie la Commission de ne pas autoriser l’importation de plantes génétiquement modifiées destinées à l’alimentation humaine ou animale qui ont été rendues tolérantes à un herbicide non autorisé dans l’Union </w:t>
      </w:r>
      <w:r w:rsidRPr="00F237F5">
        <w:rPr>
          <w:rFonts w:ascii="Times New Roman" w:hAnsi="Times New Roman"/>
          <w:b/>
          <w:bCs/>
          <w:szCs w:val="24"/>
          <w:lang w:val="fr-BE"/>
        </w:rPr>
        <w:t>(paragraphe 8)</w:t>
      </w:r>
      <w:r w:rsidRPr="00F237F5">
        <w:rPr>
          <w:rFonts w:ascii="Times New Roman" w:hAnsi="Times New Roman"/>
          <w:szCs w:val="24"/>
          <w:lang w:val="fr-BE"/>
        </w:rPr>
        <w:t xml:space="preserve"> et de ne pas autoriser d’organismes génétiquement modifiés (OGM) lorsqu’aucun avis n’est émis par les États membres au sein du comité d’appel </w:t>
      </w:r>
      <w:r w:rsidRPr="00F237F5">
        <w:rPr>
          <w:rFonts w:ascii="Times New Roman" w:hAnsi="Times New Roman"/>
          <w:b/>
          <w:bCs/>
          <w:szCs w:val="24"/>
          <w:lang w:val="fr-BE"/>
        </w:rPr>
        <w:t>(paragraphe 7)</w:t>
      </w:r>
      <w:r w:rsidRPr="00F237F5">
        <w:rPr>
          <w:rFonts w:ascii="Times New Roman" w:hAnsi="Times New Roman"/>
          <w:szCs w:val="24"/>
          <w:lang w:val="fr-BE"/>
        </w:rPr>
        <w:t>.</w:t>
      </w:r>
    </w:p>
    <w:p w:rsidR="00B41924" w:rsidRPr="00F237F5" w:rsidRDefault="00B41924" w:rsidP="00B41924">
      <w:pPr>
        <w:autoSpaceDE w:val="0"/>
        <w:autoSpaceDN w:val="0"/>
        <w:adjustRightInd w:val="0"/>
        <w:spacing w:after="120"/>
        <w:jc w:val="both"/>
        <w:rPr>
          <w:rFonts w:ascii="Times New Roman" w:hAnsi="Times New Roman"/>
          <w:szCs w:val="24"/>
          <w:lang w:val="fr-BE"/>
        </w:rPr>
      </w:pPr>
      <w:r w:rsidRPr="00F237F5">
        <w:rPr>
          <w:rFonts w:ascii="Times New Roman" w:hAnsi="Times New Roman"/>
          <w:szCs w:val="24"/>
          <w:lang w:val="fr-BE"/>
        </w:rPr>
        <w:t xml:space="preserve">Le Parlement rappelle dans sa résolution que le soja génétiquement modifié est tolérant au glufosinate d’ammonium et aux herbicides à base de glyphosate </w:t>
      </w:r>
      <w:r w:rsidRPr="00F237F5">
        <w:rPr>
          <w:rFonts w:ascii="Times New Roman" w:hAnsi="Times New Roman"/>
          <w:b/>
          <w:bCs/>
          <w:szCs w:val="24"/>
          <w:lang w:val="fr-BE"/>
        </w:rPr>
        <w:t>(considérant C)</w:t>
      </w:r>
      <w:r w:rsidRPr="00F237F5">
        <w:rPr>
          <w:rFonts w:ascii="Times New Roman" w:hAnsi="Times New Roman"/>
          <w:szCs w:val="24"/>
          <w:lang w:val="fr-BE"/>
        </w:rPr>
        <w:t xml:space="preserve"> et invite la Commission à tenir pleinement compte de l’évaluation des risques liés à l’application d’herbicides complémentaires et à leurs résidus dans l’évaluation des risques relatifs aux plantes génétiquement modifiées tolérantes aux herbicides, quel que soit le lieu de culture de la plante génétiquement modifiée </w:t>
      </w:r>
      <w:r w:rsidRPr="00F237F5">
        <w:rPr>
          <w:rFonts w:ascii="Times New Roman" w:hAnsi="Times New Roman"/>
          <w:b/>
          <w:bCs/>
          <w:szCs w:val="24"/>
          <w:lang w:val="fr-BE"/>
        </w:rPr>
        <w:t>(paragraphe 8)</w:t>
      </w:r>
      <w:r w:rsidRPr="00F237F5">
        <w:rPr>
          <w:rFonts w:ascii="Times New Roman" w:hAnsi="Times New Roman"/>
          <w:szCs w:val="24"/>
          <w:lang w:val="fr-BE"/>
        </w:rPr>
        <w:t>.</w:t>
      </w:r>
    </w:p>
    <w:p w:rsidR="00B41924" w:rsidRPr="00F237F5" w:rsidRDefault="00B41924" w:rsidP="00B41924">
      <w:pPr>
        <w:autoSpaceDE w:val="0"/>
        <w:autoSpaceDN w:val="0"/>
        <w:adjustRightInd w:val="0"/>
        <w:spacing w:after="120"/>
        <w:jc w:val="both"/>
        <w:rPr>
          <w:rFonts w:ascii="Times New Roman" w:hAnsi="Times New Roman"/>
          <w:szCs w:val="24"/>
          <w:lang w:val="fr-BE"/>
        </w:rPr>
      </w:pPr>
      <w:r w:rsidRPr="00F237F5">
        <w:rPr>
          <w:rFonts w:ascii="Times New Roman" w:hAnsi="Times New Roman"/>
          <w:szCs w:val="24"/>
          <w:lang w:val="fr-BE"/>
        </w:rPr>
        <w:t>Dans sa résolution, le Parlement se félicite que le pacte vert pour l’Europe fasse partie intégrante de la stratégie de la Commission visant à mettre en œuvre le programme de développement durable des Nations unies à l’horizon 2030 et les objectifs de développement durable (</w:t>
      </w:r>
      <w:proofErr w:type="spellStart"/>
      <w:r w:rsidRPr="00F237F5">
        <w:rPr>
          <w:rFonts w:ascii="Times New Roman" w:hAnsi="Times New Roman"/>
          <w:szCs w:val="24"/>
          <w:lang w:val="fr-BE"/>
        </w:rPr>
        <w:t>ODD</w:t>
      </w:r>
      <w:proofErr w:type="spellEnd"/>
      <w:r w:rsidRPr="00F237F5">
        <w:rPr>
          <w:rFonts w:ascii="Times New Roman" w:hAnsi="Times New Roman"/>
          <w:szCs w:val="24"/>
          <w:lang w:val="fr-BE"/>
        </w:rPr>
        <w:t xml:space="preserve">), et rappelle que les </w:t>
      </w:r>
      <w:proofErr w:type="spellStart"/>
      <w:r w:rsidRPr="00F237F5">
        <w:rPr>
          <w:rFonts w:ascii="Times New Roman" w:hAnsi="Times New Roman"/>
          <w:szCs w:val="24"/>
          <w:lang w:val="fr-BE"/>
        </w:rPr>
        <w:t>ODD</w:t>
      </w:r>
      <w:proofErr w:type="spellEnd"/>
      <w:r w:rsidRPr="00F237F5">
        <w:rPr>
          <w:rFonts w:ascii="Times New Roman" w:hAnsi="Times New Roman"/>
          <w:szCs w:val="24"/>
          <w:lang w:val="fr-BE"/>
        </w:rPr>
        <w:t xml:space="preserve"> ne peuvent être atteints que si les chaînes d’approvisionnement deviennent durables </w:t>
      </w:r>
      <w:r w:rsidRPr="00F237F5">
        <w:rPr>
          <w:rFonts w:ascii="Times New Roman" w:hAnsi="Times New Roman"/>
          <w:b/>
          <w:szCs w:val="24"/>
          <w:lang w:val="fr-BE"/>
        </w:rPr>
        <w:t>(paragraphe 11)</w:t>
      </w:r>
      <w:r w:rsidRPr="00F237F5">
        <w:rPr>
          <w:rFonts w:ascii="Times New Roman" w:hAnsi="Times New Roman"/>
          <w:szCs w:val="24"/>
          <w:lang w:val="fr-BE"/>
        </w:rPr>
        <w:t>.</w:t>
      </w:r>
    </w:p>
    <w:p w:rsidR="00B41924" w:rsidRPr="00F237F5" w:rsidRDefault="00B41924" w:rsidP="00B41924">
      <w:pPr>
        <w:spacing w:after="120"/>
        <w:jc w:val="both"/>
        <w:rPr>
          <w:rFonts w:ascii="Times New Roman" w:hAnsi="Times New Roman"/>
          <w:szCs w:val="24"/>
          <w:lang w:val="fr-BE"/>
        </w:rPr>
      </w:pPr>
      <w:r w:rsidRPr="00F237F5">
        <w:rPr>
          <w:rFonts w:ascii="Times New Roman" w:hAnsi="Times New Roman"/>
          <w:szCs w:val="24"/>
          <w:lang w:val="fr-BE"/>
        </w:rPr>
        <w:t xml:space="preserve">Le Parlement européen réitère son inquiétude quant au fait que la forte dépendance de l’Union à l’égard des importations d’aliments pour animaux sous forme de soja provoque la déforestation dans les pays tiers </w:t>
      </w:r>
      <w:r w:rsidRPr="00F237F5">
        <w:rPr>
          <w:rFonts w:ascii="Times New Roman" w:hAnsi="Times New Roman"/>
          <w:b/>
          <w:bCs/>
          <w:szCs w:val="24"/>
          <w:lang w:val="fr-BE"/>
        </w:rPr>
        <w:t>(paragraphe 12)</w:t>
      </w:r>
      <w:r w:rsidRPr="00F237F5">
        <w:rPr>
          <w:rFonts w:ascii="Times New Roman" w:hAnsi="Times New Roman"/>
          <w:szCs w:val="24"/>
          <w:lang w:val="fr-BE"/>
        </w:rPr>
        <w:t>.</w:t>
      </w:r>
      <w:r w:rsidRPr="00F237F5">
        <w:rPr>
          <w:rFonts w:ascii="Times New Roman" w:hAnsi="Times New Roman"/>
          <w:b/>
          <w:szCs w:val="24"/>
          <w:lang w:val="fr-BE"/>
        </w:rPr>
        <w:t xml:space="preserve"> </w:t>
      </w:r>
      <w:r w:rsidRPr="00F237F5">
        <w:rPr>
          <w:rFonts w:ascii="Times New Roman" w:hAnsi="Times New Roman"/>
          <w:lang w:val="fr-BE"/>
        </w:rPr>
        <w:t xml:space="preserve">La résolution mentionne que la production de soja est un facteur essentiel de déforestation à grande échelle en Amérique du Sud </w:t>
      </w:r>
      <w:r w:rsidRPr="00F237F5">
        <w:rPr>
          <w:rFonts w:ascii="Times New Roman" w:hAnsi="Times New Roman"/>
          <w:b/>
          <w:bCs/>
          <w:lang w:val="fr-BE"/>
        </w:rPr>
        <w:t>(considérant V)</w:t>
      </w:r>
      <w:r w:rsidRPr="00F237F5">
        <w:rPr>
          <w:rFonts w:ascii="Times New Roman" w:hAnsi="Times New Roman"/>
          <w:lang w:val="fr-BE"/>
        </w:rPr>
        <w:t xml:space="preserve">. Le Parlement européen demande instamment à la Commission de tenir compte des obligations qui incombent à l’Union en vertu des objectifs de développement durable, de l’accord de Paris sur le climat et de la convention des Nations unies sur la diversité biologique </w:t>
      </w:r>
      <w:r w:rsidRPr="00F237F5">
        <w:rPr>
          <w:rFonts w:ascii="Times New Roman" w:hAnsi="Times New Roman"/>
          <w:b/>
          <w:lang w:val="fr-BE"/>
        </w:rPr>
        <w:t>(paragraphe 6).</w:t>
      </w:r>
    </w:p>
    <w:p w:rsidR="00B41924" w:rsidRPr="00F237F5" w:rsidRDefault="00B41924" w:rsidP="00B41924">
      <w:pPr>
        <w:spacing w:after="120"/>
        <w:jc w:val="both"/>
        <w:rPr>
          <w:rFonts w:ascii="Times New Roman" w:hAnsi="Times New Roman"/>
          <w:szCs w:val="24"/>
          <w:lang w:val="fr-BE"/>
        </w:rPr>
      </w:pPr>
      <w:r w:rsidRPr="00F237F5">
        <w:rPr>
          <w:rFonts w:ascii="Times New Roman" w:hAnsi="Times New Roman"/>
          <w:szCs w:val="24"/>
          <w:lang w:val="fr-BE"/>
        </w:rPr>
        <w:t xml:space="preserve">Enfin, le Parlement européen appelle une nouvelle fois à la mise en œuvre d’une stratégie européenne de production et d’approvisionnement en protéines végétales, laquelle permettrait à l’Union de réduire </w:t>
      </w:r>
      <w:r w:rsidRPr="00F237F5">
        <w:rPr>
          <w:rFonts w:ascii="Times New Roman" w:hAnsi="Times New Roman"/>
          <w:szCs w:val="24"/>
          <w:lang w:val="fr-BE"/>
        </w:rPr>
        <w:lastRenderedPageBreak/>
        <w:t xml:space="preserve">sa dépendance aux importations de soja génétiquement modifié et de créer des chaînes alimentaires plus courtes et des marchés régionaux </w:t>
      </w:r>
      <w:r w:rsidRPr="00F237F5">
        <w:rPr>
          <w:rFonts w:ascii="Times New Roman" w:hAnsi="Times New Roman"/>
          <w:b/>
          <w:szCs w:val="24"/>
          <w:lang w:val="fr-BE"/>
        </w:rPr>
        <w:t>(paragraphe 14)</w:t>
      </w:r>
      <w:r w:rsidRPr="00F237F5">
        <w:rPr>
          <w:rFonts w:ascii="Times New Roman" w:hAnsi="Times New Roman"/>
          <w:szCs w:val="24"/>
          <w:lang w:val="fr-BE"/>
        </w:rPr>
        <w:t>.</w:t>
      </w:r>
    </w:p>
    <w:p w:rsidR="00B41924" w:rsidRPr="00F237F5" w:rsidRDefault="00B41924" w:rsidP="00B41924">
      <w:pPr>
        <w:spacing w:after="120"/>
        <w:jc w:val="both"/>
        <w:rPr>
          <w:rFonts w:ascii="Times New Roman" w:hAnsi="Times New Roman"/>
          <w:szCs w:val="24"/>
          <w:lang w:val="fr-BE"/>
        </w:rPr>
      </w:pPr>
      <w:r w:rsidRPr="00F237F5">
        <w:rPr>
          <w:rFonts w:ascii="Times New Roman" w:hAnsi="Times New Roman"/>
          <w:szCs w:val="24"/>
          <w:lang w:val="fr-BE"/>
        </w:rPr>
        <w:t xml:space="preserve">La résolution mentionne que des quantités potentiellement supérieures de résidus provenant de la pulvérisation de glufosinate et d’herbicides inhibiteurs de la </w:t>
      </w:r>
      <w:proofErr w:type="spellStart"/>
      <w:r w:rsidRPr="00F237F5">
        <w:rPr>
          <w:rFonts w:ascii="Times New Roman" w:hAnsi="Times New Roman"/>
          <w:szCs w:val="24"/>
          <w:lang w:val="fr-BE"/>
        </w:rPr>
        <w:t>HPPD</w:t>
      </w:r>
      <w:proofErr w:type="spellEnd"/>
      <w:r w:rsidRPr="00795261">
        <w:rPr>
          <w:rStyle w:val="FootnoteReference"/>
          <w:rFonts w:ascii="Times New Roman" w:hAnsi="Times New Roman"/>
          <w:szCs w:val="24"/>
          <w:lang w:val="en-US"/>
        </w:rPr>
        <w:footnoteReference w:id="1"/>
      </w:r>
      <w:r w:rsidRPr="00F237F5">
        <w:rPr>
          <w:rFonts w:ascii="Times New Roman" w:hAnsi="Times New Roman"/>
          <w:szCs w:val="24"/>
          <w:lang w:val="fr-BE"/>
        </w:rPr>
        <w:t xml:space="preserve"> sont à prévoir, ce qui risque d’accroître la quantité de résidus dans la récolte de soja génétiquement modifié </w:t>
      </w:r>
      <w:r w:rsidRPr="00F237F5">
        <w:rPr>
          <w:rFonts w:ascii="Times New Roman" w:hAnsi="Times New Roman"/>
          <w:b/>
          <w:bCs/>
          <w:szCs w:val="24"/>
          <w:lang w:val="fr-BE"/>
        </w:rPr>
        <w:t>(considérant D)</w:t>
      </w:r>
      <w:r w:rsidRPr="00F237F5">
        <w:rPr>
          <w:rFonts w:ascii="Times New Roman" w:hAnsi="Times New Roman"/>
          <w:szCs w:val="24"/>
          <w:lang w:val="fr-BE"/>
        </w:rPr>
        <w:t xml:space="preserve">. Elle évoque le fait que des questions se posent encore sur le caractère carcinogène du glyphosate </w:t>
      </w:r>
      <w:r w:rsidRPr="00F237F5">
        <w:rPr>
          <w:rFonts w:ascii="Times New Roman" w:hAnsi="Times New Roman"/>
          <w:b/>
          <w:bCs/>
          <w:szCs w:val="24"/>
          <w:lang w:val="fr-BE"/>
        </w:rPr>
        <w:t>(considérant F)</w:t>
      </w:r>
      <w:r w:rsidRPr="00F237F5">
        <w:rPr>
          <w:rFonts w:ascii="Times New Roman" w:hAnsi="Times New Roman"/>
          <w:szCs w:val="24"/>
          <w:lang w:val="fr-BE"/>
        </w:rPr>
        <w:t xml:space="preserve"> et rappelle que l’utilisation du glufosinate n’est plus autorisée dans l’Union </w:t>
      </w:r>
      <w:r w:rsidRPr="00F237F5">
        <w:rPr>
          <w:rFonts w:ascii="Times New Roman" w:hAnsi="Times New Roman"/>
          <w:b/>
          <w:bCs/>
          <w:szCs w:val="24"/>
          <w:lang w:val="fr-BE"/>
        </w:rPr>
        <w:t>(considérant E)</w:t>
      </w:r>
      <w:r w:rsidRPr="00F237F5">
        <w:rPr>
          <w:rFonts w:ascii="Times New Roman" w:hAnsi="Times New Roman"/>
          <w:szCs w:val="24"/>
          <w:lang w:val="fr-BE"/>
        </w:rPr>
        <w:t>.</w:t>
      </w:r>
    </w:p>
    <w:p w:rsidR="00B41924" w:rsidRPr="00F237F5" w:rsidRDefault="00B41924" w:rsidP="00B41924">
      <w:pPr>
        <w:widowControl w:val="0"/>
        <w:spacing w:after="120"/>
        <w:jc w:val="both"/>
        <w:rPr>
          <w:rFonts w:ascii="Times New Roman" w:hAnsi="Times New Roman"/>
          <w:szCs w:val="24"/>
          <w:lang w:val="fr-BE"/>
        </w:rPr>
      </w:pPr>
      <w:r w:rsidRPr="00F237F5">
        <w:rPr>
          <w:rFonts w:ascii="Times New Roman" w:hAnsi="Times New Roman"/>
          <w:lang w:val="fr-BE"/>
        </w:rPr>
        <w:t xml:space="preserve">Dans sa résolution, le Parlement rappelle les résultats du vote du comité permanent concernant le projet de décision d’exécution </w:t>
      </w:r>
      <w:r w:rsidRPr="00F237F5">
        <w:rPr>
          <w:rFonts w:ascii="Times New Roman" w:hAnsi="Times New Roman"/>
          <w:b/>
          <w:bCs/>
          <w:lang w:val="fr-BE"/>
        </w:rPr>
        <w:t>(considérant N)</w:t>
      </w:r>
      <w:r w:rsidRPr="00F237F5">
        <w:rPr>
          <w:rFonts w:ascii="Times New Roman" w:hAnsi="Times New Roman"/>
          <w:lang w:val="fr-BE"/>
        </w:rPr>
        <w:t xml:space="preserve">. En outre, il rappelle que le renvoi des projets de décisions d’autorisation à la Commission pour décision finale, en raison de l’absence de soutien du comité permanent, est devenu la norme dans le processus décisionnel relatif aux autorisations de denrées alimentaires et d’aliments pour animaux génétiquement modifiés, ce qui est problématique </w:t>
      </w:r>
      <w:r w:rsidRPr="00F237F5">
        <w:rPr>
          <w:rFonts w:ascii="Times New Roman" w:hAnsi="Times New Roman"/>
          <w:b/>
          <w:bCs/>
          <w:lang w:val="fr-BE"/>
        </w:rPr>
        <w:t>(considérant O)</w:t>
      </w:r>
      <w:r w:rsidRPr="00F237F5">
        <w:rPr>
          <w:rFonts w:ascii="Times New Roman" w:hAnsi="Times New Roman"/>
          <w:lang w:val="fr-BE"/>
        </w:rPr>
        <w:t xml:space="preserve">. Enfin, le Parlement rappelle les nombreuses résolutions s’opposant à l’autorisation d’OGM qu’il a adoptées au cours de sa huitième législature </w:t>
      </w:r>
      <w:r w:rsidRPr="00F237F5">
        <w:rPr>
          <w:rFonts w:ascii="Times New Roman" w:hAnsi="Times New Roman"/>
          <w:b/>
          <w:bCs/>
          <w:lang w:val="fr-BE"/>
        </w:rPr>
        <w:t>(considérant P)</w:t>
      </w:r>
      <w:r w:rsidRPr="00F237F5">
        <w:rPr>
          <w:rFonts w:ascii="Times New Roman" w:hAnsi="Times New Roman"/>
          <w:lang w:val="fr-BE"/>
        </w:rPr>
        <w:t xml:space="preserve"> et déclare qu’il n’est pas nécessaire de modifier la législation pour que la Commission puisse refuser d’autoriser des OGM en l’absence d’une majorité qualifiée d’États membres favorables au sein du comité d’appel </w:t>
      </w:r>
      <w:r w:rsidRPr="00F237F5">
        <w:rPr>
          <w:rFonts w:ascii="Times New Roman" w:hAnsi="Times New Roman"/>
          <w:b/>
          <w:bCs/>
          <w:lang w:val="fr-BE"/>
        </w:rPr>
        <w:t>(considérant Q)</w:t>
      </w:r>
      <w:r w:rsidRPr="00F237F5">
        <w:rPr>
          <w:rFonts w:ascii="Times New Roman" w:hAnsi="Times New Roman"/>
          <w:lang w:val="fr-BE"/>
        </w:rPr>
        <w:t>.</w:t>
      </w:r>
    </w:p>
    <w:p w:rsidR="00B41924" w:rsidRPr="00F237F5" w:rsidRDefault="00B41924" w:rsidP="00B41924">
      <w:pPr>
        <w:pStyle w:val="ListParagraph"/>
        <w:widowControl w:val="0"/>
        <w:numPr>
          <w:ilvl w:val="0"/>
          <w:numId w:val="1"/>
        </w:numPr>
        <w:spacing w:after="240" w:line="240" w:lineRule="auto"/>
        <w:contextualSpacing w:val="0"/>
        <w:jc w:val="both"/>
        <w:rPr>
          <w:rFonts w:ascii="Times New Roman" w:hAnsi="Times New Roman"/>
          <w:b/>
          <w:sz w:val="24"/>
          <w:szCs w:val="24"/>
          <w:lang w:val="fr-BE"/>
        </w:rPr>
      </w:pPr>
      <w:r w:rsidRPr="00F237F5">
        <w:rPr>
          <w:rFonts w:ascii="Times New Roman" w:hAnsi="Times New Roman"/>
          <w:b/>
          <w:sz w:val="24"/>
          <w:szCs w:val="24"/>
          <w:lang w:val="fr-BE"/>
        </w:rPr>
        <w:t>Réponse à ces demandes et aperçu des mesures que la Commission a prises ou envisage de prendre:</w:t>
      </w:r>
    </w:p>
    <w:p w:rsidR="00B41924" w:rsidRPr="00F237F5" w:rsidRDefault="00B41924" w:rsidP="00B41924">
      <w:pPr>
        <w:spacing w:after="120"/>
        <w:jc w:val="both"/>
        <w:rPr>
          <w:rFonts w:ascii="Times New Roman" w:hAnsi="Times New Roman"/>
          <w:szCs w:val="24"/>
          <w:lang w:val="fr-BE"/>
        </w:rPr>
      </w:pPr>
      <w:r w:rsidRPr="00F237F5">
        <w:rPr>
          <w:rFonts w:ascii="Times New Roman" w:hAnsi="Times New Roman"/>
          <w:szCs w:val="24"/>
          <w:lang w:val="fr-BE"/>
        </w:rPr>
        <w:t xml:space="preserve">La Commission tient à rappeler que le projet de décision d’exécution en question autorise la mise sur le marché de produits contenant du soja génétiquement modifié </w:t>
      </w:r>
      <w:r w:rsidRPr="00F237F5">
        <w:rPr>
          <w:rFonts w:ascii="Times New Roman" w:hAnsi="Times New Roman"/>
          <w:b/>
          <w:lang w:val="fr-BE"/>
        </w:rPr>
        <w:t>SYHT0H2</w:t>
      </w:r>
      <w:r w:rsidRPr="00F237F5">
        <w:rPr>
          <w:rFonts w:ascii="Times New Roman" w:hAnsi="Times New Roman"/>
          <w:szCs w:val="24"/>
          <w:lang w:val="fr-BE"/>
        </w:rPr>
        <w:t>, consistant en ce soja ou produits à partir de celui-ci, mais pas la culture de ce soja.</w:t>
      </w:r>
    </w:p>
    <w:p w:rsidR="00B41924" w:rsidRPr="00F237F5" w:rsidRDefault="00B41924" w:rsidP="00B41924">
      <w:pPr>
        <w:spacing w:after="120"/>
        <w:jc w:val="both"/>
        <w:rPr>
          <w:rFonts w:ascii="Times New Roman" w:hAnsi="Times New Roman"/>
          <w:szCs w:val="24"/>
          <w:lang w:val="fr-BE"/>
        </w:rPr>
      </w:pPr>
      <w:r w:rsidRPr="00F237F5">
        <w:rPr>
          <w:rFonts w:ascii="Times New Roman" w:hAnsi="Times New Roman"/>
          <w:szCs w:val="24"/>
          <w:lang w:val="fr-BE"/>
        </w:rPr>
        <w:t xml:space="preserve">En ce qui concerne les </w:t>
      </w:r>
      <w:r w:rsidRPr="00F237F5">
        <w:rPr>
          <w:rFonts w:ascii="Times New Roman" w:hAnsi="Times New Roman"/>
          <w:b/>
          <w:bCs/>
          <w:szCs w:val="24"/>
          <w:lang w:val="fr-BE"/>
        </w:rPr>
        <w:t>paragraphes 1</w:t>
      </w:r>
      <w:r w:rsidRPr="00F237F5">
        <w:rPr>
          <w:rFonts w:ascii="Times New Roman" w:hAnsi="Times New Roman"/>
          <w:szCs w:val="24"/>
          <w:lang w:val="fr-BE"/>
        </w:rPr>
        <w:t xml:space="preserve"> à </w:t>
      </w:r>
      <w:r w:rsidRPr="00F237F5">
        <w:rPr>
          <w:rFonts w:ascii="Times New Roman" w:hAnsi="Times New Roman"/>
          <w:b/>
          <w:bCs/>
          <w:szCs w:val="24"/>
          <w:lang w:val="fr-BE"/>
        </w:rPr>
        <w:t>3</w:t>
      </w:r>
      <w:r w:rsidRPr="00F237F5">
        <w:rPr>
          <w:rFonts w:ascii="Times New Roman" w:hAnsi="Times New Roman"/>
          <w:szCs w:val="24"/>
          <w:lang w:val="fr-BE"/>
        </w:rPr>
        <w:t xml:space="preserve"> de la résolution, la Commission tient à souligner que le parcours du projet de décision est conforme à la procédure décrite dans le règlement (UE) nº 182/2011 relatif à la comitologie et dans le règlement (CE) nº 1829/2003 concernant les denrées alimentaires et les aliments pour animaux génétiquement modifiés, comme illustré ci-dessous:</w:t>
      </w:r>
    </w:p>
    <w:p w:rsidR="00B41924" w:rsidRPr="00F237F5" w:rsidRDefault="00B41924" w:rsidP="00B41924">
      <w:pPr>
        <w:numPr>
          <w:ilvl w:val="0"/>
          <w:numId w:val="2"/>
        </w:numPr>
        <w:spacing w:after="120" w:line="240" w:lineRule="auto"/>
        <w:ind w:left="567" w:hanging="425"/>
        <w:jc w:val="both"/>
        <w:rPr>
          <w:rFonts w:ascii="Times New Roman" w:hAnsi="Times New Roman"/>
          <w:szCs w:val="24"/>
          <w:lang w:val="fr-BE"/>
        </w:rPr>
      </w:pPr>
      <w:proofErr w:type="gramStart"/>
      <w:r w:rsidRPr="00F237F5">
        <w:rPr>
          <w:rFonts w:ascii="Times New Roman" w:hAnsi="Times New Roman"/>
          <w:szCs w:val="24"/>
          <w:lang w:val="fr-BE"/>
        </w:rPr>
        <w:t>le</w:t>
      </w:r>
      <w:proofErr w:type="gramEnd"/>
      <w:r w:rsidRPr="00F237F5">
        <w:rPr>
          <w:rFonts w:ascii="Times New Roman" w:hAnsi="Times New Roman"/>
          <w:szCs w:val="24"/>
          <w:lang w:val="fr-BE"/>
        </w:rPr>
        <w:t xml:space="preserve"> 8 août 2012, </w:t>
      </w:r>
      <w:proofErr w:type="spellStart"/>
      <w:r w:rsidRPr="00F237F5">
        <w:rPr>
          <w:rFonts w:ascii="Times New Roman" w:hAnsi="Times New Roman"/>
          <w:szCs w:val="24"/>
          <w:lang w:val="fr-BE"/>
        </w:rPr>
        <w:t>Syngenta</w:t>
      </w:r>
      <w:proofErr w:type="spellEnd"/>
      <w:r w:rsidRPr="00F237F5">
        <w:rPr>
          <w:rFonts w:ascii="Times New Roman" w:hAnsi="Times New Roman"/>
          <w:szCs w:val="24"/>
          <w:lang w:val="fr-BE"/>
        </w:rPr>
        <w:t xml:space="preserve"> </w:t>
      </w:r>
      <w:proofErr w:type="spellStart"/>
      <w:r w:rsidRPr="00F237F5">
        <w:rPr>
          <w:rFonts w:ascii="Times New Roman" w:hAnsi="Times New Roman"/>
          <w:szCs w:val="24"/>
          <w:lang w:val="fr-BE"/>
        </w:rPr>
        <w:t>Crop</w:t>
      </w:r>
      <w:proofErr w:type="spellEnd"/>
      <w:r w:rsidRPr="00F237F5">
        <w:rPr>
          <w:rFonts w:ascii="Times New Roman" w:hAnsi="Times New Roman"/>
          <w:szCs w:val="24"/>
          <w:lang w:val="fr-BE"/>
        </w:rPr>
        <w:t xml:space="preserve"> </w:t>
      </w:r>
      <w:proofErr w:type="spellStart"/>
      <w:r w:rsidRPr="00F237F5">
        <w:rPr>
          <w:rFonts w:ascii="Times New Roman" w:hAnsi="Times New Roman"/>
          <w:szCs w:val="24"/>
          <w:lang w:val="fr-BE"/>
        </w:rPr>
        <w:t>ProtectionS.A</w:t>
      </w:r>
      <w:proofErr w:type="spellEnd"/>
      <w:r w:rsidRPr="00F237F5">
        <w:rPr>
          <w:rFonts w:ascii="Times New Roman" w:hAnsi="Times New Roman"/>
          <w:szCs w:val="24"/>
          <w:lang w:val="fr-BE"/>
        </w:rPr>
        <w:t>./</w:t>
      </w:r>
      <w:proofErr w:type="spellStart"/>
      <w:r w:rsidRPr="00F237F5">
        <w:rPr>
          <w:rFonts w:ascii="Times New Roman" w:hAnsi="Times New Roman"/>
          <w:szCs w:val="24"/>
          <w:lang w:val="fr-BE"/>
        </w:rPr>
        <w:t>N.V</w:t>
      </w:r>
      <w:proofErr w:type="spellEnd"/>
      <w:r w:rsidRPr="00F237F5">
        <w:rPr>
          <w:rFonts w:ascii="Times New Roman" w:hAnsi="Times New Roman"/>
          <w:szCs w:val="24"/>
          <w:lang w:val="fr-BE"/>
        </w:rPr>
        <w:t xml:space="preserve"> a introduit une demande auprès de la Commission, conformément aux articles 5 et 17 du règlement (CE) nº 1829/2003, en vue de l’autorisation de mise sur le marché de soja génétiquement modifié </w:t>
      </w:r>
      <w:r w:rsidRPr="00F237F5">
        <w:rPr>
          <w:rFonts w:ascii="Times New Roman" w:hAnsi="Times New Roman"/>
          <w:b/>
          <w:lang w:val="fr-BE"/>
        </w:rPr>
        <w:t xml:space="preserve">SYHT0H2 </w:t>
      </w:r>
      <w:r w:rsidRPr="00F237F5">
        <w:rPr>
          <w:rFonts w:ascii="Times New Roman" w:hAnsi="Times New Roman"/>
          <w:szCs w:val="24"/>
          <w:lang w:val="fr-BE"/>
        </w:rPr>
        <w:t>destiné à l’alimentation humaine et animale;</w:t>
      </w:r>
    </w:p>
    <w:p w:rsidR="00B41924" w:rsidRPr="00F237F5" w:rsidRDefault="00B41924" w:rsidP="00B41924">
      <w:pPr>
        <w:numPr>
          <w:ilvl w:val="0"/>
          <w:numId w:val="2"/>
        </w:numPr>
        <w:spacing w:after="120" w:line="240" w:lineRule="auto"/>
        <w:ind w:left="567" w:hanging="425"/>
        <w:jc w:val="both"/>
        <w:rPr>
          <w:rFonts w:ascii="Times New Roman" w:hAnsi="Times New Roman"/>
          <w:szCs w:val="24"/>
          <w:lang w:val="fr-BE"/>
        </w:rPr>
      </w:pPr>
      <w:proofErr w:type="gramStart"/>
      <w:r w:rsidRPr="00F237F5">
        <w:rPr>
          <w:rFonts w:ascii="Times New Roman" w:hAnsi="Times New Roman"/>
          <w:szCs w:val="24"/>
          <w:lang w:val="fr-BE"/>
        </w:rPr>
        <w:t>le</w:t>
      </w:r>
      <w:proofErr w:type="gramEnd"/>
      <w:r w:rsidRPr="00F237F5">
        <w:rPr>
          <w:rFonts w:ascii="Times New Roman" w:hAnsi="Times New Roman"/>
          <w:szCs w:val="24"/>
          <w:lang w:val="fr-BE"/>
        </w:rPr>
        <w:t xml:space="preserve"> 20 janvier 2020, l’Autorité européenne de sécurité des aliments (</w:t>
      </w:r>
      <w:proofErr w:type="spellStart"/>
      <w:r w:rsidRPr="00F237F5">
        <w:rPr>
          <w:rFonts w:ascii="Times New Roman" w:hAnsi="Times New Roman"/>
          <w:szCs w:val="24"/>
          <w:lang w:val="fr-BE"/>
        </w:rPr>
        <w:t>EFSA</w:t>
      </w:r>
      <w:proofErr w:type="spellEnd"/>
      <w:r w:rsidRPr="00F237F5">
        <w:rPr>
          <w:rFonts w:ascii="Times New Roman" w:hAnsi="Times New Roman"/>
          <w:szCs w:val="24"/>
          <w:lang w:val="fr-BE"/>
        </w:rPr>
        <w:t xml:space="preserve">) a émis un avis favorable, conformément aux articles 6 et 18 du règlement (CE) nº 1829/2003. Elle a conclu que le soja génétiquement modifié </w:t>
      </w:r>
      <w:r w:rsidRPr="00F237F5">
        <w:rPr>
          <w:rFonts w:ascii="Times New Roman" w:hAnsi="Times New Roman"/>
          <w:b/>
          <w:lang w:val="fr-BE"/>
        </w:rPr>
        <w:t>SYHT0H2</w:t>
      </w:r>
      <w:r w:rsidRPr="00F237F5">
        <w:rPr>
          <w:rFonts w:ascii="Times New Roman" w:hAnsi="Times New Roman"/>
          <w:szCs w:val="24"/>
          <w:lang w:val="fr-BE"/>
        </w:rPr>
        <w:t xml:space="preserve"> décrit dans la demande était aussi sûr que le produit conventionnel de référence et que les variétés de référence de soja non génétiquement modifié testées en ce qui concerne ses effets potentiels sur la santé humaine et animale et sur l’environnement, et leur était équivalent sur le plan nutritionnel.</w:t>
      </w:r>
    </w:p>
    <w:p w:rsidR="00B41924" w:rsidRPr="00F237F5" w:rsidRDefault="00B41924" w:rsidP="00B41924">
      <w:pPr>
        <w:numPr>
          <w:ilvl w:val="0"/>
          <w:numId w:val="2"/>
        </w:numPr>
        <w:spacing w:after="120" w:line="240" w:lineRule="auto"/>
        <w:ind w:left="567" w:hanging="425"/>
        <w:jc w:val="both"/>
        <w:rPr>
          <w:rFonts w:ascii="Times New Roman" w:hAnsi="Times New Roman"/>
          <w:szCs w:val="24"/>
          <w:lang w:val="fr-BE"/>
        </w:rPr>
      </w:pPr>
      <w:r w:rsidRPr="00F237F5">
        <w:rPr>
          <w:rFonts w:ascii="Times New Roman" w:hAnsi="Times New Roman"/>
          <w:szCs w:val="24"/>
          <w:lang w:val="fr-BE"/>
        </w:rPr>
        <w:t>Dans son avis, l’</w:t>
      </w:r>
      <w:proofErr w:type="spellStart"/>
      <w:r w:rsidRPr="00F237F5">
        <w:rPr>
          <w:rFonts w:ascii="Times New Roman" w:hAnsi="Times New Roman"/>
          <w:szCs w:val="24"/>
          <w:lang w:val="fr-BE"/>
        </w:rPr>
        <w:t>EFSA</w:t>
      </w:r>
      <w:proofErr w:type="spellEnd"/>
      <w:r w:rsidRPr="00F237F5">
        <w:rPr>
          <w:rFonts w:ascii="Times New Roman" w:hAnsi="Times New Roman"/>
          <w:szCs w:val="24"/>
          <w:lang w:val="fr-BE"/>
        </w:rPr>
        <w:t xml:space="preserve"> a pris en considération l’ensemble des questions et préoccupations spécifiques formulées par les États membres lors de la consultation des autorités nationales compétentes, comme le prévoient l’article 6, paragraphe 4, et l’article 18, paragraphe 4, du règlement (CE) nº 1829/2003;</w:t>
      </w:r>
    </w:p>
    <w:p w:rsidR="00B41924" w:rsidRPr="00F237F5" w:rsidRDefault="00B41924" w:rsidP="00B41924">
      <w:pPr>
        <w:numPr>
          <w:ilvl w:val="0"/>
          <w:numId w:val="2"/>
        </w:numPr>
        <w:spacing w:after="120" w:line="240" w:lineRule="auto"/>
        <w:ind w:left="567" w:hanging="425"/>
        <w:jc w:val="both"/>
        <w:rPr>
          <w:rFonts w:ascii="Times New Roman" w:hAnsi="Times New Roman"/>
          <w:szCs w:val="24"/>
          <w:lang w:val="fr-BE"/>
        </w:rPr>
      </w:pPr>
      <w:r w:rsidRPr="00F237F5">
        <w:rPr>
          <w:rFonts w:ascii="Times New Roman" w:hAnsi="Times New Roman"/>
          <w:szCs w:val="24"/>
          <w:lang w:val="fr-BE"/>
        </w:rPr>
        <w:t>le public a transmis ses commentaires sur l’avis de l’</w:t>
      </w:r>
      <w:proofErr w:type="spellStart"/>
      <w:r w:rsidRPr="00F237F5">
        <w:rPr>
          <w:rFonts w:ascii="Times New Roman" w:hAnsi="Times New Roman"/>
          <w:szCs w:val="24"/>
          <w:lang w:val="fr-BE"/>
        </w:rPr>
        <w:t>EFSA</w:t>
      </w:r>
      <w:proofErr w:type="spellEnd"/>
      <w:r w:rsidRPr="00F237F5">
        <w:rPr>
          <w:rFonts w:ascii="Times New Roman" w:hAnsi="Times New Roman"/>
          <w:szCs w:val="24"/>
          <w:lang w:val="fr-BE"/>
        </w:rPr>
        <w:t xml:space="preserve"> et l’ensemble des commentaires scientifiques reçus ont été examinés par l’</w:t>
      </w:r>
      <w:proofErr w:type="spellStart"/>
      <w:r w:rsidRPr="00F237F5">
        <w:rPr>
          <w:rFonts w:ascii="Times New Roman" w:hAnsi="Times New Roman"/>
          <w:szCs w:val="24"/>
          <w:lang w:val="fr-BE"/>
        </w:rPr>
        <w:t>EFSA</w:t>
      </w:r>
      <w:proofErr w:type="spellEnd"/>
      <w:r w:rsidRPr="00795261">
        <w:rPr>
          <w:rStyle w:val="FootnoteReference"/>
          <w:rFonts w:ascii="Times New Roman" w:hAnsi="Times New Roman"/>
          <w:szCs w:val="24"/>
        </w:rPr>
        <w:footnoteReference w:id="2"/>
      </w:r>
      <w:r w:rsidRPr="00F237F5">
        <w:rPr>
          <w:rFonts w:ascii="Times New Roman" w:hAnsi="Times New Roman"/>
          <w:szCs w:val="24"/>
          <w:lang w:val="fr-BE"/>
        </w:rPr>
        <w:t>;</w:t>
      </w:r>
    </w:p>
    <w:p w:rsidR="00B41924" w:rsidRPr="00F237F5" w:rsidRDefault="00B41924" w:rsidP="00B41924">
      <w:pPr>
        <w:numPr>
          <w:ilvl w:val="0"/>
          <w:numId w:val="2"/>
        </w:numPr>
        <w:spacing w:after="120" w:line="240" w:lineRule="auto"/>
        <w:ind w:left="567" w:hanging="425"/>
        <w:jc w:val="both"/>
        <w:rPr>
          <w:rFonts w:ascii="Times New Roman" w:hAnsi="Times New Roman"/>
          <w:szCs w:val="24"/>
          <w:lang w:val="fr-BE"/>
        </w:rPr>
      </w:pPr>
      <w:proofErr w:type="gramStart"/>
      <w:r w:rsidRPr="00F237F5">
        <w:rPr>
          <w:rFonts w:ascii="Times New Roman" w:hAnsi="Times New Roman"/>
          <w:szCs w:val="24"/>
          <w:lang w:val="fr-BE"/>
        </w:rPr>
        <w:lastRenderedPageBreak/>
        <w:t>le</w:t>
      </w:r>
      <w:proofErr w:type="gramEnd"/>
      <w:r w:rsidRPr="00F237F5">
        <w:rPr>
          <w:rFonts w:ascii="Times New Roman" w:hAnsi="Times New Roman"/>
          <w:szCs w:val="24"/>
          <w:lang w:val="fr-BE"/>
        </w:rPr>
        <w:t xml:space="preserve"> projet de décision a été soumis le 15 septembre 2020 au vote du comité permanent, dont aucune majorité qualifiée favorable ou défavorable n’est ressortie;</w:t>
      </w:r>
    </w:p>
    <w:p w:rsidR="00B41924" w:rsidRPr="00F237F5" w:rsidRDefault="00B41924" w:rsidP="00B41924">
      <w:pPr>
        <w:numPr>
          <w:ilvl w:val="0"/>
          <w:numId w:val="2"/>
        </w:numPr>
        <w:spacing w:after="120" w:line="240" w:lineRule="auto"/>
        <w:ind w:left="567" w:hanging="425"/>
        <w:jc w:val="both"/>
        <w:rPr>
          <w:rFonts w:ascii="Times New Roman" w:hAnsi="Times New Roman"/>
          <w:szCs w:val="24"/>
          <w:lang w:val="fr-BE"/>
        </w:rPr>
      </w:pPr>
      <w:proofErr w:type="gramStart"/>
      <w:r w:rsidRPr="00F237F5">
        <w:rPr>
          <w:rFonts w:ascii="Times New Roman" w:hAnsi="Times New Roman"/>
          <w:szCs w:val="24"/>
          <w:lang w:val="fr-BE"/>
        </w:rPr>
        <w:t>conformément</w:t>
      </w:r>
      <w:proofErr w:type="gramEnd"/>
      <w:r w:rsidRPr="00F237F5">
        <w:rPr>
          <w:rFonts w:ascii="Times New Roman" w:hAnsi="Times New Roman"/>
          <w:szCs w:val="24"/>
          <w:lang w:val="fr-BE"/>
        </w:rPr>
        <w:t xml:space="preserve"> aux règles établies dans le règlement (UE) nº 182/2011 relatif à la comitologie, la Commission a proposé le projet de décision au comité d’appel le 12 novembre 2020. Là non plus, aucune majorité qualifiée favorable ou défavorable ne s’est dégagée.</w:t>
      </w:r>
    </w:p>
    <w:p w:rsidR="00B41924" w:rsidRPr="00F237F5" w:rsidRDefault="00B41924" w:rsidP="00B41924">
      <w:pPr>
        <w:spacing w:after="120"/>
        <w:jc w:val="both"/>
        <w:rPr>
          <w:rFonts w:ascii="Times New Roman" w:hAnsi="Times New Roman"/>
          <w:szCs w:val="24"/>
          <w:lang w:val="fr-BE"/>
        </w:rPr>
      </w:pPr>
      <w:r w:rsidRPr="00F237F5">
        <w:rPr>
          <w:rFonts w:ascii="Times New Roman" w:hAnsi="Times New Roman"/>
          <w:szCs w:val="24"/>
          <w:lang w:val="fr-BE"/>
        </w:rPr>
        <w:t xml:space="preserve">Aussi la Commission considère-t-elle qu’en adoptant une décision pleinement conforme à la procédure fixée par les colégislateurs dans la législation sur les OGM, elle n’excède pas ses compétences d’exécution. En conséquence, aucun élément ne justifie le retrait du projet de décision d’autorisation du soja génétiquement modifié </w:t>
      </w:r>
      <w:r w:rsidRPr="00F237F5">
        <w:rPr>
          <w:rFonts w:ascii="Times New Roman" w:hAnsi="Times New Roman"/>
          <w:b/>
          <w:lang w:val="fr-BE"/>
        </w:rPr>
        <w:t>SYHT0H2</w:t>
      </w:r>
      <w:r w:rsidRPr="00F237F5">
        <w:rPr>
          <w:rFonts w:ascii="Times New Roman" w:hAnsi="Times New Roman"/>
          <w:szCs w:val="24"/>
          <w:lang w:val="fr-BE"/>
        </w:rPr>
        <w:t>. En outre, à la suite de l’introduction d’une demande et de la publication de l’avis de l’</w:t>
      </w:r>
      <w:proofErr w:type="spellStart"/>
      <w:r w:rsidRPr="00F237F5">
        <w:rPr>
          <w:rFonts w:ascii="Times New Roman" w:hAnsi="Times New Roman"/>
          <w:szCs w:val="24"/>
          <w:lang w:val="fr-BE"/>
        </w:rPr>
        <w:t>EFSA</w:t>
      </w:r>
      <w:proofErr w:type="spellEnd"/>
      <w:r w:rsidRPr="00F237F5">
        <w:rPr>
          <w:rFonts w:ascii="Times New Roman" w:hAnsi="Times New Roman"/>
          <w:szCs w:val="24"/>
          <w:lang w:val="fr-BE"/>
        </w:rPr>
        <w:t xml:space="preserve"> s’y rapportant, l’article 7, paragraphe 3, et l’article 19, paragraphe 3, du règlement (CE) nº 1829/2003 imposent à la Commission d’agir, en l’occurrence d’adopter une décision finale concernant la demande.</w:t>
      </w:r>
    </w:p>
    <w:p w:rsidR="00B41924" w:rsidRPr="00F237F5" w:rsidRDefault="00B41924" w:rsidP="00B41924">
      <w:pPr>
        <w:spacing w:after="120"/>
        <w:jc w:val="both"/>
        <w:rPr>
          <w:rFonts w:ascii="Times New Roman" w:hAnsi="Times New Roman"/>
          <w:szCs w:val="24"/>
          <w:lang w:val="fr-BE"/>
        </w:rPr>
      </w:pPr>
      <w:r w:rsidRPr="00F237F5">
        <w:rPr>
          <w:rFonts w:ascii="Times New Roman" w:hAnsi="Times New Roman"/>
          <w:szCs w:val="24"/>
          <w:lang w:val="fr-BE"/>
        </w:rPr>
        <w:t xml:space="preserve">Pour ce qui est des </w:t>
      </w:r>
      <w:r w:rsidRPr="00F237F5">
        <w:rPr>
          <w:rFonts w:ascii="Times New Roman" w:hAnsi="Times New Roman"/>
          <w:b/>
          <w:bCs/>
          <w:szCs w:val="24"/>
          <w:lang w:val="fr-BE"/>
        </w:rPr>
        <w:t>autres dispositions de la résolution</w:t>
      </w:r>
      <w:r w:rsidRPr="00F237F5">
        <w:rPr>
          <w:rFonts w:ascii="Times New Roman" w:hAnsi="Times New Roman"/>
          <w:szCs w:val="24"/>
          <w:lang w:val="fr-BE"/>
        </w:rPr>
        <w:t>, la Commission considère qu’elles ne relèvent pas du droit de regard, qui se limite à la question de savoir si le projet d’acte d’exécution excède les compétences d’exécution prévues par l’acte de base. La Commission n’est pas tenue de justifier le projet d’acte d’exécution en ce qui concerne ces points. Elle a néanmoins examiné attentivement les points de vue exprimés par le Parlement européen et souhaite formuler les observations suivantes:</w:t>
      </w:r>
    </w:p>
    <w:p w:rsidR="00B41924" w:rsidRPr="00F237F5" w:rsidRDefault="00B41924" w:rsidP="00B41924">
      <w:pPr>
        <w:spacing w:after="120"/>
        <w:jc w:val="both"/>
        <w:rPr>
          <w:rFonts w:ascii="Times New Roman" w:hAnsi="Times New Roman"/>
          <w:lang w:val="fr-BE"/>
        </w:rPr>
      </w:pPr>
      <w:r w:rsidRPr="00F237F5">
        <w:rPr>
          <w:rFonts w:ascii="Times New Roman" w:hAnsi="Times New Roman"/>
          <w:szCs w:val="24"/>
          <w:lang w:val="fr-BE"/>
        </w:rPr>
        <w:t xml:space="preserve">En ce qui concerne les préoccupations relatives aux produits phytopharmaceutiques </w:t>
      </w:r>
      <w:r w:rsidRPr="00F237F5">
        <w:rPr>
          <w:rFonts w:ascii="Times New Roman" w:hAnsi="Times New Roman"/>
          <w:b/>
          <w:bCs/>
          <w:szCs w:val="24"/>
          <w:lang w:val="fr-BE"/>
        </w:rPr>
        <w:t>(considérants D</w:t>
      </w:r>
      <w:r w:rsidRPr="00F237F5">
        <w:rPr>
          <w:rFonts w:ascii="Times New Roman" w:hAnsi="Times New Roman"/>
          <w:szCs w:val="24"/>
          <w:lang w:val="fr-BE"/>
        </w:rPr>
        <w:t xml:space="preserve"> à </w:t>
      </w:r>
      <w:r w:rsidRPr="00F237F5">
        <w:rPr>
          <w:rFonts w:ascii="Times New Roman" w:hAnsi="Times New Roman"/>
          <w:b/>
          <w:bCs/>
          <w:szCs w:val="24"/>
          <w:lang w:val="fr-BE"/>
        </w:rPr>
        <w:t>L)</w:t>
      </w:r>
      <w:r w:rsidRPr="00F237F5">
        <w:rPr>
          <w:rFonts w:ascii="Times New Roman" w:hAnsi="Times New Roman"/>
          <w:szCs w:val="24"/>
          <w:lang w:val="fr-BE"/>
        </w:rPr>
        <w:t xml:space="preserve">, la Commission tient à souligner que l’évaluation des risques menée dans le cadre d’une demande d’autorisation, à des fins d’alimentation humaine et animale, de cultures génétiquement modifiées tolérantes aux herbicides est centrée sur l’incidence potentielle de la modification génétique sur la santé des hommes et des animaux et sur l’environnement. </w:t>
      </w:r>
      <w:r w:rsidRPr="00F237F5">
        <w:rPr>
          <w:rFonts w:ascii="Times New Roman" w:hAnsi="Times New Roman"/>
          <w:lang w:val="fr-BE"/>
        </w:rPr>
        <w:t>Les considérations relatives à la protection de l’environnement dans le domaine des pesticides relèvent du champ d’application du règlement (CE) nº 1107/2009 concernant la mise sur le marché des produits phytopharmaceutiques, en application duquel chaque substance active et chaque produit phytopharmaceutique est évalué au regard de sa sécurité environnementale avant qu’une décision de gestion des risques portant approbation de la substance ou autorisant l’utilisation du produit ne soit prise. L’autorisation des OGM n’est pas liée à l’autorisation des herbicides. Toutefois, les règlements (CE) nº 1107/2009 et (CE) nº 396/2005, qui régissent respectivement les herbicides et les limites maximales applicables à leurs résidus, s’appliquent à l’ensemble des produits en question, qu’ils soient génétiquement modifiés ou non. Comme annoncé dans la stratégie</w:t>
      </w:r>
      <w:proofErr w:type="gramStart"/>
      <w:r w:rsidRPr="00F237F5">
        <w:rPr>
          <w:rFonts w:ascii="Times New Roman" w:hAnsi="Times New Roman"/>
          <w:lang w:val="fr-BE"/>
        </w:rPr>
        <w:t xml:space="preserve"> «De</w:t>
      </w:r>
      <w:proofErr w:type="gramEnd"/>
      <w:r w:rsidRPr="00F237F5">
        <w:rPr>
          <w:rFonts w:ascii="Times New Roman" w:hAnsi="Times New Roman"/>
          <w:lang w:val="fr-BE"/>
        </w:rPr>
        <w:t xml:space="preserve"> la ferme à la table», l’Union européenne coopérera activement avec ses partenaires commerciaux, notamment les pays en développement, pour accompagner la transition vers une utilisation plus durable des </w:t>
      </w:r>
      <w:r w:rsidRPr="00F237F5">
        <w:rPr>
          <w:rStyle w:val="highlight"/>
          <w:rFonts w:ascii="Times New Roman" w:hAnsi="Times New Roman"/>
          <w:lang w:val="fr-BE"/>
        </w:rPr>
        <w:t>pesticides</w:t>
      </w:r>
      <w:r w:rsidRPr="00F237F5">
        <w:rPr>
          <w:rFonts w:ascii="Times New Roman" w:hAnsi="Times New Roman"/>
          <w:lang w:val="fr-BE"/>
        </w:rPr>
        <w:t xml:space="preserve"> afin d’éviter les perturbations des échanges commerciaux et de promouvoir d’autres produits et méthodes de protection des végétaux.</w:t>
      </w:r>
    </w:p>
    <w:p w:rsidR="00B41924" w:rsidRPr="00F237F5" w:rsidRDefault="00B41924" w:rsidP="00B41924">
      <w:pPr>
        <w:spacing w:after="120"/>
        <w:jc w:val="both"/>
        <w:rPr>
          <w:rFonts w:ascii="Times New Roman" w:hAnsi="Times New Roman"/>
          <w:szCs w:val="24"/>
          <w:lang w:val="fr-BE"/>
        </w:rPr>
      </w:pPr>
      <w:r w:rsidRPr="00F237F5">
        <w:rPr>
          <w:rFonts w:ascii="Times New Roman" w:hAnsi="Times New Roman"/>
          <w:szCs w:val="24"/>
          <w:lang w:val="fr-BE"/>
        </w:rPr>
        <w:t xml:space="preserve">En ce qui concerne le manque de soutien des États membres en faveur des décisions sur les autorisations des OGM pour l’alimentation humaine et animale </w:t>
      </w:r>
      <w:r w:rsidRPr="00F237F5">
        <w:rPr>
          <w:rFonts w:ascii="Times New Roman" w:hAnsi="Times New Roman"/>
          <w:b/>
          <w:bCs/>
          <w:szCs w:val="24"/>
          <w:lang w:val="fr-BE"/>
        </w:rPr>
        <w:t>(considérants N</w:t>
      </w:r>
      <w:r w:rsidRPr="00F237F5">
        <w:rPr>
          <w:rFonts w:ascii="Times New Roman" w:hAnsi="Times New Roman"/>
          <w:szCs w:val="24"/>
          <w:lang w:val="fr-BE"/>
        </w:rPr>
        <w:t xml:space="preserve"> à </w:t>
      </w:r>
      <w:r w:rsidRPr="00F237F5">
        <w:rPr>
          <w:rFonts w:ascii="Times New Roman" w:hAnsi="Times New Roman"/>
          <w:b/>
          <w:bCs/>
          <w:szCs w:val="24"/>
          <w:lang w:val="fr-BE"/>
        </w:rPr>
        <w:t>Q)</w:t>
      </w:r>
      <w:r w:rsidRPr="00F237F5">
        <w:rPr>
          <w:rFonts w:ascii="Times New Roman" w:hAnsi="Times New Roman"/>
          <w:szCs w:val="24"/>
          <w:lang w:val="fr-BE"/>
        </w:rPr>
        <w:t>, en date du 14 février 2017, la Commission a présenté au Parlement européen et au Conseil une proposition de règlement modifiant le règlement (UE) nº 182/2011 qui vise à modifier les règles de vote du comité d’appel et qui, si elle était adoptée par les colégislateurs, renforcerait la transparence et la responsabilité dans le processus décisionnel relatif aux OGM. La Commission souhaite par ailleurs rappeler qu’elle déplore la décision du 28 octobre 2015 par laquelle le Parlement européen a rejeté la proposition du 22 avril 2015 modifiant le règlement (CE) nº 1829/2003, qui, si elle avait été adoptée, aurait permis aux États membres de traiter, au niveau national, des questions qui ne sont pas couvertes par le processus décisionnel de l’Union.</w:t>
      </w:r>
    </w:p>
    <w:p w:rsidR="00B41924" w:rsidRPr="00F237F5" w:rsidRDefault="00B41924" w:rsidP="00B41924">
      <w:pPr>
        <w:spacing w:after="120"/>
        <w:jc w:val="both"/>
        <w:rPr>
          <w:rFonts w:ascii="Times New Roman" w:hAnsi="Times New Roman"/>
          <w:lang w:val="fr-BE"/>
        </w:rPr>
      </w:pPr>
      <w:r w:rsidRPr="00F237F5">
        <w:rPr>
          <w:rFonts w:ascii="Times New Roman" w:hAnsi="Times New Roman"/>
          <w:szCs w:val="24"/>
          <w:lang w:val="fr-BE"/>
        </w:rPr>
        <w:t xml:space="preserve">Quant aux préoccupations exprimées aux </w:t>
      </w:r>
      <w:r w:rsidRPr="00F237F5">
        <w:rPr>
          <w:rFonts w:ascii="Times New Roman" w:hAnsi="Times New Roman"/>
          <w:b/>
          <w:bCs/>
          <w:szCs w:val="24"/>
          <w:lang w:val="fr-BE"/>
        </w:rPr>
        <w:t>considérants R</w:t>
      </w:r>
      <w:r w:rsidRPr="00F237F5">
        <w:rPr>
          <w:rFonts w:ascii="Times New Roman" w:hAnsi="Times New Roman"/>
          <w:szCs w:val="24"/>
          <w:lang w:val="fr-BE"/>
        </w:rPr>
        <w:t xml:space="preserve"> et </w:t>
      </w:r>
      <w:r w:rsidRPr="00F237F5">
        <w:rPr>
          <w:rFonts w:ascii="Times New Roman" w:hAnsi="Times New Roman"/>
          <w:b/>
          <w:bCs/>
          <w:szCs w:val="24"/>
          <w:lang w:val="fr-BE"/>
        </w:rPr>
        <w:t>Y</w:t>
      </w:r>
      <w:r w:rsidRPr="00F237F5">
        <w:rPr>
          <w:rFonts w:ascii="Times New Roman" w:hAnsi="Times New Roman"/>
          <w:szCs w:val="24"/>
          <w:lang w:val="fr-BE"/>
        </w:rPr>
        <w:t xml:space="preserve">, la Commission tient à préciser qu’elle adopte ses décisions en tenant compte d’une évaluation scientifique du plus haut niveau possible, des </w:t>
      </w:r>
      <w:r w:rsidRPr="00F237F5">
        <w:rPr>
          <w:rFonts w:ascii="Times New Roman" w:hAnsi="Times New Roman"/>
          <w:szCs w:val="24"/>
          <w:lang w:val="fr-BE"/>
        </w:rPr>
        <w:lastRenderedPageBreak/>
        <w:t>dispositions pertinentes du droit de l’Union et d’autres facteurs légitimes pertinents pour la question à l’examen.</w:t>
      </w:r>
      <w:r w:rsidRPr="00F237F5">
        <w:rPr>
          <w:rFonts w:ascii="Times New Roman" w:hAnsi="Times New Roman"/>
          <w:lang w:val="fr-BE"/>
        </w:rPr>
        <w:t xml:space="preserve"> Comme annoncé dans la stratégie</w:t>
      </w:r>
      <w:proofErr w:type="gramStart"/>
      <w:r w:rsidRPr="00F237F5">
        <w:rPr>
          <w:rFonts w:ascii="Times New Roman" w:hAnsi="Times New Roman"/>
          <w:lang w:val="fr-BE"/>
        </w:rPr>
        <w:t xml:space="preserve"> «De</w:t>
      </w:r>
      <w:proofErr w:type="gramEnd"/>
      <w:r w:rsidRPr="00F237F5">
        <w:rPr>
          <w:rFonts w:ascii="Times New Roman" w:hAnsi="Times New Roman"/>
          <w:lang w:val="fr-BE"/>
        </w:rPr>
        <w:t xml:space="preserve"> la ferme à la table», l’Union européenne coopérera activement avec ses partenaires commerciaux, notamment les pays en développement, pour accompagner la transition vers une utilisation plus durable des </w:t>
      </w:r>
      <w:r w:rsidRPr="00F237F5">
        <w:rPr>
          <w:rStyle w:val="highlight"/>
          <w:rFonts w:ascii="Times New Roman" w:hAnsi="Times New Roman"/>
          <w:lang w:val="fr-BE"/>
        </w:rPr>
        <w:t>pesticides</w:t>
      </w:r>
      <w:r w:rsidRPr="00F237F5">
        <w:rPr>
          <w:rFonts w:ascii="Times New Roman" w:hAnsi="Times New Roman"/>
          <w:lang w:val="fr-BE"/>
        </w:rPr>
        <w:t xml:space="preserve"> afin d’éviter les perturbations des échanges commerciaux et de promouvoir d’autres produits et méthodes de protection des végétaux.</w:t>
      </w:r>
    </w:p>
    <w:p w:rsidR="00B41924" w:rsidRPr="00F237F5" w:rsidRDefault="00B41924" w:rsidP="00B41924">
      <w:pPr>
        <w:spacing w:after="120"/>
        <w:jc w:val="both"/>
        <w:rPr>
          <w:rFonts w:ascii="Times New Roman" w:hAnsi="Times New Roman"/>
          <w:szCs w:val="24"/>
          <w:lang w:val="fr-BE"/>
        </w:rPr>
      </w:pPr>
      <w:r w:rsidRPr="00F237F5">
        <w:rPr>
          <w:rFonts w:ascii="Times New Roman" w:hAnsi="Times New Roman"/>
          <w:szCs w:val="24"/>
          <w:lang w:val="fr-BE"/>
        </w:rPr>
        <w:t xml:space="preserve">À ce stade, la Commission souhaite rappeler qu’à l’heure actuelle, le volume des importations de soja dépend de la demande élevée en fourrage protéique dans l’Union européenne. </w:t>
      </w:r>
    </w:p>
    <w:p w:rsidR="00B41924" w:rsidRPr="00F237F5" w:rsidRDefault="00B41924" w:rsidP="00B41924">
      <w:pPr>
        <w:spacing w:after="120"/>
        <w:jc w:val="both"/>
        <w:rPr>
          <w:rFonts w:ascii="Times New Roman" w:hAnsi="Times New Roman"/>
          <w:szCs w:val="24"/>
          <w:lang w:val="fr-BE"/>
        </w:rPr>
      </w:pPr>
      <w:r w:rsidRPr="00F237F5">
        <w:rPr>
          <w:rFonts w:ascii="Times New Roman" w:hAnsi="Times New Roman"/>
          <w:szCs w:val="24"/>
          <w:lang w:val="fr-BE"/>
        </w:rPr>
        <w:t xml:space="preserve">En ce qui concerne la déforestation </w:t>
      </w:r>
      <w:r w:rsidRPr="00F237F5">
        <w:rPr>
          <w:rFonts w:ascii="Times New Roman" w:hAnsi="Times New Roman"/>
          <w:b/>
          <w:szCs w:val="24"/>
          <w:lang w:val="fr-BE"/>
        </w:rPr>
        <w:t>(paragraphes 12 et 13)</w:t>
      </w:r>
      <w:r w:rsidRPr="00F237F5">
        <w:rPr>
          <w:rFonts w:ascii="Times New Roman" w:hAnsi="Times New Roman"/>
          <w:szCs w:val="24"/>
          <w:lang w:val="fr-BE"/>
        </w:rPr>
        <w:t>, dans sa communication sur la stratégie «De la ferme à la table» en faveur d’un système alimentaire équitable, sain et respectueux de l’environnement, la Commission a annoncé que pour réduire la contribution de l’Union à la déforestation et à la dégradation des forêts à l’échelle mondiale, elle présenterait une proposition législative ainsi que d’autres mesures visant à éviter ou à réduire au minimum la mise sur le marché de l’Union de produits associés à la déforestation ou à la dégradation des forêts.</w:t>
      </w:r>
    </w:p>
    <w:p w:rsidR="00B41924" w:rsidRPr="00F237F5" w:rsidRDefault="00B41924" w:rsidP="00B41924">
      <w:pPr>
        <w:spacing w:after="120"/>
        <w:jc w:val="both"/>
        <w:rPr>
          <w:rFonts w:ascii="Times New Roman" w:hAnsi="Times New Roman"/>
          <w:szCs w:val="24"/>
          <w:lang w:val="fr-BE"/>
        </w:rPr>
      </w:pPr>
      <w:r w:rsidRPr="00F237F5">
        <w:rPr>
          <w:rFonts w:ascii="Times New Roman" w:hAnsi="Times New Roman"/>
          <w:szCs w:val="24"/>
          <w:lang w:val="fr-BE"/>
        </w:rPr>
        <w:t xml:space="preserve">En conclusion, s’agissant des </w:t>
      </w:r>
      <w:r w:rsidRPr="00F237F5">
        <w:rPr>
          <w:rFonts w:ascii="Times New Roman" w:hAnsi="Times New Roman"/>
          <w:b/>
          <w:bCs/>
          <w:szCs w:val="24"/>
          <w:lang w:val="fr-BE"/>
        </w:rPr>
        <w:t>paragraphes 4</w:t>
      </w:r>
      <w:r w:rsidRPr="00F237F5">
        <w:rPr>
          <w:rFonts w:ascii="Times New Roman" w:hAnsi="Times New Roman"/>
          <w:szCs w:val="24"/>
          <w:lang w:val="fr-BE"/>
        </w:rPr>
        <w:t xml:space="preserve"> et </w:t>
      </w:r>
      <w:r w:rsidRPr="00F237F5">
        <w:rPr>
          <w:rFonts w:ascii="Times New Roman" w:hAnsi="Times New Roman"/>
          <w:b/>
          <w:bCs/>
          <w:szCs w:val="24"/>
          <w:lang w:val="fr-BE"/>
        </w:rPr>
        <w:t>5</w:t>
      </w:r>
      <w:r w:rsidRPr="00F237F5">
        <w:rPr>
          <w:rFonts w:ascii="Times New Roman" w:hAnsi="Times New Roman"/>
          <w:szCs w:val="24"/>
          <w:lang w:val="fr-BE"/>
        </w:rPr>
        <w:t>, tandis que la Commission se penche sur une nouvelle approche en phase avec l’ambition politique exprimée dans le pacte vert pour l’Europe et dans la stratégie «De la ferme à la table», elle continuera à traiter les demandes déjà introduites pour les denrées alimentaires et aliments pour animaux génétiquement modifiés dans le respect des règles existantes et jusqu’à ce qu’une ligne de conduite différente, fondée sur des considérations de durabilité, soit définie.</w:t>
      </w:r>
    </w:p>
    <w:p w:rsidR="00F36993" w:rsidRPr="00B41924" w:rsidRDefault="00F36993" w:rsidP="00B41924">
      <w:pPr>
        <w:jc w:val="both"/>
        <w:rPr>
          <w:lang w:val="fr-BE"/>
        </w:rPr>
      </w:pPr>
    </w:p>
    <w:sectPr w:rsidR="00F36993" w:rsidRPr="00B419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1924" w:rsidRDefault="00B41924" w:rsidP="00B41924">
      <w:pPr>
        <w:spacing w:after="0" w:line="240" w:lineRule="auto"/>
      </w:pPr>
      <w:r>
        <w:separator/>
      </w:r>
    </w:p>
  </w:endnote>
  <w:endnote w:type="continuationSeparator" w:id="0">
    <w:p w:rsidR="00B41924" w:rsidRDefault="00B41924" w:rsidP="00B41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1924" w:rsidRDefault="00B41924" w:rsidP="00B41924">
      <w:pPr>
        <w:spacing w:after="0" w:line="240" w:lineRule="auto"/>
      </w:pPr>
      <w:r>
        <w:separator/>
      </w:r>
    </w:p>
  </w:footnote>
  <w:footnote w:type="continuationSeparator" w:id="0">
    <w:p w:rsidR="00B41924" w:rsidRDefault="00B41924" w:rsidP="00B41924">
      <w:pPr>
        <w:spacing w:after="0" w:line="240" w:lineRule="auto"/>
      </w:pPr>
      <w:r>
        <w:continuationSeparator/>
      </w:r>
    </w:p>
  </w:footnote>
  <w:footnote w:id="1">
    <w:p w:rsidR="00B41924" w:rsidRPr="00127E49" w:rsidRDefault="00B41924" w:rsidP="00B41924">
      <w:pPr>
        <w:pStyle w:val="FootnoteText"/>
        <w:spacing w:after="0"/>
      </w:pPr>
      <w:r>
        <w:rPr>
          <w:rStyle w:val="FootnoteReference"/>
        </w:rPr>
        <w:footnoteRef/>
      </w:r>
      <w:r>
        <w:t xml:space="preserve"> </w:t>
      </w:r>
      <w:r>
        <w:tab/>
      </w:r>
      <w:r>
        <w:rPr>
          <w:rFonts w:ascii="Times New Roman" w:hAnsi="Times New Roman"/>
        </w:rPr>
        <w:t>P-</w:t>
      </w:r>
      <w:proofErr w:type="spellStart"/>
      <w:r>
        <w:rPr>
          <w:rFonts w:ascii="Times New Roman" w:hAnsi="Times New Roman"/>
        </w:rPr>
        <w:t>hydroxyphénylpyruvate</w:t>
      </w:r>
      <w:proofErr w:type="spellEnd"/>
      <w:r>
        <w:rPr>
          <w:rFonts w:ascii="Times New Roman" w:hAnsi="Times New Roman"/>
        </w:rPr>
        <w:t xml:space="preserve"> </w:t>
      </w:r>
      <w:proofErr w:type="spellStart"/>
      <w:r>
        <w:rPr>
          <w:rFonts w:ascii="Times New Roman" w:hAnsi="Times New Roman"/>
        </w:rPr>
        <w:t>dioxygénase</w:t>
      </w:r>
      <w:proofErr w:type="spellEnd"/>
    </w:p>
  </w:footnote>
  <w:footnote w:id="2">
    <w:p w:rsidR="00B41924" w:rsidRPr="00C5084A" w:rsidRDefault="00B41924" w:rsidP="00B41924">
      <w:pPr>
        <w:pStyle w:val="FootnoteText"/>
      </w:pPr>
      <w:r>
        <w:rPr>
          <w:rStyle w:val="FootnoteReference"/>
        </w:rPr>
        <w:footnoteRef/>
      </w:r>
      <w:r>
        <w:t xml:space="preserve"> </w:t>
      </w:r>
      <w:r>
        <w:tab/>
      </w:r>
      <w:hyperlink r:id="rId1" w:history="1">
        <w:r>
          <w:rPr>
            <w:rStyle w:val="Hyperlink"/>
            <w:rFonts w:ascii="Times New Roman" w:hAnsi="Times New Roman"/>
          </w:rPr>
          <w:t>http://ec.europa.eu/food/plant/gmo/public_consultations/index_en.htm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37286"/>
    <w:multiLevelType w:val="hybridMultilevel"/>
    <w:tmpl w:val="EB2EFA04"/>
    <w:lvl w:ilvl="0" w:tplc="29923364">
      <w:start w:val="1"/>
      <w:numFmt w:val="decimal"/>
      <w:lvlText w:val="%1."/>
      <w:lvlJc w:val="left"/>
      <w:pPr>
        <w:ind w:left="720" w:hanging="720"/>
      </w:pPr>
      <w:rPr>
        <w:b/>
        <w:i w:val="0"/>
        <w:sz w:val="24"/>
        <w:szCs w:val="24"/>
      </w:rPr>
    </w:lvl>
    <w:lvl w:ilvl="1" w:tplc="08090019">
      <w:start w:val="1"/>
      <w:numFmt w:val="lowerLetter"/>
      <w:lvlText w:val="%2."/>
      <w:lvlJc w:val="left"/>
      <w:pPr>
        <w:ind w:left="1298" w:hanging="360"/>
      </w:pPr>
    </w:lvl>
    <w:lvl w:ilvl="2" w:tplc="0809001B">
      <w:start w:val="1"/>
      <w:numFmt w:val="lowerRoman"/>
      <w:lvlText w:val="%3."/>
      <w:lvlJc w:val="right"/>
      <w:pPr>
        <w:ind w:left="2018" w:hanging="180"/>
      </w:pPr>
    </w:lvl>
    <w:lvl w:ilvl="3" w:tplc="0809000F">
      <w:start w:val="1"/>
      <w:numFmt w:val="decimal"/>
      <w:lvlText w:val="%4."/>
      <w:lvlJc w:val="left"/>
      <w:pPr>
        <w:ind w:left="2738" w:hanging="360"/>
      </w:pPr>
    </w:lvl>
    <w:lvl w:ilvl="4" w:tplc="08090019">
      <w:start w:val="1"/>
      <w:numFmt w:val="lowerLetter"/>
      <w:lvlText w:val="%5."/>
      <w:lvlJc w:val="left"/>
      <w:pPr>
        <w:ind w:left="3458" w:hanging="360"/>
      </w:pPr>
    </w:lvl>
    <w:lvl w:ilvl="5" w:tplc="0809001B">
      <w:start w:val="1"/>
      <w:numFmt w:val="lowerRoman"/>
      <w:lvlText w:val="%6."/>
      <w:lvlJc w:val="right"/>
      <w:pPr>
        <w:ind w:left="4178" w:hanging="180"/>
      </w:pPr>
    </w:lvl>
    <w:lvl w:ilvl="6" w:tplc="0809000F">
      <w:start w:val="1"/>
      <w:numFmt w:val="decimal"/>
      <w:lvlText w:val="%7."/>
      <w:lvlJc w:val="left"/>
      <w:pPr>
        <w:ind w:left="4898" w:hanging="360"/>
      </w:pPr>
    </w:lvl>
    <w:lvl w:ilvl="7" w:tplc="08090019">
      <w:start w:val="1"/>
      <w:numFmt w:val="lowerLetter"/>
      <w:lvlText w:val="%8."/>
      <w:lvlJc w:val="left"/>
      <w:pPr>
        <w:ind w:left="5618" w:hanging="360"/>
      </w:pPr>
    </w:lvl>
    <w:lvl w:ilvl="8" w:tplc="0809001B">
      <w:start w:val="1"/>
      <w:numFmt w:val="lowerRoman"/>
      <w:lvlText w:val="%9."/>
      <w:lvlJc w:val="right"/>
      <w:pPr>
        <w:ind w:left="6338" w:hanging="180"/>
      </w:pPr>
    </w:lvl>
  </w:abstractNum>
  <w:abstractNum w:abstractNumId="1" w15:restartNumberingAfterBreak="0">
    <w:nsid w:val="5C3073F9"/>
    <w:multiLevelType w:val="hybridMultilevel"/>
    <w:tmpl w:val="DA8A5DBE"/>
    <w:lvl w:ilvl="0" w:tplc="010A3310">
      <w:numFmt w:val="bullet"/>
      <w:lvlText w:val="-"/>
      <w:lvlJc w:val="left"/>
      <w:pPr>
        <w:ind w:left="928"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924"/>
    <w:rsid w:val="0065281F"/>
    <w:rsid w:val="00B41924"/>
    <w:rsid w:val="00F36993"/>
    <w:rsid w:val="00FF26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0F39D"/>
  <w15:chartTrackingRefBased/>
  <w15:docId w15:val="{F68CB1ED-E1B7-4FA4-B47E-7A6819FA0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onclusion de partie,Dot pt,No Spacing1,List Paragraph Char Char Char,Indicator Text,Numbered Para 1,List Paragraph1,Bullet Points,MAIN CONTENT,List Paragraph12,List Paragraph11,OBC Bullet,F5 List Paragraph,L,2,Lettre d'introduction,EC"/>
    <w:basedOn w:val="Normal"/>
    <w:link w:val="ListParagraphChar"/>
    <w:qFormat/>
    <w:rsid w:val="00B41924"/>
    <w:pPr>
      <w:spacing w:after="200" w:line="276" w:lineRule="auto"/>
      <w:ind w:left="720"/>
      <w:contextualSpacing/>
    </w:pPr>
    <w:rPr>
      <w:rFonts w:ascii="Calibri" w:eastAsia="Calibri" w:hAnsi="Calibri" w:cs="Times New Roman"/>
      <w:lang w:val="en-US"/>
    </w:rPr>
  </w:style>
  <w:style w:type="paragraph" w:styleId="FootnoteText">
    <w:name w:val="footnote text"/>
    <w:aliases w:val="Footnote Text Char1 Char,Footnote Text Char Char Char,Fußnotentext Char Char1 Char Char,Fußnotentext Char1 Char1 Char Char Char,Fußnotentext Char Char Char Char Char Char Char1,Footnote Text Char1,Footnote Text Char Char,o,footnote text1"/>
    <w:basedOn w:val="Normal"/>
    <w:link w:val="FootnoteTextChar2"/>
    <w:uiPriority w:val="99"/>
    <w:qFormat/>
    <w:rsid w:val="00B41924"/>
    <w:pPr>
      <w:spacing w:after="240" w:line="240" w:lineRule="auto"/>
      <w:ind w:left="357" w:hanging="357"/>
      <w:jc w:val="both"/>
    </w:pPr>
    <w:rPr>
      <w:rFonts w:ascii="Courier New" w:eastAsia="Times New Roman" w:hAnsi="Courier New" w:cs="Times New Roman"/>
      <w:sz w:val="20"/>
      <w:szCs w:val="20"/>
      <w:lang w:eastAsia="en-GB"/>
    </w:rPr>
  </w:style>
  <w:style w:type="character" w:customStyle="1" w:styleId="FootnoteTextChar">
    <w:name w:val="Footnote Text Char"/>
    <w:basedOn w:val="DefaultParagraphFont"/>
    <w:uiPriority w:val="99"/>
    <w:semiHidden/>
    <w:rsid w:val="00B41924"/>
    <w:rPr>
      <w:sz w:val="20"/>
      <w:szCs w:val="20"/>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sid w:val="00B41924"/>
    <w:rPr>
      <w:vertAlign w:val="superscript"/>
    </w:rPr>
  </w:style>
  <w:style w:type="character" w:styleId="Hyperlink">
    <w:name w:val="Hyperlink"/>
    <w:aliases w:val="Char1"/>
    <w:uiPriority w:val="99"/>
    <w:rsid w:val="00B41924"/>
    <w:rPr>
      <w:color w:val="0000FF"/>
      <w:u w:val="single"/>
    </w:rPr>
  </w:style>
  <w:style w:type="character" w:customStyle="1" w:styleId="FootnoteTextChar2">
    <w:name w:val="Footnote Text Char2"/>
    <w:aliases w:val="Footnote Text Char1 Char Char,Footnote Text Char Char Char Char,Fußnotentext Char Char1 Char Char Char,Fußnotentext Char1 Char1 Char Char Char Char,Fußnotentext Char Char Char Char Char Char Char1 Char,Footnote Text Char1 Char1"/>
    <w:link w:val="FootnoteText"/>
    <w:uiPriority w:val="99"/>
    <w:rsid w:val="00B41924"/>
    <w:rPr>
      <w:rFonts w:ascii="Courier New" w:eastAsia="Times New Roman" w:hAnsi="Courier New" w:cs="Times New Roman"/>
      <w:sz w:val="20"/>
      <w:szCs w:val="20"/>
      <w:lang w:eastAsia="en-GB"/>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B41924"/>
    <w:pPr>
      <w:spacing w:line="240" w:lineRule="exact"/>
    </w:pPr>
    <w:rPr>
      <w:vertAlign w:val="superscript"/>
    </w:rPr>
  </w:style>
  <w:style w:type="character" w:customStyle="1" w:styleId="ListParagraphChar">
    <w:name w:val="List Paragraph Char"/>
    <w:aliases w:val="Conclusion de partie Char,Dot pt Char,No Spacing1 Char,List Paragraph Char Char Char Char,Indicator Text Char,Numbered Para 1 Char,List Paragraph1 Char,Bullet Points Char,MAIN CONTENT Char,List Paragraph12 Char,List Paragraph11 Char"/>
    <w:link w:val="ListParagraph"/>
    <w:qFormat/>
    <w:locked/>
    <w:rsid w:val="00B41924"/>
    <w:rPr>
      <w:rFonts w:ascii="Calibri" w:eastAsia="Calibri" w:hAnsi="Calibri" w:cs="Times New Roman"/>
      <w:lang w:val="en-US"/>
    </w:rPr>
  </w:style>
  <w:style w:type="character" w:customStyle="1" w:styleId="epname">
    <w:name w:val="ep_name"/>
    <w:basedOn w:val="DefaultParagraphFont"/>
    <w:rsid w:val="00B41924"/>
  </w:style>
  <w:style w:type="paragraph" w:customStyle="1" w:styleId="docsubtitlelevel1">
    <w:name w:val="doc_subtitle_level1"/>
    <w:basedOn w:val="Normal"/>
    <w:rsid w:val="00B4192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rsid w:val="00B419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food/plant/gmo/public_consultations/index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2010</Words>
  <Characters>11219</Characters>
  <Application>Microsoft Office Word</Application>
  <DocSecurity>0</DocSecurity>
  <Lines>162</Lines>
  <Paragraphs>33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BIANCHIN Raffaella (SG)</dc:creator>
  <cp:keywords/>
  <dc:description/>
  <cp:lastModifiedBy>BIANCHIN Raffaella (SG)</cp:lastModifiedBy>
  <cp:revision>1</cp:revision>
  <dcterms:created xsi:type="dcterms:W3CDTF">2021-03-19T14:48:00Z</dcterms:created>
  <dcterms:modified xsi:type="dcterms:W3CDTF">2021-03-19T14:48:00Z</dcterms:modified>
</cp:coreProperties>
</file>