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7"/>
        <w:ind w:left="1012" w:right="1013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Suite donnée à la résolution non législative du Parlement européen sur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096" w:right="110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la mise en place d’une stratégie de l’Union pour un tourisme durable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258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1.      Rapporteure: </w:t>
      </w:r>
      <w:r>
        <w:rPr>
          <w:rFonts w:cs="Times New Roman" w:hAnsi="Times New Roman" w:eastAsia="Times New Roman" w:ascii="Times New Roman"/>
          <w:sz w:val="24"/>
          <w:szCs w:val="24"/>
        </w:rPr>
        <w:t>MONTEIRO DE AGUIAR Cláudia (PPE / PT)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30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2.      Numéros de référence: </w:t>
      </w:r>
      <w:r>
        <w:rPr>
          <w:rFonts w:cs="Times New Roman" w:hAnsi="Times New Roman" w:eastAsia="Times New Roman" w:ascii="Times New Roman"/>
          <w:sz w:val="24"/>
          <w:szCs w:val="24"/>
        </w:rPr>
        <w:t>2020/2038 (INI) / A9-0033/2021 / P9_TA-PROV(2021)0109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3847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3.     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Date d’adoption de la résolution: </w:t>
      </w:r>
      <w:r>
        <w:rPr>
          <w:rFonts w:cs="Times New Roman" w:hAnsi="Times New Roman" w:eastAsia="Times New Roman" w:ascii="Times New Roman"/>
          <w:sz w:val="24"/>
          <w:szCs w:val="24"/>
        </w:rPr>
        <w:t>25 mars 2021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80" w:val="left"/>
        </w:tabs>
        <w:jc w:val="left"/>
        <w:ind w:left="683" w:right="75" w:hanging="56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4.</w:t>
        <w:tab/>
      </w:r>
      <w:r>
        <w:rPr>
          <w:rFonts w:cs="Times New Roman" w:hAnsi="Times New Roman" w:eastAsia="Times New Roman" w:ascii="Times New Roman"/>
          <w:b/>
          <w:sz w:val="24"/>
          <w:szCs w:val="24"/>
        </w:rPr>
        <w:t>Commission    parlementaire    compétente:    </w:t>
      </w:r>
      <w:r>
        <w:rPr>
          <w:rFonts w:cs="Times New Roman" w:hAnsi="Times New Roman" w:eastAsia="Times New Roman" w:ascii="Times New Roman"/>
          <w:sz w:val="24"/>
          <w:szCs w:val="24"/>
        </w:rPr>
        <w:t>commission    des    transports    et    du</w:t>
      </w:r>
      <w:r>
        <w:rPr>
          <w:rFonts w:cs="Times New Roman" w:hAnsi="Times New Roman" w:eastAsia="Times New Roman" w:ascii="Times New Roman"/>
          <w:sz w:val="24"/>
          <w:szCs w:val="24"/>
        </w:rPr>
        <w:t> tourisme (TRAN)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570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5.     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Analyse/évaluation succincte de la résolution et des demandes qu’elle contient: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La résolution propose la mise </w:t>
      </w:r>
      <w:r>
        <w:rPr>
          <w:rFonts w:cs="Times New Roman" w:hAnsi="Times New Roman" w:eastAsia="Times New Roman" w:ascii="Times New Roman"/>
          <w:sz w:val="24"/>
          <w:szCs w:val="24"/>
        </w:rPr>
        <w:t>en place d’une stratégie de l’Union pour un tourisme durable,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compte  tenu  notamment  des  répercussions  notables  de  la  pandémie  de  COVID-19  sur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l’écosystème touristique,  de l’urgence de  retrouver un écosystème touristique plus résilient,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des objectifs à long terme de la transition numérique et écologique et de la nouvelle réalité.</w:t>
      </w:r>
      <w:r>
        <w:rPr>
          <w:rFonts w:cs="Times New Roman" w:hAnsi="Times New Roman" w:eastAsia="Times New Roman" w:ascii="Times New Roman"/>
          <w:sz w:val="24"/>
          <w:szCs w:val="24"/>
        </w:rPr>
        <w:t> Dans  sa  résolution,  le  Parlement  invite  la  Commission  à  agir  sur  un  grand  nombre 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questions, en associant plusieurs d’entre elles à d’autres politiques de l’UE.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Quatre  grandes  di</w:t>
      </w:r>
      <w:r>
        <w:rPr>
          <w:rFonts w:cs="Times New Roman" w:hAnsi="Times New Roman" w:eastAsia="Times New Roman" w:ascii="Times New Roman"/>
          <w:sz w:val="24"/>
          <w:szCs w:val="24"/>
        </w:rPr>
        <w:t>rections  sont  proposées  en  vue  de  la  mise  en  place  d’une  stratégie  de</w:t>
      </w:r>
      <w:r>
        <w:rPr>
          <w:rFonts w:cs="Times New Roman" w:hAnsi="Times New Roman" w:eastAsia="Times New Roman" w:ascii="Times New Roman"/>
          <w:sz w:val="24"/>
          <w:szCs w:val="24"/>
        </w:rPr>
        <w:t> l’Union  pour  un  tourisme  durable:  1)  relancer  l’industrie  du  tourisme  grâce  à  des  plans 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remédiation aux effets de la pandémie; 2) recentrer la politique de gouvernance dans le cadre</w:t>
      </w:r>
      <w:r>
        <w:rPr>
          <w:rFonts w:cs="Times New Roman" w:hAnsi="Times New Roman" w:eastAsia="Times New Roman" w:ascii="Times New Roman"/>
          <w:sz w:val="24"/>
          <w:szCs w:val="24"/>
        </w:rPr>
        <w:t> d</w:t>
      </w:r>
      <w:r>
        <w:rPr>
          <w:rFonts w:cs="Times New Roman" w:hAnsi="Times New Roman" w:eastAsia="Times New Roman" w:ascii="Times New Roman"/>
          <w:sz w:val="24"/>
          <w:szCs w:val="24"/>
        </w:rPr>
        <w:t>e   l’Union;   3)   renforcer   les   initiatives   de   l’industrie   en   vue   d’un   tourisme   durable,</w:t>
      </w:r>
      <w:r>
        <w:rPr>
          <w:rFonts w:cs="Times New Roman" w:hAnsi="Times New Roman" w:eastAsia="Times New Roman" w:ascii="Times New Roman"/>
          <w:sz w:val="24"/>
          <w:szCs w:val="24"/>
        </w:rPr>
        <w:t> responsable et intelligent; 4) planifier l’avenir de l’industrie du tourisme et les changements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qui apparaîtront du côté de la demande et qui pourraient nécessiter une ada</w:t>
      </w:r>
      <w:r>
        <w:rPr>
          <w:rFonts w:cs="Times New Roman" w:hAnsi="Times New Roman" w:eastAsia="Times New Roman" w:ascii="Times New Roman"/>
          <w:sz w:val="24"/>
          <w:szCs w:val="24"/>
        </w:rPr>
        <w:t>ptation de l’offre.</w:t>
      </w:r>
      <w:r>
        <w:rPr>
          <w:rFonts w:cs="Times New Roman" w:hAnsi="Times New Roman" w:eastAsia="Times New Roman" w:ascii="Times New Roman"/>
          <w:sz w:val="24"/>
          <w:szCs w:val="24"/>
        </w:rPr>
        <w:t> Parmi les grands objectifs à long terme proposés figurent la création d’une agence européenne</w:t>
      </w:r>
      <w:r>
        <w:rPr>
          <w:rFonts w:cs="Times New Roman" w:hAnsi="Times New Roman" w:eastAsia="Times New Roman" w:ascii="Times New Roman"/>
          <w:sz w:val="24"/>
          <w:szCs w:val="24"/>
        </w:rPr>
        <w:t> du  tourisme  et  d’une  union  européenne  du  tourisme  visant  à  mettre  en  place  des  mesures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européennes cohérentes en faveur du tourisme.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80" w:val="left"/>
        </w:tabs>
        <w:jc w:val="left"/>
        <w:ind w:left="683" w:right="84" w:hanging="566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6.</w:t>
        <w:tab/>
      </w:r>
      <w:r>
        <w:rPr>
          <w:rFonts w:cs="Times New Roman" w:hAnsi="Times New Roman" w:eastAsia="Times New Roman" w:ascii="Times New Roman"/>
          <w:b/>
          <w:sz w:val="24"/>
          <w:szCs w:val="24"/>
        </w:rPr>
        <w:t>Réponse  à  ces  demandes  et  aperçu  des  mesures  que  la  Commission  a  prises  ou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envisage de prendre: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2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Note:  la  présentation  suit  l’ordre  des  paragraphes  de  la  résolution.  Lorsque  cela  est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5063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pertinent, les paragraphes sont regroupés.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3875"/>
      </w:pPr>
      <w:r>
        <w:rPr>
          <w:rFonts w:cs="Times New Roman" w:hAnsi="Times New Roman" w:eastAsia="Times New Roman" w:ascii="Times New Roman"/>
          <w:sz w:val="24"/>
          <w:szCs w:val="24"/>
        </w:rPr>
        <w:t>Dans sa résolution, le Parlement invite la Commission: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sous   le   sous-titre  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Relancer:   plans   de   remédiation   aux   effets   de   la   COVID-19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16" w:right="704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(paragraphes 1 à 14)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1) à reconnaître pleinement l’importance du secteur du tourisme, à l’incorporer pleinement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dans les plans nationaux et européens de développement, à améliorer la qualité de son offre,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à le rendre plus durable et accessible à tous et à encourager les investissements publics et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privés,  trop  longtemps  différés  dans  la  transformation  numérique  et  la  modernisation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générale du secteur;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74"/>
      </w:pPr>
      <w:r>
        <w:pict>
          <v:group style="position:absolute;margin-left:70.824pt;margin-top:60.92pt;width:144.02pt;height:0pt;mso-position-horizontal-relative:page;mso-position-vertical-relative:paragraph;z-index:-475" coordorigin="1416,1218" coordsize="2880,0">
            <v:shape style="position:absolute;left:1416;top:1218;width:2880;height:0" coordorigin="1416,1218" coordsize="2880,0" path="m1416,1218l4297,1218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La  Commission  re</w:t>
      </w:r>
      <w:r>
        <w:rPr>
          <w:rFonts w:cs="Times New Roman" w:hAnsi="Times New Roman" w:eastAsia="Times New Roman" w:ascii="Times New Roman"/>
          <w:sz w:val="24"/>
          <w:szCs w:val="24"/>
        </w:rPr>
        <w:t>connaît  l’importance  du  tourisme  pour  l’économie,  l’emploi,  la  cohésion</w:t>
      </w:r>
      <w:r>
        <w:rPr>
          <w:rFonts w:cs="Times New Roman" w:hAnsi="Times New Roman" w:eastAsia="Times New Roman" w:ascii="Times New Roman"/>
          <w:sz w:val="24"/>
          <w:szCs w:val="24"/>
        </w:rPr>
        <w:t> régionale   et   sociale   de   l’UE   en   identifiant   l’écosystème   touristique   dans   la   stratégie</w:t>
      </w:r>
      <w:r>
        <w:rPr>
          <w:rFonts w:cs="Times New Roman" w:hAnsi="Times New Roman" w:eastAsia="Times New Roman" w:ascii="Times New Roman"/>
          <w:sz w:val="24"/>
          <w:szCs w:val="24"/>
        </w:rPr>
        <w:t> industrielle  pour  l’Europe  comme  l’un  des  14 </w:t>
      </w:r>
      <w:r>
        <w:rPr>
          <w:rFonts w:cs="Times New Roman" w:hAnsi="Times New Roman" w:eastAsia="Times New Roman" w:ascii="Times New Roman"/>
          <w:sz w:val="24"/>
          <w:szCs w:val="24"/>
        </w:rPr>
        <w:t>écosystèmes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,  qui  recense  également  un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16"/>
        <w:sectPr>
          <w:pgNumType w:start="1"/>
          <w:pgMar w:footer="985" w:header="0" w:top="1320" w:bottom="280" w:left="1300" w:right="1300"/>
          <w:footerReference w:type="default" r:id="rId4"/>
          <w:pgSz w:w="11920" w:h="16840"/>
        </w:sectPr>
      </w:pPr>
      <w:r>
        <w:rPr>
          <w:rFonts w:cs="Courier New" w:hAnsi="Courier New" w:eastAsia="Courier New" w:ascii="Courier New"/>
          <w:w w:val="99"/>
          <w:position w:val="5"/>
          <w:sz w:val="13"/>
          <w:szCs w:val="13"/>
        </w:rPr>
        <w:t>1</w:t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5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/ec.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ate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y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ities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2019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4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ita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e/e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ea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ial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ateg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y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 w:lineRule="exact" w:line="260"/>
        <w:ind w:left="116" w:right="72"/>
      </w:pPr>
      <w:r>
        <w:rPr>
          <w:rFonts w:cs="Times New Roman" w:hAnsi="Times New Roman" w:eastAsia="Times New Roman" w:ascii="Times New Roman"/>
          <w:sz w:val="24"/>
          <w:szCs w:val="24"/>
        </w:rPr>
        <w:t>parcours de t</w:t>
      </w:r>
      <w:r>
        <w:rPr>
          <w:rFonts w:cs="Times New Roman" w:hAnsi="Times New Roman" w:eastAsia="Times New Roman" w:ascii="Times New Roman"/>
          <w:sz w:val="24"/>
          <w:szCs w:val="24"/>
        </w:rPr>
        <w:t>ransition pour le tourisme en tant qu’outil de collaboration essentiel à des fins de</w:t>
      </w:r>
      <w:r>
        <w:rPr>
          <w:rFonts w:cs="Times New Roman" w:hAnsi="Times New Roman" w:eastAsia="Times New Roman" w:ascii="Times New Roman"/>
          <w:sz w:val="24"/>
          <w:szCs w:val="24"/>
        </w:rPr>
        <w:t> transformation; en mobilisant un soutien d’urgence en faveur du tourisme pendant la crise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la pandémie  (liquidités des entreprises, préservation  </w:t>
      </w:r>
      <w:r>
        <w:rPr>
          <w:rFonts w:cs="Times New Roman" w:hAnsi="Times New Roman" w:eastAsia="Times New Roman" w:ascii="Times New Roman"/>
          <w:sz w:val="24"/>
          <w:szCs w:val="24"/>
        </w:rPr>
        <w:t>de l’emploi, en facilita</w:t>
      </w:r>
      <w:r>
        <w:rPr>
          <w:rFonts w:cs="Times New Roman" w:hAnsi="Times New Roman" w:eastAsia="Times New Roman" w:ascii="Times New Roman"/>
          <w:sz w:val="24"/>
          <w:szCs w:val="24"/>
        </w:rPr>
        <w:t>nt une approche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coordonnée  dans  l’ensemble  de  l’UE  en  matière  de  restrictions  des  voyages,  de  mesures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sanitaires  et  de  sécurité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)  et  en  offrant  un  soutien  sans  précédent  à  la  relance  inclusive  et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durable,  à  la  résilience  et  à  la  transformation  de  l’écosyst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ème  sur  la  voie  écologique  et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numérique (NextGenerationEU et le cadre financier pluriannuel 2021-2027).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3)  demande  au  Centre  européen  de  prévention  et  de  contrôle  des  maladies  (ECDC)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surveiller et de continuer à publier, en temps utile, la carte à code couleur des pays et régions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de l’Union, y compris les îles —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lorsque des informations suffisantes sont disponibles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—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, afin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d’offrir aux voyageurs et aux entreprises une réponse coordonnée et efficace;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L’ECDC continuera à publier et à mettre à jour réguliè</w:t>
      </w:r>
      <w:r>
        <w:rPr>
          <w:rFonts w:cs="Times New Roman" w:hAnsi="Times New Roman" w:eastAsia="Times New Roman" w:ascii="Times New Roman"/>
          <w:sz w:val="24"/>
          <w:szCs w:val="24"/>
        </w:rPr>
        <w:t>rement la carte à code couleur des États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3731"/>
      </w:pPr>
      <w:r>
        <w:rPr>
          <w:rFonts w:cs="Times New Roman" w:hAnsi="Times New Roman" w:eastAsia="Times New Roman" w:ascii="Times New Roman"/>
          <w:sz w:val="24"/>
          <w:szCs w:val="24"/>
        </w:rPr>
        <w:t>membres de l’Union, sur la base des données nationales.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5)   à   élaborer   en   priorité   un   certificat   de   vaccination   commun   et   un   système 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reconnaissance mutuelle des procédures de  vaccination à des fins médicales, qui  devraient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être mis en place parallèlement à la distribution des vaccins, tout en préservant les droits 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individus à la vie privée et à la protection des données;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z w:val="24"/>
          <w:szCs w:val="24"/>
        </w:rPr>
        <w:t>Le 14 juin 2021, le Parlement et le Conseil ont adopté le règlement (UE) 2021/953 établissant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 certificat COVID numérique de l’UE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. Ce règlement vise à faciliter la libre circulation au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sein  de  l’UE  pendant  la  pandémie  de  COVID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-19  en  établissant  un  cadre  commun  pour  la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délivrance,   la   vérification   et   l’acceptation   de   certificats   COVID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-19   interopérables   de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vaccination, de test et de rétablissement. Ce certificat permet aux citoyens de l’UE exerçant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leur droit à la libre circulation de démontrer qu’ils satisfont aux exigences en matière de santé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publique  qui  leur  sont  imposées  par  l’État  mem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bre  de  destination.  Le  règlement  vise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également à garantir que les restrictions à la libre circulation actuellement en place pendant la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pandémie de COVID-19 peuvent être levées de manière coordonnée. Outre les certificats de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vaccination,  le  «certificat  COV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ID  numérique  de  l’UE»  couvre  également  les  documents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indiquant  un  résultat  négatif  au  test  de  dépistage  de  l’infection  par  le  SARS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-CoV-2  et  les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documents  certifiant  que  la  personne  concernée  est  rétablie  d’une  infection  précédente.  Il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permet  aux  personnes  qui  ne  sont  pas  vaccinées  de  bénéficier  également  de  ce  cadre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interopérable, ce qui facilite leur libre circulation.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6) à présenter une application mobile (réf. Re-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open EU) afin de mieux diffuser l’information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et de  continuer à fournir des informations en 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temps réel sur l’état des frontières et sur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services  de  transport  et  de  tourisme  disponibles  dans  les  pays  de  l’Union,  y  compris  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informations  sur  les  mesures  de  santé  publique  et  de  sécurité  et  d’autres  informations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pertinentes;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pict>
          <v:group style="position:absolute;margin-left:70.824pt;margin-top:102.463pt;width:144.02pt;height:0pt;mso-position-horizontal-relative:page;mso-position-vertical-relative:paragraph;z-index:-474" coordorigin="1416,2049" coordsize="2880,0">
            <v:shape style="position:absolute;left:1416;top:2049;width:2880;height:0" coordorigin="1416,2049" coordsize="2880,0" path="m1416,2049l4297,2049e" filled="f" stroked="t" strokeweight="0.70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La Commission a déjà mis au point une application mobile pour son portail «Re-Open EU»,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qui  fournit  des  informations  en  temps  réel  sur  l’état  des  frontières  et  sur  les  services  de</w:t>
      </w:r>
      <w:r>
        <w:rPr>
          <w:rFonts w:cs="Times New Roman" w:hAnsi="Times New Roman" w:eastAsia="Times New Roman" w:ascii="Times New Roman"/>
          <w:sz w:val="24"/>
          <w:szCs w:val="24"/>
        </w:rPr>
        <w:t> transport et de tourisme disponibles dans les pays de l’Union, y compris des informations sur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z w:val="24"/>
          <w:szCs w:val="24"/>
        </w:rPr>
        <w:t>es mesures de santé publique et de sécurité et d’autres informations pertinentes. L’application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mobile «Re-</w:t>
      </w:r>
      <w:r>
        <w:rPr>
          <w:rFonts w:cs="Times New Roman" w:hAnsi="Times New Roman" w:eastAsia="Times New Roman" w:ascii="Times New Roman"/>
          <w:sz w:val="24"/>
          <w:szCs w:val="24"/>
        </w:rPr>
        <w:t>Open EU» est disponible dans le Google Play Store et l’Apple App Store depuis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60" w:val="left"/>
        </w:tabs>
        <w:jc w:val="both"/>
        <w:spacing w:before="33" w:lineRule="auto" w:line="243"/>
        <w:ind w:left="474" w:right="82" w:hanging="358"/>
      </w:pPr>
      <w:r>
        <w:rPr>
          <w:rFonts w:cs="Courier New" w:hAnsi="Courier New" w:eastAsia="Courier New" w:ascii="Courier New"/>
          <w:w w:val="99"/>
          <w:position w:val="5"/>
          <w:sz w:val="13"/>
          <w:szCs w:val="13"/>
        </w:rPr>
        <w:t>2</w:t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  <w:tab/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Initiative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d’investissement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réaction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coronavirus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(CRII),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soutien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l’atténuation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risques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chômage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situation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d’urgence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(SURE),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encadrement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temporaire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mesures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d’aide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d’État,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ainsi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soutien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relance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durable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inclusive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dans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cadre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NextGenerationEU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(dont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REACT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EU)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cadre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financier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pluriannuel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(CFP)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2021-2027.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"/>
        <w:ind w:left="116"/>
        <w:sectPr>
          <w:pgMar w:header="0" w:footer="985" w:top="1320" w:bottom="280" w:left="1300" w:right="1300"/>
          <w:pgSz w:w="11920" w:h="16840"/>
        </w:sectPr>
      </w:pPr>
      <w:r>
        <w:rPr>
          <w:rFonts w:cs="Courier New" w:hAnsi="Courier New" w:eastAsia="Courier New" w:ascii="Courier New"/>
          <w:w w:val="99"/>
          <w:position w:val="5"/>
          <w:sz w:val="13"/>
          <w:szCs w:val="13"/>
        </w:rPr>
        <w:t>3</w:t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6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://d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ata.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/eli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/9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5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3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j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9"/>
      </w:pPr>
      <w:r>
        <w:rPr>
          <w:rFonts w:cs="Times New Roman" w:hAnsi="Times New Roman" w:eastAsia="Times New Roman" w:ascii="Times New Roman"/>
          <w:sz w:val="24"/>
          <w:szCs w:val="24"/>
        </w:rPr>
        <w:t>décembre </w:t>
      </w:r>
      <w:r>
        <w:rPr>
          <w:rFonts w:cs="Times New Roman" w:hAnsi="Times New Roman" w:eastAsia="Times New Roman" w:ascii="Times New Roman"/>
          <w:sz w:val="24"/>
          <w:szCs w:val="24"/>
        </w:rPr>
        <w:t>2020.  La  Commission  a  l’intention  de  faire  fonctionner  le  portail  et  l’application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4578"/>
      </w:pPr>
      <w:r>
        <w:rPr>
          <w:rFonts w:cs="Times New Roman" w:hAnsi="Times New Roman" w:eastAsia="Times New Roman" w:ascii="Times New Roman"/>
          <w:sz w:val="24"/>
          <w:szCs w:val="24"/>
        </w:rPr>
        <w:t>aussi longtemps que la pandémie se poursuivra.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0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7) à lancer une campagne de communication européenne sur les voyages et le tourisme au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moyen d’un «label européen du tourisme» visant à promouvoir les voyages dans l’Union et à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rétablir  la  confiance  des  citoyens  dans  les  voyages  et  le  tourisme  durant  la  pandémie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COVID-19;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Afin  de  soutenir  la  relance  de  l’écosystème  touristique  de  l’UE,  l’Union  a  cofinancé</w:t>
      </w:r>
      <w:r>
        <w:rPr>
          <w:rFonts w:cs="Times New Roman" w:hAnsi="Times New Roman" w:eastAsia="Times New Roman" w:ascii="Times New Roman"/>
          <w:sz w:val="24"/>
          <w:szCs w:val="24"/>
        </w:rPr>
        <w:t> différentes  campagnes  faisant  la  promotion  de  l’Europe  en  tant  que  destination  sûre</w:t>
      </w:r>
      <w:r>
        <w:rPr>
          <w:rFonts w:cs="Times New Roman" w:hAnsi="Times New Roman" w:eastAsia="Times New Roman" w:ascii="Times New Roman"/>
          <w:sz w:val="24"/>
          <w:szCs w:val="24"/>
        </w:rPr>
        <w:t>.  Ces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campagnes sont conçues et mises en œuvre par la Commission européenne du tourisme (CET)</w:t>
      </w:r>
      <w:r>
        <w:rPr>
          <w:rFonts w:cs="Times New Roman" w:hAnsi="Times New Roman" w:eastAsia="Times New Roman" w:ascii="Times New Roman"/>
          <w:sz w:val="24"/>
          <w:szCs w:val="24"/>
        </w:rPr>
        <w:t> grâce à une subvention ad hoc de l’Union. La première campagne était axée sur le tourisme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intra-</w:t>
      </w:r>
      <w:r>
        <w:rPr>
          <w:rFonts w:cs="Times New Roman" w:hAnsi="Times New Roman" w:eastAsia="Times New Roman" w:ascii="Times New Roman"/>
          <w:sz w:val="24"/>
          <w:szCs w:val="24"/>
        </w:rPr>
        <w:t>UE  avant  l’été 2020  et  bénéficiait  du  soutien  d’Euronews.  Une  nouv</w:t>
      </w:r>
      <w:r>
        <w:rPr>
          <w:rFonts w:cs="Times New Roman" w:hAnsi="Times New Roman" w:eastAsia="Times New Roman" w:ascii="Times New Roman"/>
          <w:sz w:val="24"/>
          <w:szCs w:val="24"/>
        </w:rPr>
        <w:t>elle  campagne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d’intérêt général appelée «OpenUp to Europe» est prévue pour fin mai </w:t>
      </w:r>
      <w:r>
        <w:rPr>
          <w:rFonts w:cs="Times New Roman" w:hAnsi="Times New Roman" w:eastAsia="Times New Roman" w:ascii="Times New Roman"/>
          <w:sz w:val="24"/>
          <w:szCs w:val="24"/>
        </w:rPr>
        <w:t>2021 et est soutenue</w:t>
      </w:r>
      <w:r>
        <w:rPr>
          <w:rFonts w:cs="Times New Roman" w:hAnsi="Times New Roman" w:eastAsia="Times New Roman" w:ascii="Times New Roman"/>
          <w:sz w:val="24"/>
          <w:szCs w:val="24"/>
        </w:rPr>
        <w:t> par 32 </w:t>
      </w:r>
      <w:r>
        <w:rPr>
          <w:rFonts w:cs="Times New Roman" w:hAnsi="Times New Roman" w:eastAsia="Times New Roman" w:ascii="Times New Roman"/>
          <w:sz w:val="24"/>
          <w:szCs w:val="24"/>
        </w:rPr>
        <w:t>destinations (pays, régions et villes) et labels de voyage. D’autres campagnes faisant la</w:t>
      </w:r>
      <w:r>
        <w:rPr>
          <w:rFonts w:cs="Times New Roman" w:hAnsi="Times New Roman" w:eastAsia="Times New Roman" w:ascii="Times New Roman"/>
          <w:sz w:val="24"/>
          <w:szCs w:val="24"/>
        </w:rPr>
        <w:t> promotion de l’Europe en tant que destination sont mené</w:t>
      </w:r>
      <w:r>
        <w:rPr>
          <w:rFonts w:cs="Times New Roman" w:hAnsi="Times New Roman" w:eastAsia="Times New Roman" w:ascii="Times New Roman"/>
          <w:sz w:val="24"/>
          <w:szCs w:val="24"/>
        </w:rPr>
        <w:t>es sur les marchés long-courriers afin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que l’Europe reste à l’esprit des voyageurs nord</w:t>
      </w: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américains et chinois en particulier. L’Année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européenne du rail </w:t>
      </w:r>
      <w:r>
        <w:rPr>
          <w:rFonts w:cs="Times New Roman" w:hAnsi="Times New Roman" w:eastAsia="Times New Roman" w:ascii="Times New Roman"/>
          <w:sz w:val="24"/>
          <w:szCs w:val="24"/>
        </w:rPr>
        <w:t>2021 offre également l’occasion de se concentrer sur ce mode de voyage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durable et spécifique afin de pr</w:t>
      </w:r>
      <w:r>
        <w:rPr>
          <w:rFonts w:cs="Times New Roman" w:hAnsi="Times New Roman" w:eastAsia="Times New Roman" w:ascii="Times New Roman"/>
          <w:sz w:val="24"/>
          <w:szCs w:val="24"/>
        </w:rPr>
        <w:t>omouvoir des destinations durables au sein de l’Union.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8) à mettre en place un système commun de code couleur et des critères communs pour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voyages  vers  les  pays  tiers  à  travers  la  reconnaissance  mutuelle  de  mesures  de  protection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comparables contre la COVID-19 dans tous les modes de déplacement, mais surtout dans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secteurs aérien et maritime;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z w:val="24"/>
          <w:szCs w:val="24"/>
        </w:rPr>
        <w:t>Le 30 juin 2020, le Conseil a adopté, sur proposition de la Commission, la recommandation</w:t>
      </w:r>
      <w:r>
        <w:rPr>
          <w:rFonts w:cs="Times New Roman" w:hAnsi="Times New Roman" w:eastAsia="Times New Roman" w:ascii="Times New Roman"/>
          <w:sz w:val="24"/>
          <w:szCs w:val="24"/>
        </w:rPr>
        <w:t> (UE) 2020/912   du   Conseil   concernant   la   restriction   temporaire   des   déplacements   non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essentiels vers l’UE et la possible levée de cette restriction. Elle a été modifiée le 20 </w:t>
      </w:r>
      <w:r>
        <w:rPr>
          <w:rFonts w:cs="Times New Roman" w:hAnsi="Times New Roman" w:eastAsia="Times New Roman" w:ascii="Times New Roman"/>
          <w:sz w:val="24"/>
          <w:szCs w:val="24"/>
        </w:rPr>
        <w:t>mai 2021</w:t>
      </w:r>
      <w:r>
        <w:rPr>
          <w:rFonts w:cs="Times New Roman" w:hAnsi="Times New Roman" w:eastAsia="Times New Roman" w:ascii="Times New Roman"/>
          <w:sz w:val="24"/>
          <w:szCs w:val="24"/>
        </w:rPr>
        <w:t> par  la  recommandation (UE) 2021/816  du  Conseil.  La  dernière  révision  a  introduit  trois</w:t>
      </w:r>
      <w:r>
        <w:rPr>
          <w:rFonts w:cs="Times New Roman" w:hAnsi="Times New Roman" w:eastAsia="Times New Roman" w:ascii="Times New Roman"/>
          <w:sz w:val="24"/>
          <w:szCs w:val="24"/>
        </w:rPr>
        <w:t> grands changements: i) si des États membres acceptent une preuve de la vaccination afin de</w:t>
      </w:r>
      <w:r>
        <w:rPr>
          <w:rFonts w:cs="Times New Roman" w:hAnsi="Times New Roman" w:eastAsia="Times New Roman" w:ascii="Times New Roman"/>
          <w:sz w:val="24"/>
          <w:szCs w:val="24"/>
        </w:rPr>
        <w:t> lever  les  restrictions  de  déplacement  visant  à  limiter  la  propagation  de  la  COVID-19,  ils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devraient en principe lever la restriction temporaire des déplacements non essentiels vers l’UE</w:t>
      </w:r>
      <w:r>
        <w:rPr>
          <w:rFonts w:cs="Times New Roman" w:hAnsi="Times New Roman" w:eastAsia="Times New Roman" w:ascii="Times New Roman"/>
          <w:sz w:val="24"/>
          <w:szCs w:val="24"/>
        </w:rPr>
        <w:t> à  l’égard  des  voyageurs  en  provenanc</w:t>
      </w:r>
      <w:r>
        <w:rPr>
          <w:rFonts w:cs="Times New Roman" w:hAnsi="Times New Roman" w:eastAsia="Times New Roman" w:ascii="Times New Roman"/>
          <w:sz w:val="24"/>
          <w:szCs w:val="24"/>
        </w:rPr>
        <w:t>e  de  pays  tiers  qui  (au  plus  tard  14 jours  avant  leur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entrée dans la zone UE) ont reçu la dernière dose d’un vaccin approuvé par l’UE ou l’OMS</w:t>
      </w:r>
      <w:r>
        <w:rPr>
          <w:rFonts w:cs="Times New Roman" w:hAnsi="Times New Roman" w:eastAsia="Times New Roman" w:ascii="Times New Roman"/>
          <w:sz w:val="24"/>
          <w:szCs w:val="24"/>
        </w:rPr>
        <w:t> afin d’entrer dans l’UE pour un déplacement non essentiel, en tenant compte, au cas par cas,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la réciprocité accordée à la zone UE+; ii) le seuil du taux de notification de 14 jours pour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les pays tiers à inclure dans l’annexe </w:t>
      </w:r>
      <w:r>
        <w:rPr>
          <w:rFonts w:cs="Times New Roman" w:hAnsi="Times New Roman" w:eastAsia="Times New Roman" w:ascii="Times New Roman"/>
          <w:sz w:val="24"/>
          <w:szCs w:val="24"/>
        </w:rPr>
        <w:t>I a été porté à 75 cas pour 100 000 habitants; et iii) le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frein  d’urgence  a  été  établi  pour  que  les  États  membres  puissent  réagir  rapidement  </w:t>
      </w:r>
      <w:r>
        <w:rPr>
          <w:rFonts w:cs="Times New Roman" w:hAnsi="Times New Roman" w:eastAsia="Times New Roman" w:ascii="Times New Roman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l’apparition  de  nouveaux  variants.  En  outre,  l’ECDC  doit  présenter  régulièrement  une</w:t>
      </w:r>
      <w:r>
        <w:rPr>
          <w:rFonts w:cs="Times New Roman" w:hAnsi="Times New Roman" w:eastAsia="Times New Roman" w:ascii="Times New Roman"/>
          <w:sz w:val="24"/>
          <w:szCs w:val="24"/>
        </w:rPr>
        <w:t> cartographie des variants dans les pays tiers. Bien qu’elle ne fonctionne pas avec un système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 couleurs,  la  recommandation  définit  des  critères  et  des  seuils  clairs  et  objectifs  pour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décider pour quels pays tiers la restriction actuelle des déplacements non essentiels vers l’UE</w:t>
      </w:r>
      <w:r>
        <w:rPr>
          <w:rFonts w:cs="Times New Roman" w:hAnsi="Times New Roman" w:eastAsia="Times New Roman" w:ascii="Times New Roman"/>
          <w:sz w:val="24"/>
          <w:szCs w:val="24"/>
        </w:rPr>
        <w:t> devrait être levée. Ces pays tiers figurent à l’annexe </w:t>
      </w:r>
      <w:r>
        <w:rPr>
          <w:rFonts w:cs="Times New Roman" w:hAnsi="Times New Roman" w:eastAsia="Times New Roman" w:ascii="Times New Roman"/>
          <w:sz w:val="24"/>
          <w:szCs w:val="24"/>
        </w:rPr>
        <w:t>I de la recommandation du Conseil. Cette</w:t>
      </w:r>
      <w:r>
        <w:rPr>
          <w:rFonts w:cs="Times New Roman" w:hAnsi="Times New Roman" w:eastAsia="Times New Roman" w:ascii="Times New Roman"/>
          <w:sz w:val="24"/>
          <w:szCs w:val="24"/>
        </w:rPr>
        <w:t> liste est réexaminée par le Conseil toutes les deux semaines et, le cas échéant, modifiée afin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tenir compte de l’évolution de la situation épidémiologique dans ces pays.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8)  à  mettre  en  place  un  système  d’alerte  précoce  qui  prévient  de  façon  conviviale 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touristes,  grâce  aux  nouvelles  technologies,  de  toute  menace  sanitaire  potentielle  dans  un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pays tiers de destination;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Ces   informations   font   l’objet   d’un   suivi   et   sont   communiquées   aux   citoyens   par</w:t>
      </w:r>
      <w:r>
        <w:rPr>
          <w:rFonts w:cs="Times New Roman" w:hAnsi="Times New Roman" w:eastAsia="Times New Roman" w:ascii="Times New Roman"/>
          <w:sz w:val="24"/>
          <w:szCs w:val="24"/>
        </w:rPr>
        <w:t> l’intermédiaire  des  portails  des  gouvernements  des  États  membres,  qui  sont  normalement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gérés par les min</w:t>
      </w:r>
      <w:r>
        <w:rPr>
          <w:rFonts w:cs="Times New Roman" w:hAnsi="Times New Roman" w:eastAsia="Times New Roman" w:ascii="Times New Roman"/>
          <w:sz w:val="24"/>
          <w:szCs w:val="24"/>
        </w:rPr>
        <w:t>istères des affaires étrangères respectifs. Il n’est actuellement pas prévu de</w:t>
      </w:r>
      <w:r>
        <w:rPr>
          <w:rFonts w:cs="Times New Roman" w:hAnsi="Times New Roman" w:eastAsia="Times New Roman" w:ascii="Times New Roman"/>
          <w:sz w:val="24"/>
          <w:szCs w:val="24"/>
        </w:rPr>
        <w:t> dupliquer ce travail au niveau de l’UE.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8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9)  à  mettre  en  place  un  label  européen  de  certification  sanitaire,  qui  devrait  être  élaboré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conjointement par l’ECDC et les États membres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et devrait certifier les activités touristiques,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en  garantissant  le  respect  des  normes  minimales  d’hygiène  pour  la  prévention  et  la  lutte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contre le virus de la COVID-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19 et d’autres infections éventuelles;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La Commission a invité le Comité européen de normalisation (CEN) à préparer un document</w:t>
      </w:r>
      <w:r>
        <w:rPr>
          <w:rFonts w:cs="Times New Roman" w:hAnsi="Times New Roman" w:eastAsia="Times New Roman" w:ascii="Times New Roman"/>
          <w:sz w:val="24"/>
          <w:szCs w:val="24"/>
        </w:rPr>
        <w:t> de  normalisation  servant  de  base  aux  protocoles  de  santé  et  de  sécurité  pour  le  secteur 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l’hôtellerie.   Il   est   fondé   sur   un   protocole   préparé   à   l’Organisation   internationale  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normalisation  (ISO)  et  est  complété  par  </w:t>
      </w:r>
      <w:r>
        <w:rPr>
          <w:rFonts w:cs="Times New Roman" w:hAnsi="Times New Roman" w:eastAsia="Times New Roman" w:ascii="Times New Roman"/>
          <w:sz w:val="24"/>
          <w:szCs w:val="24"/>
        </w:rPr>
        <w:t>une  identité  visuelle,  ainsi  que  par  d’autres  ajouts</w:t>
      </w:r>
      <w:r>
        <w:rPr>
          <w:rFonts w:cs="Times New Roman" w:hAnsi="Times New Roman" w:eastAsia="Times New Roman" w:ascii="Times New Roman"/>
          <w:sz w:val="24"/>
          <w:szCs w:val="24"/>
        </w:rPr>
        <w:t> dans  un  accord  d’atelier  du  CEN  (AACEN).  Il  a  été  publié  mi</w:t>
      </w:r>
      <w:r>
        <w:rPr>
          <w:rFonts w:cs="Times New Roman" w:hAnsi="Times New Roman" w:eastAsia="Times New Roman" w:ascii="Times New Roman"/>
          <w:sz w:val="24"/>
          <w:szCs w:val="24"/>
        </w:rPr>
        <w:t>-mai 2021.  La  Commission</w:t>
      </w:r>
      <w:r>
        <w:rPr>
          <w:rFonts w:cs="Times New Roman" w:hAnsi="Times New Roman" w:eastAsia="Times New Roman" w:ascii="Times New Roman"/>
          <w:sz w:val="24"/>
          <w:szCs w:val="24"/>
        </w:rPr>
        <w:t> travaille  déjà  en  étroite  collaboration  avec  les  États  membres  afin  de  soutenir  la  mise  en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œuvre avec l’aide des admini</w:t>
      </w:r>
      <w:r>
        <w:rPr>
          <w:rFonts w:cs="Times New Roman" w:hAnsi="Times New Roman" w:eastAsia="Times New Roman" w:ascii="Times New Roman"/>
          <w:sz w:val="24"/>
          <w:szCs w:val="24"/>
        </w:rPr>
        <w:t>strations nationales.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10)  à  prendre  des  mesures  spécifiques  en  ce  qui  concerne  les  régions  européennes  dans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lesquelles  le  tourisme représente  une  part  plus  importante  du  PIB,  ainsi  que  les  îles  et 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régions ultrapériphériques; souligne à ce sujet que les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aides distribuées par l’Union dans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États membres à la suite à la pandémie de COVID-19 ne sont pas toujours perçues par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opérateurs  du  secteur  du  tourisme  qui  ont  un  besoin  urgent  de  financement  direct  pour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pouvoir poursuivre et maintenir leurs activités économiques;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Les actions et les investissements dans le domaine du tourisme peuvent bénéficier de l’aide de</w:t>
      </w:r>
      <w:r>
        <w:rPr>
          <w:rFonts w:cs="Times New Roman" w:hAnsi="Times New Roman" w:eastAsia="Times New Roman" w:ascii="Times New Roman"/>
          <w:sz w:val="24"/>
          <w:szCs w:val="24"/>
        </w:rPr>
        <w:t> l’UE  au  titre  des  fonds  de  la  politique  de  cohésion  [par  exemple,  le  Fonds  européen 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développement régional (Feder)] et peuvent être financés dans le cadre des plans nationaux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relance et de résilience  mettant en œuvre la facilité pour la reprise et la résilience.  La base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juridique de ces fonds fixe les règles du soutien fourni par les États membres aux opérateurs</w:t>
      </w:r>
      <w:r>
        <w:rPr>
          <w:rFonts w:cs="Times New Roman" w:hAnsi="Times New Roman" w:eastAsia="Times New Roman" w:ascii="Times New Roman"/>
          <w:sz w:val="24"/>
          <w:szCs w:val="24"/>
        </w:rPr>
        <w:t> économiques.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11) à encourager les États membres à fixer temporairement des taux réduits de TVA sur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services de voyage et de tourisme, assortis d’un train de mesures de relance spécifique pour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l’ensemble des microentreprises et des PME pour la période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2020-2024, afin de réduire au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minimum le nombre de faillites et de préserver les emplois et les droits des travailleurs dans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le  secteur  européen  du  tourisme,  tout  en  utilisant  les  investissements  pour  favoriser 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transition vers un écosystème touristique plus numérique et plus durable;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REACT-EU  étend  les  mesures  de  réaction  aux  crises  et  les  mesures  visant  à  remédier  aux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conséquences  de  la  crise  mises  en  œuvre  dans  le  cadre  de  l’initiative  d’investissement  en</w:t>
      </w:r>
      <w:r>
        <w:rPr>
          <w:rFonts w:cs="Times New Roman" w:hAnsi="Times New Roman" w:eastAsia="Times New Roman" w:ascii="Times New Roman"/>
          <w:sz w:val="24"/>
          <w:szCs w:val="24"/>
        </w:rPr>
        <w:t> réponse  au coronavirus (CRII)  et de l’initiative d’investissement en répons</w:t>
      </w:r>
      <w:r>
        <w:rPr>
          <w:rFonts w:cs="Times New Roman" w:hAnsi="Times New Roman" w:eastAsia="Times New Roman" w:ascii="Times New Roman"/>
          <w:sz w:val="24"/>
          <w:szCs w:val="24"/>
        </w:rPr>
        <w:t>e au coronavirus</w:t>
      </w:r>
      <w:r>
        <w:rPr>
          <w:rFonts w:cs="Times New Roman" w:hAnsi="Times New Roman" w:eastAsia="Times New Roman" w:ascii="Times New Roman"/>
          <w:sz w:val="24"/>
          <w:szCs w:val="24"/>
        </w:rPr>
        <w:t> plus (CRII+), et constitue une passerelle vers le plan de relance à long terme. Le programme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soutient   les   projets   d’investissement   qui   favorisent   les   capacités   de   remédiation   aux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conséquences de la crise et contribuent à une relance écologique, numérique et résiliente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l’économie, notamment le soutien au maintien des emplois, les dispositifs de chômage partiel</w:t>
      </w:r>
      <w:r>
        <w:rPr>
          <w:rFonts w:cs="Times New Roman" w:hAnsi="Times New Roman" w:eastAsia="Times New Roman" w:ascii="Times New Roman"/>
          <w:sz w:val="24"/>
          <w:szCs w:val="24"/>
        </w:rPr>
        <w:t> et le soutien aux indépendants. Il peut également soutenir la création d’emplois et les mesures</w:t>
      </w:r>
      <w:r>
        <w:rPr>
          <w:rFonts w:cs="Times New Roman" w:hAnsi="Times New Roman" w:eastAsia="Times New Roman" w:ascii="Times New Roman"/>
          <w:sz w:val="24"/>
          <w:szCs w:val="24"/>
        </w:rPr>
        <w:t> en faveur de l’emploi des jeunes a</w:t>
      </w:r>
      <w:r>
        <w:rPr>
          <w:rFonts w:cs="Times New Roman" w:hAnsi="Times New Roman" w:eastAsia="Times New Roman" w:ascii="Times New Roman"/>
          <w:sz w:val="24"/>
          <w:szCs w:val="24"/>
        </w:rPr>
        <w:t>insi que les systèmes de soins de santé, et peut mettre des</w:t>
      </w:r>
      <w:r>
        <w:rPr>
          <w:rFonts w:cs="Times New Roman" w:hAnsi="Times New Roman" w:eastAsia="Times New Roman" w:ascii="Times New Roman"/>
          <w:sz w:val="24"/>
          <w:szCs w:val="24"/>
        </w:rPr>
        <w:t> fonds de roulement à la disposition des petites et moyennes entreprises et leur fournir une aide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à l’investissement.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73"/>
      </w:pPr>
      <w:r>
        <w:pict>
          <v:group style="position:absolute;margin-left:70.824pt;margin-top:81.92pt;width:144.02pt;height:0pt;mso-position-horizontal-relative:page;mso-position-vertical-relative:paragraph;z-index:-473" coordorigin="1416,1638" coordsize="2880,0">
            <v:shape style="position:absolute;left:1416;top:1638;width:2880;height:0" coordorigin="1416,1638" coordsize="2880,0" path="m1416,1638l4297,1638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Le  soutien  à  la  transition  des  PME  (petites  et  moyennes  entreprises)  du  tourisme  vers  le</w:t>
      </w:r>
      <w:r>
        <w:rPr>
          <w:rFonts w:cs="Times New Roman" w:hAnsi="Times New Roman" w:eastAsia="Times New Roman" w:ascii="Times New Roman"/>
          <w:sz w:val="24"/>
          <w:szCs w:val="24"/>
        </w:rPr>
        <w:t> parcours  écologique  et  numérique  est  disponible  dans  le  cadre  de  plusieurs  programmes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européens. Afin de faciliter l’accès aux financements de l’Union pour le tourisme, le «Guide</w:t>
      </w:r>
      <w:r>
        <w:rPr>
          <w:rFonts w:cs="Times New Roman" w:hAnsi="Times New Roman" w:eastAsia="Times New Roman" w:ascii="Times New Roman"/>
          <w:sz w:val="24"/>
          <w:szCs w:val="24"/>
        </w:rPr>
        <w:t> des financements de l’UE pour le tourisme» en ligne est opérationne</w:t>
      </w:r>
      <w:r>
        <w:rPr>
          <w:rFonts w:cs="Times New Roman" w:hAnsi="Times New Roman" w:eastAsia="Times New Roman" w:ascii="Times New Roman"/>
          <w:sz w:val="24"/>
          <w:szCs w:val="24"/>
        </w:rPr>
        <w:t>l depuis mai 2021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16"/>
        <w:sectPr>
          <w:pgMar w:header="0" w:footer="985" w:top="1320" w:bottom="280" w:left="1300" w:right="1300"/>
          <w:pgSz w:w="11920" w:h="16840"/>
        </w:sectPr>
      </w:pPr>
      <w:r>
        <w:rPr>
          <w:rFonts w:cs="Courier New" w:hAnsi="Courier New" w:eastAsia="Courier New" w:ascii="Courier New"/>
          <w:w w:val="99"/>
          <w:position w:val="5"/>
          <w:sz w:val="13"/>
          <w:szCs w:val="13"/>
        </w:rPr>
        <w:t>4</w:t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7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/ec.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cto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/to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En outre, en vertu des règles de l’UE en matière de TVA, les États membres ont la possibilité</w:t>
      </w:r>
      <w:r>
        <w:rPr>
          <w:rFonts w:cs="Times New Roman" w:hAnsi="Times New Roman" w:eastAsia="Times New Roman" w:ascii="Times New Roman"/>
          <w:sz w:val="24"/>
          <w:szCs w:val="24"/>
        </w:rPr>
        <w:t> d’appliquer des taux réduits (pas moins de 5 </w:t>
      </w:r>
      <w:r>
        <w:rPr>
          <w:rFonts w:cs="Times New Roman" w:hAnsi="Times New Roman" w:eastAsia="Times New Roman" w:ascii="Times New Roman"/>
          <w:sz w:val="24"/>
          <w:szCs w:val="24"/>
        </w:rPr>
        <w:t>%) à des biens ou services spécifiques, y compris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certains services d’hôtellerie et autres servic</w:t>
      </w:r>
      <w:r>
        <w:rPr>
          <w:rFonts w:cs="Times New Roman" w:hAnsi="Times New Roman" w:eastAsia="Times New Roman" w:ascii="Times New Roman"/>
          <w:sz w:val="24"/>
          <w:szCs w:val="24"/>
        </w:rPr>
        <w:t>es liés au tourisme. Ainsi, les États membres sont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déjà  en  mesure  d’appliquer  ce  qu’ils  considèrent  comme  étant  les  taux  de  TVA  les  plus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appropriés  en  vue  de  soutenir  le  secteur  du  tourisme.  En  effet,  certains  États  membres  ont</w:t>
      </w:r>
      <w:r>
        <w:rPr>
          <w:rFonts w:cs="Times New Roman" w:hAnsi="Times New Roman" w:eastAsia="Times New Roman" w:ascii="Times New Roman"/>
          <w:sz w:val="24"/>
          <w:szCs w:val="24"/>
        </w:rPr>
        <w:t> décidé de réduire le taux de </w:t>
      </w:r>
      <w:r>
        <w:rPr>
          <w:rFonts w:cs="Times New Roman" w:hAnsi="Times New Roman" w:eastAsia="Times New Roman" w:ascii="Times New Roman"/>
          <w:sz w:val="24"/>
          <w:szCs w:val="24"/>
        </w:rPr>
        <w:t>TVA pour ces services pendant une période limitée, afin d’aider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les entreprises à se refaire une santé financière après une année de recettes très faibles.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2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13) à mettre en œuvre l’action préparatoire déjà adoptée intitulée «Mécanisme européen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gestion de crise pour le tourisme», en collaboration avec le Parlement, afin de se préparer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aux crises futures en aidant les destinations touristiques à établir des plans de prévention 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crises, des mesures d’urgence et des plans et actions de préparation;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Dans  l</w:t>
      </w:r>
      <w:r>
        <w:rPr>
          <w:rFonts w:cs="Times New Roman" w:hAnsi="Times New Roman" w:eastAsia="Times New Roman" w:ascii="Times New Roman"/>
          <w:sz w:val="24"/>
          <w:szCs w:val="24"/>
        </w:rPr>
        <w:t>’évaluation  de  faisabilité  initiale  communiquée  au  Parlement  au  printemps  dernier,</w:t>
      </w:r>
      <w:r>
        <w:rPr>
          <w:rFonts w:cs="Times New Roman" w:hAnsi="Times New Roman" w:eastAsia="Times New Roman" w:ascii="Times New Roman"/>
          <w:sz w:val="24"/>
          <w:szCs w:val="24"/>
        </w:rPr>
        <w:t> déjà, la Commission n’avait pas jugé possible d’établir un mécanisme de gestion de crise doté</w:t>
      </w:r>
      <w:r>
        <w:rPr>
          <w:rFonts w:cs="Times New Roman" w:hAnsi="Times New Roman" w:eastAsia="Times New Roman" w:ascii="Times New Roman"/>
          <w:sz w:val="24"/>
          <w:szCs w:val="24"/>
        </w:rPr>
        <w:t> d’une action de préparation. Des structures horizontales de gestion de crise so</w:t>
      </w:r>
      <w:r>
        <w:rPr>
          <w:rFonts w:cs="Times New Roman" w:hAnsi="Times New Roman" w:eastAsia="Times New Roman" w:ascii="Times New Roman"/>
          <w:sz w:val="24"/>
          <w:szCs w:val="24"/>
        </w:rPr>
        <w:t>nt déjà en place,</w:t>
      </w:r>
      <w:r>
        <w:rPr>
          <w:rFonts w:cs="Times New Roman" w:hAnsi="Times New Roman" w:eastAsia="Times New Roman" w:ascii="Times New Roman"/>
          <w:sz w:val="24"/>
          <w:szCs w:val="24"/>
        </w:rPr>
        <w:t> comme le dispositif intégré pour une réaction au niveau politique dans les situations de crise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(IPCR) au niveau de l’UE. Par conséquent, la Commission a proposé d’allouer le budget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cette action de préparation au programme  en  faveur du  marché unique,  où les fonds seront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utilisés  pour  soutenir  la  résilience  de  l’écosystème  touristique  de  l’UE.  La  Commission  a</w:t>
      </w:r>
      <w:r>
        <w:rPr>
          <w:rFonts w:cs="Times New Roman" w:hAnsi="Times New Roman" w:eastAsia="Times New Roman" w:ascii="Times New Roman"/>
          <w:sz w:val="24"/>
          <w:szCs w:val="24"/>
        </w:rPr>
        <w:t> l’intention de cartographier la gouvernance du tourisme en réponse à la pandémie de COVID</w:t>
      </w:r>
      <w:r>
        <w:rPr>
          <w:rFonts w:cs="Times New Roman" w:hAnsi="Times New Roman" w:eastAsia="Times New Roman" w:ascii="Times New Roman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19,  afin  de  mettre  en  place  une  plateform</w:t>
      </w:r>
      <w:r>
        <w:rPr>
          <w:rFonts w:cs="Times New Roman" w:hAnsi="Times New Roman" w:eastAsia="Times New Roman" w:ascii="Times New Roman"/>
          <w:sz w:val="24"/>
          <w:szCs w:val="24"/>
        </w:rPr>
        <w:t>e  d’assistance  technique  aux  destinations  pour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renforcer leur gouvernance en matière de préparation et de gestion des crises. Avec une partie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du  budget,  nous  renforcerons  l’aide  aux  PME  du  tourisme,  en  renforçant  leurs  capacités  à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mener à bien la transition écologique et numérique.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14)  à  faire  régulièrement  rapport  au  Parlement  et  à  coopérer  avec  lui  sur  les  travaux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préparatoires et l’état d’avancement des projets pilotes et des actions préparatoires afin que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la commission parlementaire compétente et les députés au Parlement européen qui ont lancé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les projets restent associés au processus;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La Commission fait rapport sur les progrès accomplis dans la mise en place des projets pilotes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et des actions préparatoires, tant par écrit que dans le cadre de l’échange  </w:t>
      </w:r>
      <w:r>
        <w:rPr>
          <w:rFonts w:cs="Times New Roman" w:hAnsi="Times New Roman" w:eastAsia="Times New Roman" w:ascii="Times New Roman"/>
          <w:sz w:val="24"/>
          <w:szCs w:val="24"/>
        </w:rPr>
        <w:t>de vues régulier à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l’invitation du Parlement, en particulier de la commission TRAN.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sz w:val="24"/>
          <w:szCs w:val="24"/>
        </w:rPr>
        <w:t>Sous   le   sous-titre  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Recentrer:  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politique   de   gouvernance   dans   le   cadre   de   l’Union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16" w:right="692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(paragraphes 15 à 23)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15) à établir un nouveau modèle de gouvernance entre les institutions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de l’Union européenne,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en renforçant la structure en matière d’organisation, de finances et de ressources humaines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par  la  création  d’une direction  chargée  expressément  du  tourisme,  dotée  d’un  financement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adéquat, afin d’adopter une approche intégrée et ef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ficace du tourisme, de soutenir la relance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du  tourisme  dans  les  régions  européennes  et  d’aider  les  entreprises  à  mettre  en  œuvre 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mesures nécessaires pour atteindre les objectifs clés en matière de durabilité et d’innovation,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et d’accroître leur compéti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tivité et leur attractivité;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9"/>
      </w:pPr>
      <w:r>
        <w:rPr>
          <w:rFonts w:cs="Times New Roman" w:hAnsi="Times New Roman" w:eastAsia="Times New Roman" w:ascii="Times New Roman"/>
          <w:sz w:val="24"/>
          <w:szCs w:val="24"/>
        </w:rPr>
        <w:t>Le service de la Commission chargé du marché intérieur, de l’industrie, de l’entrepreneuriat et</w:t>
      </w:r>
      <w:r>
        <w:rPr>
          <w:rFonts w:cs="Times New Roman" w:hAnsi="Times New Roman" w:eastAsia="Times New Roman" w:ascii="Times New Roman"/>
          <w:sz w:val="24"/>
          <w:szCs w:val="24"/>
        </w:rPr>
        <w:t> des PME (DG GROW) dispose d’une direction consacrée aux écosystèmes du tourisme et de</w:t>
      </w:r>
      <w:r>
        <w:rPr>
          <w:rFonts w:cs="Times New Roman" w:hAnsi="Times New Roman" w:eastAsia="Times New Roman" w:ascii="Times New Roman"/>
          <w:sz w:val="24"/>
          <w:szCs w:val="24"/>
        </w:rPr>
        <w:t> la proximité. La Commission met en œuvre les politiques de l’UE en synergie et en cohérence</w:t>
      </w:r>
      <w:r>
        <w:rPr>
          <w:rFonts w:cs="Times New Roman" w:hAnsi="Times New Roman" w:eastAsia="Times New Roman" w:ascii="Times New Roman"/>
          <w:sz w:val="24"/>
          <w:szCs w:val="24"/>
        </w:rPr>
        <w:t> avec  ses  services  et  départements.  Elle  soutient  l’idée  d’une  coopération  étroite  entre  les</w:t>
      </w:r>
      <w:r>
        <w:rPr>
          <w:rFonts w:cs="Times New Roman" w:hAnsi="Times New Roman" w:eastAsia="Times New Roman" w:ascii="Times New Roman"/>
          <w:sz w:val="24"/>
          <w:szCs w:val="24"/>
        </w:rPr>
        <w:t> institutions  de  l’UE,  notamment  en  ce  qui  concerne  la  compétitivité  et  la  double  transition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écologique et numérique d</w:t>
      </w:r>
      <w:r>
        <w:rPr>
          <w:rFonts w:cs="Times New Roman" w:hAnsi="Times New Roman" w:eastAsia="Times New Roman" w:ascii="Times New Roman"/>
          <w:sz w:val="24"/>
          <w:szCs w:val="24"/>
        </w:rPr>
        <w:t>e l’écosystème touristique.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3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i/>
          <w:sz w:val="24"/>
          <w:szCs w:val="24"/>
        </w:rPr>
        <w:t>17) une discussion soit lancée lors de la conférence sur l’avenir de l’Europe sur la manière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d’aider le tourisme à devenir une compétence partagée de l’Union plutôt qu’une compétence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5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complémentaire,   comme   c’est   le   cas   actuelleme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nt;   invite   dès   lors   la   Commission   à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commencer  à  tirer  pleinement  parti  des  traités  pour  élaborer  une  politique  européenne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globale du tourisme, en vue de créer une union européenne du tourisme;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La  Commission  s’attend  à  ce  que  la  conférence  sur  l’avenir  de  l’Europe  soit  un  forum</w:t>
      </w:r>
      <w:r>
        <w:rPr>
          <w:rFonts w:cs="Times New Roman" w:hAnsi="Times New Roman" w:eastAsia="Times New Roman" w:ascii="Times New Roman"/>
          <w:sz w:val="24"/>
          <w:szCs w:val="24"/>
        </w:rPr>
        <w:t> important  pour  débattre  de  l’avenir  de  l’économie  européenne,  y  compris  du  tourisme  et</w:t>
      </w:r>
      <w:r>
        <w:rPr>
          <w:rFonts w:cs="Times New Roman" w:hAnsi="Times New Roman" w:eastAsia="Times New Roman" w:ascii="Times New Roman"/>
          <w:sz w:val="24"/>
          <w:szCs w:val="24"/>
        </w:rPr>
        <w:t> d’autres écosystèmes industriels.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19)   à   mettre   en   place   un   mécanisme   européen   de   suivi   de   l’octroi   de   l’aide   aux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microentreprises et aux PME, en me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ttant l’accent sur la liquidité et en garantissant la valeur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ajoutée  de  l’Union  et  la  transparence,  afin  d’accroître  la  capacité  de  ces  entreprises  à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accéder et à utiliser les financements et les instruments financiers de l’Union pour faciliter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modernis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ation  et  la  mise  en  œuvre  de  projets  innovants  et  durables,  en  garantissant 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responsabilité et la simplification administrative;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1432"/>
      </w:pPr>
      <w:r>
        <w:rPr>
          <w:rFonts w:cs="Times New Roman" w:hAnsi="Times New Roman" w:eastAsia="Times New Roman" w:ascii="Times New Roman"/>
          <w:sz w:val="24"/>
          <w:szCs w:val="24"/>
        </w:rPr>
        <w:t>(Voir paragraphe </w:t>
      </w:r>
      <w:r>
        <w:rPr>
          <w:rFonts w:cs="Times New Roman" w:hAnsi="Times New Roman" w:eastAsia="Times New Roman" w:ascii="Times New Roman"/>
          <w:sz w:val="24"/>
          <w:szCs w:val="24"/>
        </w:rPr>
        <w:t>11 sur le «Guide des financements de l’UE pour le tourisme».)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73"/>
      </w:pPr>
      <w:r>
        <w:rPr>
          <w:rFonts w:cs="Times New Roman" w:hAnsi="Times New Roman" w:eastAsia="Times New Roman" w:ascii="Times New Roman"/>
          <w:sz w:val="24"/>
          <w:szCs w:val="24"/>
        </w:rPr>
        <w:t>Avec la stratégie industrielle actualisée de l</w:t>
      </w:r>
      <w:r>
        <w:rPr>
          <w:rFonts w:cs="Times New Roman" w:hAnsi="Times New Roman" w:eastAsia="Times New Roman" w:ascii="Times New Roman"/>
          <w:sz w:val="24"/>
          <w:szCs w:val="24"/>
        </w:rPr>
        <w:t>’UE, la Commission a publié un premier rapport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annuel sur le marché unique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, qui analyse la résilience du marché unique. Il examine les effets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de la pandémie et des mesures de politique publique visant à les contrer sur le fonctionnement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du marché unique et sur les entreprises européennes, y compris les PME. Le rapport examine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également en détail l’incidence de la crise dans  quatorze écosystèmes industriels.  Il montre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que la crise a eu des effets inégaux selon ces écosystèmes: le tourisme, la mobilité, le textile et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les écosystèmes culturels et créatifs ont souffert le plus.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20)  à  présenter  un  plan  d’action  en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2021  et  à  élaborer,  en  temps  utile,  une  stratégie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l’Union pour un tourisme durable et stratégique, alignée sur la stratégie numérique, le pacte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vert  et  les  objectifs  de  développement  durable  des  Nations  unies,  en  remplacement  de 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stratégie de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2010, afin de maintenir l’Europe à son rang de première destination touristique;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rappelle   que,   lors   de   l’élaboration   de   cette   stratégie,   il   convient   de   consul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ter  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professionnels du secteur du tourisme;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z w:val="24"/>
          <w:szCs w:val="24"/>
        </w:rPr>
        <w:t>Dans  la  mise  à  jour  de  la  nouvelle  stratégie  industrielle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,  la  Commission  a  annoncé  la  co-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création,  en  étroite  collaboration  avec  l’industrie,  les  autorités  publiques,  les  partenaires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sociaux  et  d’autres  parties  prenantes,  d’un  parcours  de  transition  pour  l’écosystème  du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tourisme. Les services de la Commission ont préparé un document de travail des services de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la Commission afin d’esquisser des scénarios possibles pour un parcours de transition vers un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écosystème  touristique  plus  résilient,  durable  et  innovant.  Le  document  a  été  publié  et  une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consultation  ciblée  des  parties  prenantes  a  été  lancée  le  21 juin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.  La  Commission  travaille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également avec les États membres à l’élaboration d’un agenda pour le tourisme eu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ropéen.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22) à mettre à jour le guide d’aide au financement de l’Union et à y inclure un lien vers un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point   de   contact   national   qui   facilite   l’accès   des   microentreprises   et   des   PME   aux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informations,  au  moyen  d’un  guichet  unique  ou  d’un  outil  en  ligne  avec  l’aide  et 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orientations  des  États  membres,  le  cas  échéant;  à  informer  les  entreprises  et  les  PME  du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secteur du tourisme de l’existence de ce guide;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30"/>
      </w:pPr>
      <w:r>
        <w:rPr>
          <w:rFonts w:cs="Times New Roman" w:hAnsi="Times New Roman" w:eastAsia="Times New Roman" w:ascii="Times New Roman"/>
          <w:sz w:val="24"/>
          <w:szCs w:val="24"/>
        </w:rPr>
        <w:t>(Voir paragraphe 11)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Afin  de  faciliter  l’accès  aux  financements  de  l’Union  pour  le  tourisme,  le  «Guide  de</w:t>
      </w:r>
      <w:r>
        <w:rPr>
          <w:rFonts w:cs="Times New Roman" w:hAnsi="Times New Roman" w:eastAsia="Times New Roman" w:ascii="Times New Roman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90"/>
      </w:pPr>
      <w:r>
        <w:pict>
          <v:group style="position:absolute;margin-left:70.824pt;margin-top:27.8231pt;width:144.02pt;height:0pt;mso-position-horizontal-relative:page;mso-position-vertical-relative:paragraph;z-index:-472" coordorigin="1416,556" coordsize="2880,0">
            <v:shape style="position:absolute;left:1416;top:556;width:2880;height:0" coordorigin="1416,556" coordsize="2880,0" path="m1416,556l4297,556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financements de l’UE pour le tourisme» en ligne a été lancé en mai. Ce guide en ligne met en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16"/>
      </w:pPr>
      <w:r>
        <w:rPr>
          <w:rFonts w:cs="Courier New" w:hAnsi="Courier New" w:eastAsia="Courier New" w:ascii="Courier New"/>
          <w:w w:val="99"/>
          <w:position w:val="5"/>
          <w:sz w:val="13"/>
          <w:szCs w:val="13"/>
        </w:rPr>
        <w:t>5</w:t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8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/ec.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ites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les/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al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116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9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/ec.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ites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les/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icatio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ial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ate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y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ate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6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Document: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10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//ec.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csro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/4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5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9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7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7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74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Enquête: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hyperlink r:id="rId11"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</w:hyperlink>
      <w:hyperlink r:id="rId12"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:/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</w:hyperlink>
      <w:hyperlink r:id="rId13"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ec</w:t>
        </w:r>
      </w:hyperlink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.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eu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r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o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p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a.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eu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/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eu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s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u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r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v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e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y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/r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u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n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n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er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/T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o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u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r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is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m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T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r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an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s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itio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n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P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ath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w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a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  <w:u w:val="single" w:color="0000FF"/>
        </w:rPr>
        <w:t>y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évidence le large éventail de financements de l’UE inclus dans le nouveau budget, le cadre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financier  pluriannuel 2021-</w:t>
      </w:r>
      <w:r>
        <w:rPr>
          <w:rFonts w:cs="Times New Roman" w:hAnsi="Times New Roman" w:eastAsia="Times New Roman" w:ascii="Times New Roman"/>
          <w:sz w:val="24"/>
          <w:szCs w:val="24"/>
        </w:rPr>
        <w:t>2027  et  NextGenerationEU,  sur  la  voie  d’une  </w:t>
      </w:r>
      <w:r>
        <w:rPr>
          <w:rFonts w:cs="Times New Roman" w:hAnsi="Times New Roman" w:eastAsia="Times New Roman" w:ascii="Times New Roman"/>
          <w:sz w:val="24"/>
          <w:szCs w:val="24"/>
        </w:rPr>
        <w:t>UE  plus  durable,</w:t>
      </w:r>
      <w:r>
        <w:rPr>
          <w:rFonts w:cs="Times New Roman" w:hAnsi="Times New Roman" w:eastAsia="Times New Roman" w:ascii="Times New Roman"/>
          <w:sz w:val="24"/>
          <w:szCs w:val="24"/>
        </w:rPr>
        <w:t> plus  inclusive  et  plus  numérique.  Le  guide  aidera  les  entreprises  touristiques  à  trouver  le</w:t>
      </w:r>
      <w:r>
        <w:rPr>
          <w:rFonts w:cs="Times New Roman" w:hAnsi="Times New Roman" w:eastAsia="Times New Roman" w:ascii="Times New Roman"/>
          <w:sz w:val="24"/>
          <w:szCs w:val="24"/>
        </w:rPr>
        <w:t> financement approprié en fonction de leurs besoins. Il contient des hyperliens vers les sites</w:t>
      </w:r>
      <w:r>
        <w:rPr>
          <w:rFonts w:cs="Times New Roman" w:hAnsi="Times New Roman" w:eastAsia="Times New Roman" w:ascii="Times New Roman"/>
          <w:sz w:val="24"/>
          <w:szCs w:val="24"/>
        </w:rPr>
        <w:t> web des fonds européens concernés et vers les appels à propositions, ainsi que des exemples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concrets de projets financés par les précédentes périodes de programmation de l’UE, à titre</w:t>
      </w:r>
      <w:r>
        <w:rPr>
          <w:rFonts w:cs="Times New Roman" w:hAnsi="Times New Roman" w:eastAsia="Times New Roman" w:ascii="Times New Roman"/>
          <w:sz w:val="24"/>
          <w:szCs w:val="24"/>
        </w:rPr>
        <w:t> d’inspiration.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0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23)  à  créer  une  agence  européenne  du  tourisme  dans  le  prochain  CFP  et  à  élaborer  une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solution à court terme 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 créant un département  du tourisme au sein de l’une des agences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exécutives   existantes,   en   particulier   l’Agence   exécutive   pour   les   petites   et   moyennes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entreprises   (EASME)   ou   la   future   Agence   exécutive   européenne   pour   la   santé   et   le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numérique;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Le cadre financier pluriannuel (CFP) pour 2021-2027 a été adopté en décembre dernier. Il est</w:t>
      </w:r>
      <w:r>
        <w:rPr>
          <w:rFonts w:cs="Times New Roman" w:hAnsi="Times New Roman" w:eastAsia="Times New Roman" w:ascii="Times New Roman"/>
          <w:sz w:val="24"/>
          <w:szCs w:val="24"/>
        </w:rPr>
        <w:t> donc trop tôt pour discuter de ce qui devrait être inclus dans le prochain CFP. Cependant, la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Commission s’engage pleinement à soutenir l’écosystème du tourisme à court, moyen </w:t>
      </w:r>
      <w:r>
        <w:rPr>
          <w:rFonts w:cs="Times New Roman" w:hAnsi="Times New Roman" w:eastAsia="Times New Roman" w:ascii="Times New Roman"/>
          <w:sz w:val="24"/>
          <w:szCs w:val="24"/>
        </w:rPr>
        <w:t>et long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terme. L’année dernière déjà, dans la communication «Tourisme et transport en </w:t>
      </w:r>
      <w:r>
        <w:rPr>
          <w:rFonts w:cs="Times New Roman" w:hAnsi="Times New Roman" w:eastAsia="Times New Roman" w:ascii="Times New Roman"/>
          <w:sz w:val="24"/>
          <w:szCs w:val="24"/>
        </w:rPr>
        <w:t>2020 et au-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delà», la Commission a annoncé son intention de collaborer avec les institutions de l’UE, 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professionnels du secteur, les régions et les villes et les parties concernées en vue de la mise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en  place  d’un  écosystème  touristique  européen  durable,  innovant  et  résilient  («Programme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européen pour le tourisme 2050»). Dans la communication récemment adoptée «Mise à jour</w:t>
      </w:r>
      <w:r>
        <w:rPr>
          <w:rFonts w:cs="Times New Roman" w:hAnsi="Times New Roman" w:eastAsia="Times New Roman" w:ascii="Times New Roman"/>
          <w:sz w:val="24"/>
          <w:szCs w:val="24"/>
        </w:rPr>
        <w:t> de  la  nouvelle  stratégie  industrielle  de 2020»,  la  Commission  a  annoncé  la  co-création,  en</w:t>
      </w:r>
      <w:r>
        <w:rPr>
          <w:rFonts w:cs="Times New Roman" w:hAnsi="Times New Roman" w:eastAsia="Times New Roman" w:ascii="Times New Roman"/>
          <w:sz w:val="24"/>
          <w:szCs w:val="24"/>
        </w:rPr>
        <w:t> partenariat  étroit  avec  les  professionnels  du  secteur,  les  autorités  publiques,  les  partenaires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sociaux  et  d’autres  parties  prenantes,  d’un  parcours  de  transition  pour  l’écosystème  du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tourisme.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Actuellement,  l’Eismea  (Agence  exécutive  pour  le  Conseil  européen  de  l’innovation  et  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PME) (anciennement EASME </w:t>
      </w:r>
      <w:r>
        <w:rPr>
          <w:rFonts w:cs="Times New Roman" w:hAnsi="Times New Roman" w:eastAsia="Times New Roman" w:ascii="Times New Roman"/>
          <w:sz w:val="24"/>
          <w:szCs w:val="24"/>
        </w:rPr>
        <w:t>— </w:t>
      </w:r>
      <w:r>
        <w:rPr>
          <w:rFonts w:cs="Times New Roman" w:hAnsi="Times New Roman" w:eastAsia="Times New Roman" w:ascii="Times New Roman"/>
          <w:sz w:val="24"/>
          <w:szCs w:val="24"/>
        </w:rPr>
        <w:t>Agence exécutive pour les petites et moyennes entreprises)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met en œuvre un certain nombre de projets de soutien aux PME du tourisme dans le cadre de</w:t>
      </w:r>
      <w:r>
        <w:rPr>
          <w:rFonts w:cs="Times New Roman" w:hAnsi="Times New Roman" w:eastAsia="Times New Roman" w:ascii="Times New Roman"/>
          <w:sz w:val="24"/>
          <w:szCs w:val="24"/>
        </w:rPr>
        <w:t> l’ancien programme COSME (le programme de l’UE pour la compétitivité des entreprises et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pour les petites et moyennes entreprises) et continuera à le faire dans le cadre des programmes</w:t>
      </w:r>
      <w:r>
        <w:rPr>
          <w:rFonts w:cs="Times New Roman" w:hAnsi="Times New Roman" w:eastAsia="Times New Roman" w:ascii="Times New Roman"/>
          <w:sz w:val="24"/>
          <w:szCs w:val="24"/>
        </w:rPr>
        <w:t> du marché unique, en se concentrant en particulier sur leur transition verte et numérique ainsi</w:t>
      </w:r>
      <w:r>
        <w:rPr>
          <w:rFonts w:cs="Times New Roman" w:hAnsi="Times New Roman" w:eastAsia="Times New Roman" w:ascii="Times New Roman"/>
          <w:sz w:val="24"/>
          <w:szCs w:val="24"/>
        </w:rPr>
        <w:t> que sur leur résilience à long terme.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En  outre,  la  Commission  rappelle  qu’une  grande  partie  du  soutien  budgétaire  de  l’UE  au</w:t>
      </w:r>
      <w:r>
        <w:rPr>
          <w:rFonts w:cs="Times New Roman" w:hAnsi="Times New Roman" w:eastAsia="Times New Roman" w:ascii="Times New Roman"/>
          <w:sz w:val="24"/>
          <w:szCs w:val="24"/>
        </w:rPr>
        <w:t> tourisme  s’effectue  au  moyen  de  plans  nationaux  financés  par  les  Fonds  structurels  et</w:t>
      </w:r>
      <w:r>
        <w:rPr>
          <w:rFonts w:cs="Times New Roman" w:hAnsi="Times New Roman" w:eastAsia="Times New Roman" w:ascii="Times New Roman"/>
          <w:sz w:val="24"/>
          <w:szCs w:val="24"/>
        </w:rPr>
        <w:t> d’investissement </w:t>
      </w:r>
      <w:r>
        <w:rPr>
          <w:rFonts w:cs="Times New Roman" w:hAnsi="Times New Roman" w:eastAsia="Times New Roman" w:ascii="Times New Roman"/>
          <w:sz w:val="24"/>
          <w:szCs w:val="24"/>
        </w:rPr>
        <w:t>(2014-2020) et les fonds de la politique de cohésion (2021-2027). Ces fonds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sont  en  gestion  partagée  et  ne  sont  donc  pas  gérés  par  l’agence  exécutive.  Parmi  les</w:t>
      </w:r>
      <w:r>
        <w:rPr>
          <w:rFonts w:cs="Times New Roman" w:hAnsi="Times New Roman" w:eastAsia="Times New Roman" w:ascii="Times New Roman"/>
          <w:sz w:val="24"/>
          <w:szCs w:val="24"/>
        </w:rPr>
        <w:t> programmes de dépenses en gestion directe, nous n’avons aucun programme de dépenses axé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sur le tourisme et i</w:t>
      </w:r>
      <w:r>
        <w:rPr>
          <w:rFonts w:cs="Times New Roman" w:hAnsi="Times New Roman" w:eastAsia="Times New Roman" w:ascii="Times New Roman"/>
          <w:sz w:val="24"/>
          <w:szCs w:val="24"/>
        </w:rPr>
        <w:t>l n’y a donc pas de budget suffisant à gérer pour justifier la création d’une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agence exécutive consacrée au tourisme.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9"/>
      </w:pPr>
      <w:r>
        <w:rPr>
          <w:rFonts w:cs="Times New Roman" w:hAnsi="Times New Roman" w:eastAsia="Times New Roman" w:ascii="Times New Roman"/>
          <w:sz w:val="24"/>
          <w:szCs w:val="24"/>
        </w:rPr>
        <w:t>Sous le sous-titre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Renforcer: transition vers un tourisme durable, responsable et intelligent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16" w:right="692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(paragraphes 24 à 54)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25) à élaborer rapidement une feuille de route pour le tourisme durable qui comprenne 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mesures innovantes visant à réduire l’empreinte climatique et environnementale du secteur en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développant  des  formes  de  tourisme  plus  durables,  en  diversifiant  l’offre,  en  stimulant 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nouvelles initiatives de coopération et en mettant au point de nouveaux services numériques;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Voir paragraphe 20: la Commission travaille en collaboration étroite avec les États membres à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l’élaboration d’un programme européen pour le tourisme. Dans cet e</w:t>
      </w:r>
      <w:r>
        <w:rPr>
          <w:rFonts w:cs="Times New Roman" w:hAnsi="Times New Roman" w:eastAsia="Times New Roman" w:ascii="Times New Roman"/>
          <w:sz w:val="24"/>
          <w:szCs w:val="24"/>
        </w:rPr>
        <w:t>sprit, les conclusions du</w:t>
      </w:r>
      <w:r>
        <w:rPr>
          <w:rFonts w:cs="Times New Roman" w:hAnsi="Times New Roman" w:eastAsia="Times New Roman" w:ascii="Times New Roman"/>
          <w:sz w:val="24"/>
          <w:szCs w:val="24"/>
        </w:rPr>
        <w:t> Conseil sur le tourisme ont été adoptées par le Conseil le 27 mai. Comme annoncé dans la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9"/>
      </w:pPr>
      <w:r>
        <w:rPr>
          <w:rFonts w:cs="Times New Roman" w:hAnsi="Times New Roman" w:eastAsia="Times New Roman" w:ascii="Times New Roman"/>
          <w:sz w:val="24"/>
          <w:szCs w:val="24"/>
        </w:rPr>
        <w:t>mise  à  jour  de  la  stratégie  industrielle  de  l’UE,  le  processus  de  création  conjointe  d’un</w:t>
      </w:r>
      <w:r>
        <w:rPr>
          <w:rFonts w:cs="Times New Roman" w:hAnsi="Times New Roman" w:eastAsia="Times New Roman" w:ascii="Times New Roman"/>
          <w:sz w:val="24"/>
          <w:szCs w:val="24"/>
        </w:rPr>
        <w:t> parcours de transition pour l’écosystème du tourism</w:t>
      </w:r>
      <w:r>
        <w:rPr>
          <w:rFonts w:cs="Times New Roman" w:hAnsi="Times New Roman" w:eastAsia="Times New Roman" w:ascii="Times New Roman"/>
          <w:sz w:val="24"/>
          <w:szCs w:val="24"/>
        </w:rPr>
        <w:t>e a été lancé le 21 juin et sera achevé en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collaboration avec l’industrie, les pouvoirs publics, les partenaires sociaux et d’autres parties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prenantes.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28) à rendre opérationnel le système européen d’indicateurs du tourisme (ETIS), à le doter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d’une  structure  de  gouvernance  permanente  et  à  le  mettre  en  œuvre  sur  les  lieux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destination touristique, avec des indicateurs statiques et des données en temps réel pour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gestion et l’évaluation des performances, en partenariat avec les régions;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La Commission a entamé des travaux en collaboration avec le Centre commun de recherche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sur le tableau de bord du développement touristique, un outil d’intégration comportant quatre</w:t>
      </w:r>
      <w:r>
        <w:rPr>
          <w:rFonts w:cs="Times New Roman" w:hAnsi="Times New Roman" w:eastAsia="Times New Roman" w:ascii="Times New Roman"/>
          <w:sz w:val="24"/>
          <w:szCs w:val="24"/>
        </w:rPr>
        <w:t> piliers principaux, dont l’un est consacré à la durabilité. Ce pilier consacré à la durabili</w:t>
      </w:r>
      <w:r>
        <w:rPr>
          <w:rFonts w:cs="Times New Roman" w:hAnsi="Times New Roman" w:eastAsia="Times New Roman" w:ascii="Times New Roman"/>
          <w:sz w:val="24"/>
          <w:szCs w:val="24"/>
        </w:rPr>
        <w:t>té sera</w:t>
      </w:r>
      <w:r>
        <w:rPr>
          <w:rFonts w:cs="Times New Roman" w:hAnsi="Times New Roman" w:eastAsia="Times New Roman" w:ascii="Times New Roman"/>
          <w:sz w:val="24"/>
          <w:szCs w:val="24"/>
        </w:rPr>
        <w:t> alimenté  par  des  repères  comparables,  tant  statiques  que  dynamiques.  Ces  repères  pour  les</w:t>
      </w:r>
      <w:r>
        <w:rPr>
          <w:rFonts w:cs="Times New Roman" w:hAnsi="Times New Roman" w:eastAsia="Times New Roman" w:ascii="Times New Roman"/>
          <w:sz w:val="24"/>
          <w:szCs w:val="24"/>
        </w:rPr>
        <w:t> indicateurs   clés   de   performance   (ICP)   en   matière   de   durabilité   sont   fondés   sur   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enseignements  tirés  d’ETIS  et  sur  les  nouvelles  possibilités  offertes  par  l</w:t>
      </w:r>
      <w:r>
        <w:rPr>
          <w:rFonts w:cs="Times New Roman" w:hAnsi="Times New Roman" w:eastAsia="Times New Roman" w:ascii="Times New Roman"/>
          <w:sz w:val="24"/>
          <w:szCs w:val="24"/>
        </w:rPr>
        <w:t>es  mégadonnées.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L’objectif est de fournir une solution de données dynamiques pour les besoins d’aujourd’hui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afin de soutenir le développement du tourisme vers des objectifs écologiques, numériques et</w:t>
      </w:r>
      <w:r>
        <w:rPr>
          <w:rFonts w:cs="Times New Roman" w:hAnsi="Times New Roman" w:eastAsia="Times New Roman" w:ascii="Times New Roman"/>
          <w:sz w:val="24"/>
          <w:szCs w:val="24"/>
        </w:rPr>
        <w:t> de résilience socio-économique.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29)  à  examiner  les  obsta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cles  à  l’obtention  du  label  écologique  et  à  étendre  son  champ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d’application  à  d’autres  services  touristiques,  en  complément  du  système  de  management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environnemental et d’audit de l’Union (EMAS) pour le tourisme, et à établir des mécanismes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pour  soutenir  ces  systèmes  de  certification  et  valoriser  les  opérateurs  touristiques  qui  ont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obtenu ces systèmes;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z w:val="24"/>
          <w:szCs w:val="24"/>
        </w:rPr>
        <w:t>La  Commission  prépare  une  campagne  de  communication  sur  le  label  écologique  de  l’UE</w:t>
      </w:r>
      <w:r>
        <w:rPr>
          <w:rFonts w:cs="Times New Roman" w:hAnsi="Times New Roman" w:eastAsia="Times New Roman" w:ascii="Times New Roman"/>
          <w:sz w:val="24"/>
          <w:szCs w:val="24"/>
        </w:rPr>
        <w:t> pour  l’hébergement  touristique  et  travaille  déjà  avec  plusieurs  associatio</w:t>
      </w:r>
      <w:r>
        <w:rPr>
          <w:rFonts w:cs="Times New Roman" w:hAnsi="Times New Roman" w:eastAsia="Times New Roman" w:ascii="Times New Roman"/>
          <w:sz w:val="24"/>
          <w:szCs w:val="24"/>
        </w:rPr>
        <w:t>ns  de  tourisme,</w:t>
      </w:r>
      <w:r>
        <w:rPr>
          <w:rFonts w:cs="Times New Roman" w:hAnsi="Times New Roman" w:eastAsia="Times New Roman" w:ascii="Times New Roman"/>
          <w:sz w:val="24"/>
          <w:szCs w:val="24"/>
        </w:rPr>
        <w:t> opérateurs touristiques et plateformes en ligne pour accroître la diffusion du label écologique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 l’UE  pour  l’hébergement  touristique,  la  sensibilisation  à  celui</w:t>
      </w:r>
      <w:r>
        <w:rPr>
          <w:rFonts w:cs="Times New Roman" w:hAnsi="Times New Roman" w:eastAsia="Times New Roman" w:ascii="Times New Roman"/>
          <w:sz w:val="24"/>
          <w:szCs w:val="24"/>
        </w:rPr>
        <w:t>-ci  et  sa  visibilité,  les</w:t>
      </w:r>
      <w:r>
        <w:rPr>
          <w:rFonts w:cs="Times New Roman" w:hAnsi="Times New Roman" w:eastAsia="Times New Roman" w:ascii="Times New Roman"/>
          <w:sz w:val="24"/>
          <w:szCs w:val="24"/>
        </w:rPr>
        <w:t> obstacles au renforcement de sa diffusion ayant été identifiés, notamment le manque de retour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sur l’investissement pour obtenir le label.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Un  atelier  européen  sur  le  label  écologique  de  l’UE  pour  l’hébergement  touristique  a  été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organisé  le  21 janvier.  Un  groupe  de  travail  consacré  à  cette  thématique  est  en  cours 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création au sein du comité de l’Union européenne pour le label écologique.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La Commission travaille avec ses services afin de promouvoir les hébergements touristiques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porteurs du label écologique de l’UE auprès de son personnel en mission et des par</w:t>
      </w:r>
      <w:r>
        <w:rPr>
          <w:rFonts w:cs="Times New Roman" w:hAnsi="Times New Roman" w:eastAsia="Times New Roman" w:ascii="Times New Roman"/>
          <w:sz w:val="24"/>
          <w:szCs w:val="24"/>
        </w:rPr>
        <w:t>ticipants à</w:t>
      </w:r>
      <w:r>
        <w:rPr>
          <w:rFonts w:cs="Times New Roman" w:hAnsi="Times New Roman" w:eastAsia="Times New Roman" w:ascii="Times New Roman"/>
          <w:sz w:val="24"/>
          <w:szCs w:val="24"/>
        </w:rPr>
        <w:t> des  réunions  à  Bruxelles,  tout  en  collaborant  avec  les  associations  concernées  en  Belgique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pour améliorer l’offre.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4"/>
      </w:pPr>
      <w:r>
        <w:rPr>
          <w:rFonts w:cs="Times New Roman" w:hAnsi="Times New Roman" w:eastAsia="Times New Roman" w:ascii="Times New Roman"/>
          <w:sz w:val="24"/>
          <w:szCs w:val="24"/>
        </w:rPr>
        <w:t>La  possibilité  d’étendre  le  champ  d’application  des  critères  actuels  sera  évaluée  lors  de  la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2834"/>
      </w:pPr>
      <w:r>
        <w:rPr>
          <w:rFonts w:cs="Times New Roman" w:hAnsi="Times New Roman" w:eastAsia="Times New Roman" w:ascii="Times New Roman"/>
          <w:sz w:val="24"/>
          <w:szCs w:val="24"/>
        </w:rPr>
        <w:t>révision des critères, qui devrait commencer fin 2022/début 2023.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31) la création du groupe «Durabilité du tourisme» et demande au groupe de reprendre ses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travaux et de réviser la charte européenne pour un tourisme durable et responsable de 2012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afin  d’encourager  la  participation  et  la  mise  en  œuvre  des  bonnes  pratiques  aux  niveaux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local, régional et national;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70"/>
      </w:pPr>
      <w:r>
        <w:rPr>
          <w:rFonts w:cs="Times New Roman" w:hAnsi="Times New Roman" w:eastAsia="Times New Roman" w:ascii="Times New Roman"/>
          <w:sz w:val="24"/>
          <w:szCs w:val="24"/>
        </w:rPr>
        <w:t>(Voir paragraphe 20.)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i/>
          <w:sz w:val="24"/>
          <w:szCs w:val="24"/>
        </w:rPr>
        <w:t>33) demande à Eurostat d’établir un cadre de référence pour la collecte de données relatives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à  la  durabilité,  au  surtourisme,  au  sous-tourisme  et  aux  critères  relatifs  aux  conditions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travail, et demande que le règlement (UE) nº 692/2011 soit mis à jour;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Fin 2020, Eurostat a lancé </w:t>
      </w:r>
      <w:r>
        <w:rPr>
          <w:rFonts w:cs="Times New Roman" w:hAnsi="Times New Roman" w:eastAsia="Times New Roman" w:ascii="Times New Roman"/>
          <w:sz w:val="24"/>
          <w:szCs w:val="24"/>
        </w:rPr>
        <w:t>— </w:t>
      </w:r>
      <w:r>
        <w:rPr>
          <w:rFonts w:cs="Times New Roman" w:hAnsi="Times New Roman" w:eastAsia="Times New Roman" w:ascii="Times New Roman"/>
          <w:sz w:val="24"/>
          <w:szCs w:val="24"/>
        </w:rPr>
        <w:t>en étroite collaboration avec les autorités statistiques des États</w:t>
      </w:r>
      <w:r>
        <w:rPr>
          <w:rFonts w:cs="Times New Roman" w:hAnsi="Times New Roman" w:eastAsia="Times New Roman" w:ascii="Times New Roman"/>
          <w:sz w:val="24"/>
          <w:szCs w:val="24"/>
        </w:rPr>
        <w:t> membres </w:t>
      </w:r>
      <w:r>
        <w:rPr>
          <w:rFonts w:cs="Times New Roman" w:hAnsi="Times New Roman" w:eastAsia="Times New Roman" w:ascii="Times New Roman"/>
          <w:sz w:val="24"/>
          <w:szCs w:val="24"/>
        </w:rPr>
        <w:t>— </w:t>
      </w:r>
      <w:r>
        <w:rPr>
          <w:rFonts w:cs="Times New Roman" w:hAnsi="Times New Roman" w:eastAsia="Times New Roman" w:ascii="Times New Roman"/>
          <w:sz w:val="24"/>
          <w:szCs w:val="24"/>
        </w:rPr>
        <w:t>un  processus  visant  à  évaluer  la  pertinence  du  cadre  juridique  actuel  des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statistiques  européennes  sur  le  tourisme,  en  vue  de  l’actualiser  et  de  le  moderniser.  Ce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processus  peut  également  aborder  les  aspects  liés  à  la  mesure  de  la  durabilité  du  tourisme.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Eurostat participe activement au groupe d’experts de l’O</w:t>
      </w:r>
      <w:r>
        <w:rPr>
          <w:rFonts w:cs="Times New Roman" w:hAnsi="Times New Roman" w:eastAsia="Times New Roman" w:ascii="Times New Roman"/>
          <w:sz w:val="24"/>
          <w:szCs w:val="24"/>
        </w:rPr>
        <w:t>rganisation mondiale du tourisme des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Nations unies chargé d’établir un cadre statistique pour mesurer la durabilité du tourisme (SF</w:t>
      </w:r>
      <w:r>
        <w:rPr>
          <w:rFonts w:cs="Times New Roman" w:hAnsi="Times New Roman" w:eastAsia="Times New Roman" w:ascii="Times New Roman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z w:val="24"/>
          <w:szCs w:val="24"/>
        </w:rPr>
        <w:t> MST). Ces travaux sont en cours. En outre, Eurostat assure la cohérence des mesures de la</w:t>
      </w:r>
      <w:r>
        <w:rPr>
          <w:rFonts w:cs="Times New Roman" w:hAnsi="Times New Roman" w:eastAsia="Times New Roman" w:ascii="Times New Roman"/>
          <w:sz w:val="24"/>
          <w:szCs w:val="24"/>
        </w:rPr>
        <w:t> durabilité   du   tourisme   avec   la   norme   statistique   Système   des   comptes   intégrés  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l’environnement  et  de  l’économie  (SCIEE),  que  l’UE  et  le  reste  du  monde  utilisent  pour</w:t>
      </w:r>
      <w:r>
        <w:rPr>
          <w:rFonts w:cs="Times New Roman" w:hAnsi="Times New Roman" w:eastAsia="Times New Roman" w:ascii="Times New Roman"/>
          <w:sz w:val="24"/>
          <w:szCs w:val="24"/>
        </w:rPr>
        <w:t> produire des comptes statistiques pour l’eau, l’air et l’énergie.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34) à intégrer le tourisme dans le cadre de la gouvernance des espaces communs de données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et à mieux réglementer l’activité des plateformes de réservation en ligne et des intermédiaires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de voyages en ligne, afin de permettre aux entreprises touristiques de s’engager pleinement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en  faveur  de  l’innovation  et  de  la 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numérisation,  ces  dernières  étant  essentielles  pour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moderniser l’ensemble du secteur et mettre en place de nouveaux services et une offre plus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large et de qualité; à encourager la mise en commun des données pour le tourisme ainsi que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les incubateurs et accélérateurs régionaux pour les entreprises touristiques, en exploitant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recherche et l’innovation pour aider les nombreuses PME du secteur à recueillir, à traiter et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à  utiliser  les  données  qu’elles  produisent  et  leur  permettre  de  profiter  pleinement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’économie des données et de mettre en œuvre des solutions durables;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La numérisation et les technologies axées sur les données sont en train de remodeler la façon</w:t>
      </w:r>
      <w:r>
        <w:rPr>
          <w:rFonts w:cs="Times New Roman" w:hAnsi="Times New Roman" w:eastAsia="Times New Roman" w:ascii="Times New Roman"/>
          <w:sz w:val="24"/>
          <w:szCs w:val="24"/>
        </w:rPr>
        <w:t> dont  nous  produisons,  consommons  et  vivons,  et  les  avantages  qui  en  découlent  profitent</w:t>
      </w:r>
      <w:r>
        <w:rPr>
          <w:rFonts w:cs="Times New Roman" w:hAnsi="Times New Roman" w:eastAsia="Times New Roman" w:ascii="Times New Roman"/>
          <w:sz w:val="24"/>
          <w:szCs w:val="24"/>
        </w:rPr>
        <w:t> également  au  secteur  du  tourisme,  car  les  dernières  technologies  offrent  des  modèles  plus</w:t>
      </w:r>
      <w:r>
        <w:rPr>
          <w:rFonts w:cs="Times New Roman" w:hAnsi="Times New Roman" w:eastAsia="Times New Roman" w:ascii="Times New Roman"/>
          <w:sz w:val="24"/>
          <w:szCs w:val="24"/>
        </w:rPr>
        <w:t> efficaces  et  inclusifs.  Adoptée  en  février 2020,  la  stratégie  pour  les  données  planifie  le</w:t>
      </w:r>
      <w:r>
        <w:rPr>
          <w:rFonts w:cs="Times New Roman" w:hAnsi="Times New Roman" w:eastAsia="Times New Roman" w:ascii="Times New Roman"/>
          <w:sz w:val="24"/>
          <w:szCs w:val="24"/>
        </w:rPr>
        <w:t> déploiement des espaces européens communs de données dans les secteurs stratégiques et 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domaines d’intérêt public, en  combinant la  gouvernance des données  et les investissements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dans  les  infrastructures  de  données.  Ces  investissements  couvriraient  les  infrastructures  de</w:t>
      </w:r>
      <w:r>
        <w:rPr>
          <w:rFonts w:cs="Times New Roman" w:hAnsi="Times New Roman" w:eastAsia="Times New Roman" w:ascii="Times New Roman"/>
          <w:sz w:val="24"/>
          <w:szCs w:val="24"/>
        </w:rPr>
        <w:t> données nécessaires, les outils de partage de données, les architectures et les mécanismes de</w:t>
      </w:r>
      <w:r>
        <w:rPr>
          <w:rFonts w:cs="Times New Roman" w:hAnsi="Times New Roman" w:eastAsia="Times New Roman" w:ascii="Times New Roman"/>
          <w:sz w:val="24"/>
          <w:szCs w:val="24"/>
        </w:rPr>
        <w:t> gouvernance  pour  un  partage  de  données  prospère.  Une  fois  adopté  par  les  colégislateurs,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l’acte  sur  la  gouvernance  des  données  offrira  au  tourisme  et  à  tous  les  autres  secteurs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connexes un cadre qui permettra de valoriser les données volontairement mises à disposition</w:t>
      </w:r>
      <w:r>
        <w:rPr>
          <w:rFonts w:cs="Times New Roman" w:hAnsi="Times New Roman" w:eastAsia="Times New Roman" w:ascii="Times New Roman"/>
          <w:sz w:val="24"/>
          <w:szCs w:val="24"/>
        </w:rPr>
        <w:t> par les détenteurs de données en vue de leur réutilisation. La disponibilité de données en vue</w:t>
      </w:r>
      <w:r>
        <w:rPr>
          <w:rFonts w:cs="Times New Roman" w:hAnsi="Times New Roman" w:eastAsia="Times New Roman" w:ascii="Times New Roman"/>
          <w:sz w:val="24"/>
          <w:szCs w:val="24"/>
        </w:rPr>
        <w:t> de  leur  utilisation  sera  renforcée  en  augmentant  la  confiance  dans  les  intermédiaires  de</w:t>
      </w:r>
      <w:r>
        <w:rPr>
          <w:rFonts w:cs="Times New Roman" w:hAnsi="Times New Roman" w:eastAsia="Times New Roman" w:ascii="Times New Roman"/>
          <w:sz w:val="24"/>
          <w:szCs w:val="24"/>
        </w:rPr>
        <w:t> données et en renforçant les </w:t>
      </w:r>
      <w:r>
        <w:rPr>
          <w:rFonts w:cs="Times New Roman" w:hAnsi="Times New Roman" w:eastAsia="Times New Roman" w:ascii="Times New Roman"/>
          <w:sz w:val="24"/>
          <w:szCs w:val="24"/>
        </w:rPr>
        <w:t>mécanismes de partage de données dans l’ensemble de l’UE.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Enfin,  dans  la  mesure  où  les  plateformes  de  réservation  en  ligne  et  les  intermédiaires 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voyages en ligne constituent des services intermédiaires ou des contrôleurs d’accès au sens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des propositions de législation sur les services numériques ou de législation sur les marchés</w:t>
      </w:r>
      <w:r>
        <w:rPr>
          <w:rFonts w:cs="Times New Roman" w:hAnsi="Times New Roman" w:eastAsia="Times New Roman" w:ascii="Times New Roman"/>
          <w:sz w:val="24"/>
          <w:szCs w:val="24"/>
        </w:rPr>
        <w:t> numériques   respectivement,   une   fois   adoptés   par   les   colégislateurs,   ces   instruments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contribueront à garantir des conditions de concurrence équitables, à favoriser l’innovation e</w:t>
      </w:r>
      <w:r>
        <w:rPr>
          <w:rFonts w:cs="Times New Roman" w:hAnsi="Times New Roman" w:eastAsia="Times New Roman" w:ascii="Times New Roman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z w:val="24"/>
          <w:szCs w:val="24"/>
        </w:rPr>
        <w:t> la  compétitivité  du  secteur  tout  en  imposant  des  obligations  proportionnées  pour  une</w:t>
      </w:r>
      <w:r>
        <w:rPr>
          <w:rFonts w:cs="Times New Roman" w:hAnsi="Times New Roman" w:eastAsia="Times New Roman" w:ascii="Times New Roman"/>
          <w:sz w:val="24"/>
          <w:szCs w:val="24"/>
        </w:rPr>
        <w:t> meilleure protection des utilisateurs.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0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37) à respecter le droit des autorités locales à prendre des mesures contre les effets néfastes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du surtourisme;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5"/>
      </w:pPr>
      <w:r>
        <w:rPr>
          <w:rFonts w:cs="Times New Roman" w:hAnsi="Times New Roman" w:eastAsia="Times New Roman" w:ascii="Times New Roman"/>
          <w:sz w:val="24"/>
          <w:szCs w:val="24"/>
        </w:rPr>
        <w:t>La  Commission  est  pleinement  consciente  des  préoccupations  concernant  les  effets  du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9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«surtourisme» et des problèmes d’accessibilité au logement sur les communautés locales, en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particulier dans les villes touristiques, et de la nécessité pour les autorités locales de répondre</w:t>
      </w:r>
      <w:r>
        <w:rPr>
          <w:rFonts w:cs="Times New Roman" w:hAnsi="Times New Roman" w:eastAsia="Times New Roman" w:ascii="Times New Roman"/>
          <w:sz w:val="24"/>
          <w:szCs w:val="24"/>
        </w:rPr>
        <w:t> à    ces    préoccupations.    Comme    annoncé    dans    la    stratégie    axée    sur    les    PME</w:t>
      </w:r>
      <w:r>
        <w:rPr>
          <w:rFonts w:cs="Times New Roman" w:hAnsi="Times New Roman" w:eastAsia="Times New Roman" w:ascii="Times New Roman"/>
          <w:sz w:val="24"/>
          <w:szCs w:val="24"/>
        </w:rPr>
        <w:t> [COM(2020) 103 final],  la  Commission  examinera  une  éventuelle  initiative  axée  sur  les</w:t>
      </w:r>
      <w:r>
        <w:rPr>
          <w:rFonts w:cs="Times New Roman" w:hAnsi="Times New Roman" w:eastAsia="Times New Roman" w:ascii="Times New Roman"/>
          <w:sz w:val="24"/>
          <w:szCs w:val="24"/>
        </w:rPr>
        <w:t> services  d</w:t>
      </w:r>
      <w:r>
        <w:rPr>
          <w:rFonts w:cs="Times New Roman" w:hAnsi="Times New Roman" w:eastAsia="Times New Roman" w:ascii="Times New Roman"/>
          <w:sz w:val="24"/>
          <w:szCs w:val="24"/>
        </w:rPr>
        <w:t>e  location  de  logements  à  court  terme  (le  plus  grand  secteur  de  l’économie</w:t>
      </w:r>
      <w:r>
        <w:rPr>
          <w:rFonts w:cs="Times New Roman" w:hAnsi="Times New Roman" w:eastAsia="Times New Roman" w:ascii="Times New Roman"/>
          <w:sz w:val="24"/>
          <w:szCs w:val="24"/>
        </w:rPr>
        <w:t> collaborative) afin de promouvoir un développement équilibré et responsable de l’économie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collaborative, dans le plein respect des intérêts publics, tels que la disponibilité de logements</w:t>
      </w:r>
      <w:r>
        <w:rPr>
          <w:rFonts w:cs="Times New Roman" w:hAnsi="Times New Roman" w:eastAsia="Times New Roman" w:ascii="Times New Roman"/>
          <w:sz w:val="24"/>
          <w:szCs w:val="24"/>
        </w:rPr>
        <w:t> et  la  protection  des  environnements  urbains.  La  nature  et  la  forme  de  toute  initiative</w:t>
      </w:r>
      <w:r>
        <w:rPr>
          <w:rFonts w:cs="Times New Roman" w:hAnsi="Times New Roman" w:eastAsia="Times New Roman" w:ascii="Times New Roman"/>
          <w:sz w:val="24"/>
          <w:szCs w:val="24"/>
        </w:rPr>
        <w:t> dépendront du résultat des travaux  préparatoires  en cours, qui détermineront si et comment</w:t>
      </w:r>
      <w:r>
        <w:rPr>
          <w:rFonts w:cs="Times New Roman" w:hAnsi="Times New Roman" w:eastAsia="Times New Roman" w:ascii="Times New Roman"/>
          <w:sz w:val="24"/>
          <w:szCs w:val="24"/>
        </w:rPr>
        <w:t> ces questions doivent être traitées au niveau européen.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49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40) à améliorer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le réseau ferroviaire européen (lien vers l’Année européenne du rail);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La  Commission  partage  pleinement  l’avis  selon  lequel  l’Année  européenne  du  rail  est  une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excellente  occasion  de  sensibiliser  le  grand  public  au  rôle  que  peut  jouer  le  rail  dans  le</w:t>
      </w:r>
      <w:r>
        <w:rPr>
          <w:rFonts w:cs="Times New Roman" w:hAnsi="Times New Roman" w:eastAsia="Times New Roman" w:ascii="Times New Roman"/>
          <w:sz w:val="24"/>
          <w:szCs w:val="24"/>
        </w:rPr>
        <w:t> dével</w:t>
      </w:r>
      <w:r>
        <w:rPr>
          <w:rFonts w:cs="Times New Roman" w:hAnsi="Times New Roman" w:eastAsia="Times New Roman" w:ascii="Times New Roman"/>
          <w:sz w:val="24"/>
          <w:szCs w:val="24"/>
        </w:rPr>
        <w:t>oppement du tourisme durable en Europe. Il s’agit d’un objectif spécifique de l’Année,</w:t>
      </w:r>
      <w:r>
        <w:rPr>
          <w:rFonts w:cs="Times New Roman" w:hAnsi="Times New Roman" w:eastAsia="Times New Roman" w:ascii="Times New Roman"/>
          <w:sz w:val="24"/>
          <w:szCs w:val="24"/>
        </w:rPr>
        <w:t> énoncé à l’article </w:t>
      </w:r>
      <w:r>
        <w:rPr>
          <w:rFonts w:cs="Times New Roman" w:hAnsi="Times New Roman" w:eastAsia="Times New Roman" w:ascii="Times New Roman"/>
          <w:sz w:val="24"/>
          <w:szCs w:val="24"/>
        </w:rPr>
        <w:t>2, point i), de la décision (UE) 2020/2228 relative à une Année européenne</w:t>
      </w:r>
      <w:r>
        <w:rPr>
          <w:rFonts w:cs="Times New Roman" w:hAnsi="Times New Roman" w:eastAsia="Times New Roman" w:ascii="Times New Roman"/>
          <w:sz w:val="24"/>
          <w:szCs w:val="24"/>
        </w:rPr>
        <w:t> du rail (2021). Le tourisme ferroviaire durable est abordé dans le programm</w:t>
      </w:r>
      <w:r>
        <w:rPr>
          <w:rFonts w:cs="Times New Roman" w:hAnsi="Times New Roman" w:eastAsia="Times New Roman" w:ascii="Times New Roman"/>
          <w:sz w:val="24"/>
          <w:szCs w:val="24"/>
        </w:rPr>
        <w:t>e d’événements et</w:t>
      </w:r>
      <w:r>
        <w:rPr>
          <w:rFonts w:cs="Times New Roman" w:hAnsi="Times New Roman" w:eastAsia="Times New Roman" w:ascii="Times New Roman"/>
          <w:sz w:val="24"/>
          <w:szCs w:val="24"/>
        </w:rPr>
        <w:t> d’activités  de  l’Année.  Parmi  les  principaux  exemples,  citons  la  campagne  Best  European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Rail Tourism 2021 (organisée conjointement par  la Commission européenne du tourisme et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EURAIL), le concours photos «My Secret Rail Spots» de l’UIC et  </w:t>
      </w:r>
      <w:r>
        <w:rPr>
          <w:rFonts w:cs="Times New Roman" w:hAnsi="Times New Roman" w:eastAsia="Times New Roman" w:ascii="Times New Roman"/>
          <w:sz w:val="24"/>
          <w:szCs w:val="24"/>
        </w:rPr>
        <w:t>le prix spécial européen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des voies vertes (organisé par l’Association européenne des voies vertes).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9"/>
      </w:pPr>
      <w:r>
        <w:rPr>
          <w:rFonts w:cs="Times New Roman" w:hAnsi="Times New Roman" w:eastAsia="Times New Roman" w:ascii="Times New Roman"/>
          <w:sz w:val="24"/>
          <w:szCs w:val="24"/>
        </w:rPr>
        <w:t>Parallèlement aux activités de l’Année, la Commission travaille déjà sur plusieurs initiatives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(législatives  et  non  législatives)  visant  à  stimuler  le  transport  ferroviaire  européen,  comme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indiqué dans le plan d’action de la stratégie pour une mobilité durable et intelligente. L’Année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est une occasion unique de recueillir la contribution des parties prenantes et des citoyens à cet</w:t>
      </w:r>
      <w:r>
        <w:rPr>
          <w:rFonts w:cs="Times New Roman" w:hAnsi="Times New Roman" w:eastAsia="Times New Roman" w:ascii="Times New Roman"/>
          <w:sz w:val="24"/>
          <w:szCs w:val="24"/>
        </w:rPr>
        <w:t> exercice et de créer un élan politique et social derrière ces initiatives.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Enfin,   la   Commission  remercie   le   Parlement   européen   pour   son   soutien   à   l’initiative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DiscoverEU,  qui  rejoindra  officiellement  le  programme  Erasmus+  à  partir  de  cette  année.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L’édition 2021  sera  liée  à  l’Année  e</w:t>
      </w:r>
      <w:r>
        <w:rPr>
          <w:rFonts w:cs="Times New Roman" w:hAnsi="Times New Roman" w:eastAsia="Times New Roman" w:ascii="Times New Roman"/>
          <w:sz w:val="24"/>
          <w:szCs w:val="24"/>
        </w:rPr>
        <w:t>uropéenne  du  rail  et  visera  à  susciter  un  changement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d’attitude  des  jeunes  de  18 ans  à  l’égard  des  voyages  en  train.  La  Commission  prévoit</w:t>
      </w:r>
      <w:r>
        <w:rPr>
          <w:rFonts w:cs="Times New Roman" w:hAnsi="Times New Roman" w:eastAsia="Times New Roman" w:ascii="Times New Roman"/>
          <w:sz w:val="24"/>
          <w:szCs w:val="24"/>
        </w:rPr>
        <w:t> plusieurs actions en rapport avec l’Année européenne du rail, telles que des activités virtuelles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organisées par des influenceurs en ligne pour souligner les avantages du voyage en train pour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les jeunes, ou des rencontres dans des lieux pertinents dans le cadre de l’Année. Le concours</w:t>
      </w:r>
      <w:r>
        <w:rPr>
          <w:rFonts w:cs="Times New Roman" w:hAnsi="Times New Roman" w:eastAsia="Times New Roman" w:ascii="Times New Roman"/>
          <w:sz w:val="24"/>
          <w:szCs w:val="24"/>
        </w:rPr>
        <w:t> photo/vidéo  sur  le  portail  européen  de  la  jeunesse  aura  également  pour  thème  l’Année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eu</w:t>
      </w:r>
      <w:r>
        <w:rPr>
          <w:rFonts w:cs="Times New Roman" w:hAnsi="Times New Roman" w:eastAsia="Times New Roman" w:ascii="Times New Roman"/>
          <w:sz w:val="24"/>
          <w:szCs w:val="24"/>
        </w:rPr>
        <w:t>ropéenne du rail et DiscoverEU s’associera également au festival des arts Europalia.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44)  à  explorer  les  éventuelles  synergies  avec  EuroVelo  et  ses  17 itinéraires,  notamment  en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augmentant   le   soutien   financier,   afin   de   promouvoir   le   cyclotourisme   en   Europe;   à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encourager  la  reconversion  de  voies  ferrées  abandonnées,  notamment  en  soutenant  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projets   de   pistes   cyclables   sur   les   anciennes   voies   ferrées,   et   à   soutenir   activement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l’intermodalité entre le vélo et le train;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La  Commission  se  félicite  de  l’intention  de  nombreux  États  membres  d’inclure  dans  leurs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plans nationaux de relance et de résilience des investissements et des réformes en faveur du</w:t>
      </w:r>
      <w:r>
        <w:rPr>
          <w:rFonts w:cs="Times New Roman" w:hAnsi="Times New Roman" w:eastAsia="Times New Roman" w:ascii="Times New Roman"/>
          <w:sz w:val="24"/>
          <w:szCs w:val="24"/>
        </w:rPr>
        <w:t> développement  des  infrastructures  cyclables,  y  compris  sur  de  longues  distances,  et  de  la</w:t>
      </w:r>
      <w:r>
        <w:rPr>
          <w:rFonts w:cs="Times New Roman" w:hAnsi="Times New Roman" w:eastAsia="Times New Roman" w:ascii="Times New Roman"/>
          <w:sz w:val="24"/>
          <w:szCs w:val="24"/>
        </w:rPr>
        <w:t> promotion de la mobilité active et des modes de transport durables en général. La facilité pour</w:t>
      </w:r>
      <w:r>
        <w:rPr>
          <w:rFonts w:cs="Times New Roman" w:hAnsi="Times New Roman" w:eastAsia="Times New Roman" w:ascii="Times New Roman"/>
          <w:sz w:val="24"/>
          <w:szCs w:val="24"/>
        </w:rPr>
        <w:t> la reprise et la résilience soutient la transition verte et numérique et peut financer des mesures</w:t>
      </w:r>
      <w:r>
        <w:rPr>
          <w:rFonts w:cs="Times New Roman" w:hAnsi="Times New Roman" w:eastAsia="Times New Roman" w:ascii="Times New Roman"/>
          <w:sz w:val="24"/>
          <w:szCs w:val="24"/>
        </w:rPr>
        <w:t> visant  à  soutenir  des  solutions  de  transport  durables,  ainsi  que  des  actions  soutenant  la</w:t>
      </w:r>
      <w:r>
        <w:rPr>
          <w:rFonts w:cs="Times New Roman" w:hAnsi="Times New Roman" w:eastAsia="Times New Roman" w:ascii="Times New Roman"/>
          <w:sz w:val="24"/>
          <w:szCs w:val="24"/>
        </w:rPr>
        <w:t> modernisation et la durabilité du secteur du tourisme.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9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45)  à  proposer  un  nouveau  mécanisme  européen  de  tourisme  inclusif  sur  le  modèle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l’initiative Calypso, qui permettrait aux groupes sociaux vulnérables d’utiliser des coupons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nationaux pour partir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en vacances dans des établissements associés à l’initiative, situés dans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des États membres proposant également à leurs citoyens un programme de tourisme social;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La  stratégie  en  faveur  des  droits  des  personnes  handicapées 2021-2030  indique  que  la</w:t>
      </w:r>
      <w:r>
        <w:rPr>
          <w:rFonts w:cs="Times New Roman" w:hAnsi="Times New Roman" w:eastAsia="Times New Roman" w:ascii="Times New Roman"/>
          <w:sz w:val="24"/>
          <w:szCs w:val="24"/>
        </w:rPr>
        <w:t> Commission  </w:t>
      </w:r>
      <w:r>
        <w:rPr>
          <w:rFonts w:cs="Times New Roman" w:hAnsi="Times New Roman" w:eastAsia="Times New Roman" w:ascii="Times New Roman"/>
          <w:sz w:val="24"/>
          <w:szCs w:val="24"/>
        </w:rPr>
        <w:t>lancera  un  centre  de  ressources  européen  AccessibleEU  afin  d’accroître  la</w:t>
      </w:r>
      <w:r>
        <w:rPr>
          <w:rFonts w:cs="Times New Roman" w:hAnsi="Times New Roman" w:eastAsia="Times New Roman" w:ascii="Times New Roman"/>
          <w:sz w:val="24"/>
          <w:szCs w:val="24"/>
        </w:rPr>
        <w:t> cohérence des politiques d’accessibilité et de faciliter l’accès aux connaissances pertinentes.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  centre de  ressources  a  notamment  pour  mission  de  développer  des  outils  et  des  normes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visant  à  faciliter  la  mise  en  œuvre  du  droit  de  l’UE.  En  outre,  l’action  au  niveau  de  l’UE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comprendra  également  la  poursuite  des  travaux  sur  la  normalisation  et  les  spécifications</w:t>
      </w:r>
      <w:r>
        <w:rPr>
          <w:rFonts w:cs="Times New Roman" w:hAnsi="Times New Roman" w:eastAsia="Times New Roman" w:ascii="Times New Roman"/>
          <w:sz w:val="24"/>
          <w:szCs w:val="24"/>
        </w:rPr>
        <w:t> techniques.  En  outre,  le  prix  Access  City  Award  a  encouragé  une  approche  cohérente  et</w:t>
      </w:r>
      <w:r>
        <w:rPr>
          <w:rFonts w:cs="Times New Roman" w:hAnsi="Times New Roman" w:eastAsia="Times New Roman" w:ascii="Times New Roman"/>
          <w:sz w:val="24"/>
          <w:szCs w:val="24"/>
        </w:rPr>
        <w:t> transsectorielle allant au-</w:t>
      </w:r>
      <w:r>
        <w:rPr>
          <w:rFonts w:cs="Times New Roman" w:hAnsi="Times New Roman" w:eastAsia="Times New Roman" w:ascii="Times New Roman"/>
          <w:sz w:val="24"/>
          <w:szCs w:val="24"/>
        </w:rPr>
        <w:t>delà des normes minimales fixées par le droit de l’Union.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46) à présenter les résultats du projet pilote «Destinations intelligentes» et les lignes d’action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pour sa mise en œuvre, en associant innovation et protectio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 des sites naturels et classés par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l’Unesco, des spécialités locales traditionnelles et des centres de culture;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z w:val="24"/>
          <w:szCs w:val="24"/>
        </w:rPr>
        <w:t>Le projet pilote  «Destinations intelligentes» a été lancé en  avril 2021 et ses résultats seront</w:t>
      </w:r>
      <w:r>
        <w:rPr>
          <w:rFonts w:cs="Times New Roman" w:hAnsi="Times New Roman" w:eastAsia="Times New Roman" w:ascii="Times New Roman"/>
          <w:sz w:val="24"/>
          <w:szCs w:val="24"/>
        </w:rPr>
        <w:t> présentés en 2023. Le projet contribuera à fournir aux décideurs politiques à tous les niveaux</w:t>
      </w:r>
      <w:r>
        <w:rPr>
          <w:rFonts w:cs="Times New Roman" w:hAnsi="Times New Roman" w:eastAsia="Times New Roman" w:ascii="Times New Roman"/>
          <w:sz w:val="24"/>
          <w:szCs w:val="24"/>
        </w:rPr>
        <w:t> la   compréhension   des   besoins,   des   tendances,   des   opportunités   et   des   défis   dont   les</w:t>
      </w:r>
      <w:r>
        <w:rPr>
          <w:rFonts w:cs="Times New Roman" w:hAnsi="Times New Roman" w:eastAsia="Times New Roman" w:ascii="Times New Roman"/>
          <w:sz w:val="24"/>
          <w:szCs w:val="24"/>
        </w:rPr>
        <w:t> destinations  touristiques  ont  besoin  pour  gérer  les  données  et  élaborer  des  stratégies  en</w:t>
      </w:r>
      <w:r>
        <w:rPr>
          <w:rFonts w:cs="Times New Roman" w:hAnsi="Times New Roman" w:eastAsia="Times New Roman" w:ascii="Times New Roman"/>
          <w:sz w:val="24"/>
          <w:szCs w:val="24"/>
        </w:rPr>
        <w:t> matière de données. Cet objectif sera atteint grâce à une étude, qui sera prête pour le premier</w:t>
      </w:r>
      <w:r>
        <w:rPr>
          <w:rFonts w:cs="Times New Roman" w:hAnsi="Times New Roman" w:eastAsia="Times New Roman" w:ascii="Times New Roman"/>
          <w:sz w:val="24"/>
          <w:szCs w:val="24"/>
        </w:rPr>
        <w:t> trimestre de </w:t>
      </w:r>
      <w:r>
        <w:rPr>
          <w:rFonts w:cs="Times New Roman" w:hAnsi="Times New Roman" w:eastAsia="Times New Roman" w:ascii="Times New Roman"/>
          <w:sz w:val="24"/>
          <w:szCs w:val="24"/>
        </w:rPr>
        <w:t>2022, ainsi qu’à des outils concrets permettant aux villes de cibler leurs besoins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spécifiques: un guide européen pour les données sur les destinations touristiques, une boîte à</w:t>
      </w:r>
      <w:r>
        <w:rPr>
          <w:rFonts w:cs="Times New Roman" w:hAnsi="Times New Roman" w:eastAsia="Times New Roman" w:ascii="Times New Roman"/>
          <w:sz w:val="24"/>
          <w:szCs w:val="24"/>
        </w:rPr>
        <w:t> out</w:t>
      </w:r>
      <w:r>
        <w:rPr>
          <w:rFonts w:cs="Times New Roman" w:hAnsi="Times New Roman" w:eastAsia="Times New Roman" w:ascii="Times New Roman"/>
          <w:sz w:val="24"/>
          <w:szCs w:val="24"/>
        </w:rPr>
        <w:t>ils  et  une  série  de  recommandations  pour  l’action  politique.  Ces  résultats  seront  rendus</w:t>
      </w:r>
      <w:r>
        <w:rPr>
          <w:rFonts w:cs="Times New Roman" w:hAnsi="Times New Roman" w:eastAsia="Times New Roman" w:ascii="Times New Roman"/>
          <w:sz w:val="24"/>
          <w:szCs w:val="24"/>
        </w:rPr>
        <w:t> publics dès qu’ils seront prêts. En outre, le projet pilote mettra en place une communauté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pratique  parmi  les  destinations  intéressées,  afin  de  favoriser  la  compréhension  mutuelle,  la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mise en réseau et l’échange d’idées et de bonnes pratiques.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47) à faire de «Capitale européenne du tourisme intelligent» un projet permanent assorti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critères  plus  complets  et  plus  équitables,  favorisant  l’économie  locale  et  les  filiè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res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proximité;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9"/>
      </w:pPr>
      <w:r>
        <w:rPr>
          <w:rFonts w:cs="Times New Roman" w:hAnsi="Times New Roman" w:eastAsia="Times New Roman" w:ascii="Times New Roman"/>
          <w:sz w:val="24"/>
          <w:szCs w:val="24"/>
        </w:rPr>
        <w:t>La troisième édition de la Capitale européenne du tourisme intelligent, qui vise à désigner les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2022 villes   les   plus   performantes   dans   les   quatre   catégories   considérées   (accessibilité,</w:t>
      </w:r>
      <w:r>
        <w:rPr>
          <w:rFonts w:cs="Times New Roman" w:hAnsi="Times New Roman" w:eastAsia="Times New Roman" w:ascii="Times New Roman"/>
          <w:sz w:val="24"/>
          <w:szCs w:val="24"/>
        </w:rPr>
        <w:t> durabilité, numérisation, patrimoine culturel et créativité), a été lancée le 22 avril. Elle était</w:t>
      </w:r>
      <w:r>
        <w:rPr>
          <w:rFonts w:cs="Times New Roman" w:hAnsi="Times New Roman" w:eastAsia="Times New Roman" w:ascii="Times New Roman"/>
          <w:sz w:val="24"/>
          <w:szCs w:val="24"/>
        </w:rPr>
        <w:t> ouverte aux villes de plus de 100 000 habitants des États membres et des pays tiers participant</w:t>
      </w:r>
      <w:r>
        <w:rPr>
          <w:rFonts w:cs="Times New Roman" w:hAnsi="Times New Roman" w:eastAsia="Times New Roman" w:ascii="Times New Roman"/>
          <w:sz w:val="24"/>
          <w:szCs w:val="24"/>
        </w:rPr>
        <w:t> au programme COSME.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i/>
          <w:sz w:val="24"/>
          <w:szCs w:val="24"/>
        </w:rPr>
        <w:t>49) à présenter des conclusions sur les 14 actions de la stratégie pour le tourisme côtier et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maritime  permettant  d’orienter  le  financement  vers  les  infrastructures  (ports  et  ports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plaisance),  le  soutien  logistique  et  opérationnel,  la  prévention  des  déchets  et  l’utilisation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d’énergies  renouvelables;  à  prendre,  en  accord  avec  les  États  membres,  d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es  mesures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soutien  au  secteur  des  croisières,  qui  continue  d’être  fortement  touché par  la  pandémie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COVID-19, et à faciliter son redémarrage opérationnel, dans le respect des normes sociales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et environnementales; à développer des initiatives pour le tourisme nautique et côtier en ce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qui concerne la reconnaissance des qualifications des skippers, les règles de TVA relatives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aux  bateaux,  aux  ports  de  plaisance  et  aux  mouillages,  à  répondre  aux  enjeux  de 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saisonnalité et à promouvoir les routes transfro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ntalières, ainsi qu’un réseau de routes pour le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tourisme nautique, et à rendre public l’état d’avancement du projet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-pilote intitulé «Charte 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bonnes pratiques pour un tourisme de croisière durable»;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84"/>
      </w:pPr>
      <w:r>
        <w:rPr>
          <w:rFonts w:cs="Times New Roman" w:hAnsi="Times New Roman" w:eastAsia="Times New Roman" w:ascii="Times New Roman"/>
          <w:sz w:val="24"/>
          <w:szCs w:val="24"/>
        </w:rPr>
        <w:t>La  Commission  met  actuellement  en  œuvre  une  action  prép</w:t>
      </w:r>
      <w:r>
        <w:rPr>
          <w:rFonts w:cs="Times New Roman" w:hAnsi="Times New Roman" w:eastAsia="Times New Roman" w:ascii="Times New Roman"/>
          <w:sz w:val="24"/>
          <w:szCs w:val="24"/>
        </w:rPr>
        <w:t>aratoire  visant  à  élaborer  une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«Charte des bonnes pratiques pour un tourisme de croisière durable», qui aidera le secteur à se</w:t>
      </w:r>
      <w:r>
        <w:rPr>
          <w:rFonts w:cs="Times New Roman" w:hAnsi="Times New Roman" w:eastAsia="Times New Roman" w:ascii="Times New Roman"/>
          <w:sz w:val="24"/>
          <w:szCs w:val="24"/>
        </w:rPr>
        <w:t> redresser   et   à   redémarrer   de   manière   durable.   Le   projet   de   charte   sera   abordé   et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éventuellement approuvé lors d’un dialogue entre </w:t>
      </w:r>
      <w:r>
        <w:rPr>
          <w:rFonts w:cs="Times New Roman" w:hAnsi="Times New Roman" w:eastAsia="Times New Roman" w:ascii="Times New Roman"/>
          <w:sz w:val="24"/>
          <w:szCs w:val="24"/>
        </w:rPr>
        <w:t>les autorités régionales et locales, les ports,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l’industrie,  les  parties  prenantes  et  la  société  civile  à  l’occasion  du  deuxième  dialogue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paneuropéen sur les croisières en mars 2022.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La  Commission  reconnaît  que  le  secteur  des  croisières  a  toujours  été  à  l</w:t>
      </w:r>
      <w:r>
        <w:rPr>
          <w:rFonts w:cs="Times New Roman" w:hAnsi="Times New Roman" w:eastAsia="Times New Roman" w:ascii="Times New Roman"/>
          <w:sz w:val="24"/>
          <w:szCs w:val="24"/>
        </w:rPr>
        <w:t>’avant</w:t>
      </w:r>
      <w:r>
        <w:rPr>
          <w:rFonts w:cs="Times New Roman" w:hAnsi="Times New Roman" w:eastAsia="Times New Roman" w:ascii="Times New Roman"/>
          <w:sz w:val="24"/>
          <w:szCs w:val="24"/>
        </w:rPr>
        <w:t>-garde 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l’introduction  de  nouvelles  technologies  plus  respectueuses  de  l’environnement  dans  la</w:t>
      </w:r>
      <w:r>
        <w:rPr>
          <w:rFonts w:cs="Times New Roman" w:hAnsi="Times New Roman" w:eastAsia="Times New Roman" w:ascii="Times New Roman"/>
          <w:sz w:val="24"/>
          <w:szCs w:val="24"/>
        </w:rPr>
        <w:t> navigation.  Dans  ce  contexte,  la  stratégie  pour  une  mobilité  durable  et  intelligente  de  l’UE</w:t>
      </w:r>
      <w:r>
        <w:rPr>
          <w:rFonts w:cs="Times New Roman" w:hAnsi="Times New Roman" w:eastAsia="Times New Roman" w:ascii="Times New Roman"/>
          <w:sz w:val="24"/>
          <w:szCs w:val="24"/>
        </w:rPr>
        <w:t> prévoit la création d’un environnement propice à l’amélioration de l’efficacité énergétique et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à  la  réduction  des  émissions  de  tous  les  navires,  notamment  grâce  aux  partenariats  qui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pourraient  être  mis  en  place  dans  le  cadre  d’Horizon  Europe  (tels  que  «transport  par  voie</w:t>
      </w:r>
      <w:r>
        <w:rPr>
          <w:rFonts w:cs="Times New Roman" w:hAnsi="Times New Roman" w:eastAsia="Times New Roman" w:ascii="Times New Roman"/>
          <w:sz w:val="24"/>
          <w:szCs w:val="24"/>
        </w:rPr>
        <w:t> d’eau  à  émission  nulle»  et  «hydrogène  propre»).  L’initiative  FuelEU  Maritime  stimulera</w:t>
      </w:r>
      <w:r>
        <w:rPr>
          <w:rFonts w:cs="Times New Roman" w:hAnsi="Times New Roman" w:eastAsia="Times New Roman" w:ascii="Times New Roman"/>
          <w:sz w:val="24"/>
          <w:szCs w:val="24"/>
        </w:rPr>
        <w:t> également la production et l’utilisation de carburants maritimes durables et aidera le secteur à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relever le défi de la décarbonation.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51)  à  intégrer  les  acteurs  locaux  travaillant  dans  les  zones  rurales  et  côtières  dans 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initiatives   de   diversification   des   revenus   par  la   création   de   produits,   de   services   ou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d’expériences  touristiques,  ainsi  que  dans  la  conception  de  nouvelles  initiatives  et  dans 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recherche de synergies entre les initiatives existantes;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z w:val="24"/>
          <w:szCs w:val="24"/>
        </w:rPr>
        <w:t>La Commi</w:t>
      </w:r>
      <w:r>
        <w:rPr>
          <w:rFonts w:cs="Times New Roman" w:hAnsi="Times New Roman" w:eastAsia="Times New Roman" w:ascii="Times New Roman"/>
          <w:sz w:val="24"/>
          <w:szCs w:val="24"/>
        </w:rPr>
        <w:t>ssion approuve l’appel à inclure les acteurs locaux travaillant dans les zones rurales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dans  la  diversification  des  revenus,  mais  aussi  les  acteurs  à  but  lucratif  et  non  lucratif,  y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compris  le  secteur  de  l’économie  sociale.  Les  groupes  d’action  locale  (GAL)  </w:t>
      </w:r>
      <w:r>
        <w:rPr>
          <w:rFonts w:cs="Times New Roman" w:hAnsi="Times New Roman" w:eastAsia="Times New Roman" w:ascii="Times New Roman"/>
          <w:sz w:val="24"/>
          <w:szCs w:val="24"/>
        </w:rPr>
        <w:t>pour  le</w:t>
      </w:r>
      <w:r>
        <w:rPr>
          <w:rFonts w:cs="Times New Roman" w:hAnsi="Times New Roman" w:eastAsia="Times New Roman" w:ascii="Times New Roman"/>
          <w:sz w:val="24"/>
          <w:szCs w:val="24"/>
        </w:rPr>
        <w:t> développement rural assurent la diversification rurale. Les acteurs locaux travaillant dans les</w:t>
      </w:r>
      <w:r>
        <w:rPr>
          <w:rFonts w:cs="Times New Roman" w:hAnsi="Times New Roman" w:eastAsia="Times New Roman" w:ascii="Times New Roman"/>
          <w:sz w:val="24"/>
          <w:szCs w:val="24"/>
        </w:rPr>
        <w:t> zones  côtières  sont  inclus  dans  la  diversification  via  le  développement  local  dirigé  par  la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communauté, mis en œuvre par les groupes d’action locale de </w:t>
      </w:r>
      <w:r>
        <w:rPr>
          <w:rFonts w:cs="Times New Roman" w:hAnsi="Times New Roman" w:eastAsia="Times New Roman" w:ascii="Times New Roman"/>
          <w:sz w:val="24"/>
          <w:szCs w:val="24"/>
        </w:rPr>
        <w:t>la pêche (GALP) qui visent la</w:t>
      </w:r>
      <w:r>
        <w:rPr>
          <w:rFonts w:cs="Times New Roman" w:hAnsi="Times New Roman" w:eastAsia="Times New Roman" w:ascii="Times New Roman"/>
          <w:sz w:val="24"/>
          <w:szCs w:val="24"/>
        </w:rPr>
        <w:t> diversification des activités, y compris le tourisme et la gastronomie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8"/>
      </w:pPr>
      <w:r>
        <w:rPr>
          <w:rFonts w:cs="Times New Roman" w:hAnsi="Times New Roman" w:eastAsia="Times New Roman" w:ascii="Times New Roman"/>
          <w:sz w:val="24"/>
          <w:szCs w:val="24"/>
        </w:rPr>
        <w:t>Sous le sous-titre </w:t>
      </w:r>
      <w:r>
        <w:rPr>
          <w:rFonts w:cs="Times New Roman" w:hAnsi="Times New Roman" w:eastAsia="Times New Roman" w:ascii="Times New Roman"/>
          <w:b/>
          <w:i/>
          <w:sz w:val="24"/>
          <w:szCs w:val="24"/>
        </w:rPr>
        <w:t>Repenser l’avenir de l’industrie du tourisme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(paragraphes 55 à 77)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56) à  présenter  au  premier  semestre 2021  une  analyse des  demandes  déposées  par  chaque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État membre en matière d’aides d’État pour le secteur du tourisme, ainsi que des fonds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l’Union utilisés pour lutter contre les effets de la COVID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19, entre autres l’applicabilité du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programme SURE</w:t>
      </w:r>
      <w:r>
        <w:rPr>
          <w:rFonts w:cs="Times New Roman" w:hAnsi="Times New Roman" w:eastAsia="Times New Roman" w:ascii="Times New Roman"/>
          <w:sz w:val="24"/>
          <w:szCs w:val="24"/>
        </w:rPr>
        <w:t>;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Au 23 avril 2021, la Commission a adopté 145 décisions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9 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portant approbation de 176 mesures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visant  à  soutenir  spécifiquement  le  tourisme,  l’hôtellerie,  les  transports  et  les  secteurs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connexes.   Ces   mesures   ont   été   adoptées   en   réponse   à   l’épidémie   de   COVID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-19.   En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particulier,  75 décisions  adop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tées  visent  à  soutenir  le  tourisme,  l’hôtellerie  et  les  secteurs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connexes,  tandis  que  70 décisions  entendent  aider  le  secteur  des  transports  (transports  en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général,  compagnies  aériennes,  aéroports,  ports).  Sur  cette  base,  le  montant  d’environ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88"/>
      </w:pPr>
      <w:r>
        <w:pict>
          <v:group style="position:absolute;margin-left:70.824pt;margin-top:65.611pt;width:144.02pt;height:0pt;mso-position-horizontal-relative:page;mso-position-vertical-relative:paragraph;z-index:-471" coordorigin="1416,1312" coordsize="2880,0">
            <v:shape style="position:absolute;left:1416;top:1312;width:2880;height:0" coordorigin="1416,1312" coordsize="2880,0" path="m1416,1312l4297,1312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70,8 milliard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s d’euros d’aides d’État approuvées vise à soutenir le tourisme et les transports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60" w:val="left"/>
        </w:tabs>
        <w:jc w:val="both"/>
        <w:spacing w:before="33" w:lineRule="auto" w:line="244"/>
        <w:ind w:left="474" w:right="88" w:hanging="358"/>
      </w:pPr>
      <w:r>
        <w:rPr>
          <w:rFonts w:cs="Courier New" w:hAnsi="Courier New" w:eastAsia="Courier New" w:ascii="Courier New"/>
          <w:w w:val="99"/>
          <w:position w:val="5"/>
          <w:sz w:val="13"/>
          <w:szCs w:val="13"/>
        </w:rPr>
        <w:t>8</w:t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  <w:tab/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nombreux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exemples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type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d’action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long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côtes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l’UE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peuvent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être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trouvés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moyen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d’une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recherche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thématique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bonnes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pratiques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site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web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FARNET: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14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eb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ate.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ec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/c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et2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74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Voici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exemple: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hyperlink r:id="rId15"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://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eb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ate.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ec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/c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et2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th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ac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tice/</w:t>
        </w:r>
      </w:hyperlink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4"/>
      </w:pP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hyperlink r:id="rId16"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j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ec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alin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ee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ic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alico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ia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ab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alt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es_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</w:hyperlink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6"/>
      </w:pPr>
      <w:r>
        <w:rPr>
          <w:rFonts w:cs="Courier New" w:hAnsi="Courier New" w:eastAsia="Courier New" w:ascii="Courier New"/>
          <w:w w:val="99"/>
          <w:position w:val="5"/>
          <w:sz w:val="13"/>
          <w:szCs w:val="13"/>
        </w:rPr>
        <w:t>9</w:t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décisions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sont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publiées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site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web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direction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générale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concurrence: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/>
        <w:ind w:left="474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hyperlink r:id="rId17"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ht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:/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/ec.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/co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etit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/elo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j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e/is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ef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/i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ex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cf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?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ea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ctio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=d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esu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lt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&amp;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lic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y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ea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id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=3</w:t>
        </w:r>
      </w:hyperlink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7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jusqu’à présent (meilleure estimation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10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). Ce chiffre est équivalent aux 2,34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% de l’aide d’État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totale  approuvée  en  réponse  à  l’épidémie  de  COVID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-19.  Environ  30 milliards 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d’euros  du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budget spécifiquement alloué aux secteurs du tourisme et des transports ont été approuvés en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tant que mesures ad hoc.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Outre les régimes visant spécifiquement l’industrie du tourisme, la Commission a également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adopté, au 23 avril 2021, 192 décisions approuvant 253 mesures nationales ouvertes à tous les</w:t>
      </w:r>
      <w:r>
        <w:rPr>
          <w:rFonts w:cs="Times New Roman" w:hAnsi="Times New Roman" w:eastAsia="Times New Roman" w:ascii="Times New Roman"/>
          <w:sz w:val="24"/>
          <w:szCs w:val="24"/>
        </w:rPr>
        <w:t> secteurs,  dont  les  opérateurs  touristiques  peuvent  également  bénéficier.  Sur  cette  base,  un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montant d’environ 2,85 billions d’euros d’aides d’État totales a été approuvé jusqu’à présent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pour  des  mesures  sans  portée  sectorielle  spécifique.  Le  budget  total  alloué  en  réponse  à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l’épidémie  de  COVID</w:t>
      </w:r>
      <w:r>
        <w:rPr>
          <w:rFonts w:cs="Times New Roman" w:hAnsi="Times New Roman" w:eastAsia="Times New Roman" w:ascii="Times New Roman"/>
          <w:sz w:val="24"/>
          <w:szCs w:val="24"/>
        </w:rPr>
        <w:t>-19  par  le  biais  de  mesures  générales  est  de  94,05 %.  Les  États</w:t>
      </w:r>
      <w:r>
        <w:rPr>
          <w:rFonts w:cs="Times New Roman" w:hAnsi="Times New Roman" w:eastAsia="Times New Roman" w:ascii="Times New Roman"/>
          <w:sz w:val="24"/>
          <w:szCs w:val="24"/>
        </w:rPr>
        <w:t> membres  qui  ont  mis  en  place  de  tels  régimes-</w:t>
      </w:r>
      <w:r>
        <w:rPr>
          <w:rFonts w:cs="Times New Roman" w:hAnsi="Times New Roman" w:eastAsia="Times New Roman" w:ascii="Times New Roman"/>
          <w:sz w:val="24"/>
          <w:szCs w:val="24"/>
        </w:rPr>
        <w:t>cadres  sont  l’Allemagne,  le  Danemark,</w:t>
      </w:r>
      <w:r>
        <w:rPr>
          <w:rFonts w:cs="Times New Roman" w:hAnsi="Times New Roman" w:eastAsia="Times New Roman" w:ascii="Times New Roman"/>
          <w:sz w:val="24"/>
          <w:szCs w:val="24"/>
        </w:rPr>
        <w:t> l’Espagne, la France, la Hongrie, l’Irlande, l’Italie et la Slovénie.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7"/>
      </w:pPr>
      <w:r>
        <w:rPr>
          <w:rFonts w:cs="Times New Roman" w:hAnsi="Times New Roman" w:eastAsia="Times New Roman" w:ascii="Times New Roman"/>
          <w:sz w:val="24"/>
          <w:szCs w:val="24"/>
        </w:rPr>
        <w:t>Les États membres ont des obligations de transparence en vertu desquelles, dans un délai 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116" w:right="71"/>
      </w:pPr>
      <w:r>
        <w:rPr>
          <w:rFonts w:cs="Times New Roman" w:hAnsi="Times New Roman" w:eastAsia="Times New Roman" w:ascii="Times New Roman"/>
          <w:sz w:val="24"/>
          <w:szCs w:val="24"/>
        </w:rPr>
        <w:t>12 </w:t>
      </w:r>
      <w:r>
        <w:rPr>
          <w:rFonts w:cs="Times New Roman" w:hAnsi="Times New Roman" w:eastAsia="Times New Roman" w:ascii="Times New Roman"/>
          <w:sz w:val="24"/>
          <w:szCs w:val="24"/>
        </w:rPr>
        <w:t>mois  à  compter  de  l’octroi  de  l’aide,  leurs  autorités  nationales  publient  sur  le  site  web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national </w:t>
      </w:r>
      <w:r>
        <w:rPr>
          <w:rFonts w:cs="Times New Roman" w:hAnsi="Times New Roman" w:eastAsia="Times New Roman" w:ascii="Times New Roman"/>
          <w:sz w:val="24"/>
          <w:szCs w:val="24"/>
        </w:rPr>
        <w:t>complet consacré aux aides d’État ou sur l’outil informatique de la Commission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11 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informations pertinentes sur chaque aide individuelle supérieure à 100 000 EUR accordée au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titre de chaque mesure.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56) à consolider et à prolonger SURE jusqu’à la fin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2022, compte tenu des difficultés socio-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économiques auxquelles les États membres sont confrontés;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pict>
          <v:group style="position:absolute;margin-left:70.824pt;margin-top:223.384pt;width:144.02pt;height:0pt;mso-position-horizontal-relative:page;mso-position-vertical-relative:paragraph;z-index:-470" coordorigin="1416,4468" coordsize="2880,0">
            <v:shape style="position:absolute;left:1416;top:4468;width:2880;height:0" coordorigin="1416,4468" coordsize="2880,0" path="m1416,4468l4297,4468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L’instrument SURE est une composante cruciale de la stratégie globale de l’UE pour protéger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les  citoyens  et  atténuer  les  conséquences  socio-économiques  particulièrement  graves  de  la</w:t>
      </w:r>
      <w:r>
        <w:rPr>
          <w:rFonts w:cs="Times New Roman" w:hAnsi="Times New Roman" w:eastAsia="Times New Roman" w:ascii="Times New Roman"/>
          <w:sz w:val="24"/>
          <w:szCs w:val="24"/>
        </w:rPr>
        <w:t> pandémie de COVID-19. En vertu du règlement (UE) 2020/672 du Conseil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, la Commission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transmet au Parlement européen, au Conseil, au Comité économique et financier et au Comité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de l’emploi, un rapport sur l’utilisation de l’assistance fin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ancière, y compris les montants en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suspens et le calendrier de remboursement applicable dans le cadre de l’instrument SURE, et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sur la persistance des événements exceptionnels qui justifient l’application dudit règlement.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Le premier rapport du genre a été publié le 22 mars 2021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13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. Le rapport a montré que SURE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avait  contribué  à  atténuer  les  effets  de  la  pandémie  sur  le  chômage,  dont  la  hausse  a  été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nettement  moins  importante  que  pendant  la  crise  financière  mondiale.  Les  futurs  rapports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d’examen sur la mise en  œuvre de SURE suivront tous les six mois tant que SURE restera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disponible  et  fourniront  d’autres  occasions  de  faire  le  point  sur  l’expérience  acquise  avec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l’instrument  SURE.  SURE  est  disponible  jusque  fin  décembre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2022.  Durant  cette  période,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l’assistance financière peut être mise à disposition au moyen d’une décision d’exécution du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Conseil,  sur  la  base  d’une proposition  de  la  Commission.  Dans  le  cadre  de  SURE,  plus  de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60" w:val="left"/>
        </w:tabs>
        <w:jc w:val="both"/>
        <w:spacing w:before="42"/>
        <w:ind w:left="474" w:right="82" w:hanging="35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10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ab/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Pour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certaines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mesures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adoptées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titre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cadre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temporaire,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n’est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nécessaire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d’indiquer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budget,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c’est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pourquoi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chiffres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inclus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sont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meilleu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estimations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fondées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budgets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approuvés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dans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décisions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relatives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aux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aides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d’État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d’autres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chiffres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disponibles,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exemple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ceux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mentionnés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dans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communications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publiques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autorités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nationales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dans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informations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officielles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communiquées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autorités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nationales.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outre,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certaines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mesures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concernent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plusieurs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secteurs.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n’est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donc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possible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déterminer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montant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exact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pour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chacun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secteurs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concernés.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0"/>
        <w:ind w:left="474" w:right="79" w:hanging="358"/>
      </w:pPr>
      <w:r>
        <w:rPr>
          <w:rFonts w:cs="Courier New" w:hAnsi="Courier New" w:eastAsia="Courier New" w:ascii="Courier New"/>
          <w:w w:val="99"/>
          <w:position w:val="5"/>
          <w:sz w:val="13"/>
          <w:szCs w:val="13"/>
        </w:rPr>
        <w:t>11</w:t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obligations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visent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informations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requises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l’ann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exe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règlement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(UE)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nº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651/2014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Commission,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l’annexe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règlement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(UE)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nº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702/2014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Commission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l’annexe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règlement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(UE)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nº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1388/2014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Commission.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informations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sont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publiées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site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web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direction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générale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concurrence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sous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numéro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d’identification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chaque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affaire: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18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/ec.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/co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etit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/elo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j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e/is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/i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ex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?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</w:hyperlink>
      <w:hyperlink r:id="rId19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ea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ctio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=d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esu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&amp;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lic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y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ea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=3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6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12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159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20.5.2020,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60" w:val="left"/>
        </w:tabs>
        <w:jc w:val="both"/>
        <w:spacing w:before="3" w:lineRule="exact" w:line="220"/>
        <w:ind w:left="474" w:right="80" w:hanging="35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13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ab/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Rapport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l’instrument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européen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soutien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temporaire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l’atténuation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risques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ômage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situation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d’urgence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(SURE)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engendrée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propagation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COVID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conformément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l’article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règlement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(UE)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2020/672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Conseil.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SURE: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inventaire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après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six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mois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20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://e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ex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/le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al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74"/>
        <w:sectPr>
          <w:pgMar w:header="0" w:footer="985" w:top="130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hyperlink r:id="rId21"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co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ten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FR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/T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XT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DF/?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i=CEL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X:5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DC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4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8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&amp;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=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</w:hyperlink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81"/>
      </w:pPr>
      <w:r>
        <w:rPr>
          <w:rFonts w:cs="Times New Roman" w:hAnsi="Times New Roman" w:eastAsia="Times New Roman" w:ascii="Times New Roman"/>
          <w:sz w:val="24"/>
          <w:szCs w:val="24"/>
        </w:rPr>
        <w:t>5 </w:t>
      </w:r>
      <w:r>
        <w:rPr>
          <w:rFonts w:cs="Times New Roman" w:hAnsi="Times New Roman" w:eastAsia="Times New Roman" w:ascii="Times New Roman"/>
          <w:sz w:val="24"/>
          <w:szCs w:val="24"/>
        </w:rPr>
        <w:t>milliards  d’euros  sont  encore  disponibles  pour  aider  les  États  membres  à  soutenir  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z w:val="24"/>
          <w:szCs w:val="24"/>
        </w:rPr>
        <w:t>availleurs, quel que soit le secteur de l’activité économique, donc également dans le secteur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du tourisme.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57) à remédier à la situation des travailleurs du secteur touristique touchés par la crise de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COVID-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19 et à envisager la possibilité d’établir un 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cadre européen, dans le cadre du plan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d’action  pour  le  socle  européen  des  droits  sociaux,  couvrant  toute  la  chaîne  de  valeur  du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secteur,  en  étroite  coopération  avec  les  partenaires  sociaux  et  les  entreprises,  grâce  à  un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dialogue  constructif  sur  les  conditions  de  travail  dans  le  secteur,   caractérisé  par 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saisonnalité et les formes d’emploi à temps partiel et atypiques;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La   situation   des   travailleurs   saisonniers   a   été   abordée   dans   la   communication   de   la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Commission sur les travailleurs saisonniers dans l’Uni</w:t>
      </w:r>
      <w:r>
        <w:rPr>
          <w:rFonts w:cs="Times New Roman" w:hAnsi="Times New Roman" w:eastAsia="Times New Roman" w:ascii="Times New Roman"/>
          <w:sz w:val="24"/>
          <w:szCs w:val="24"/>
        </w:rPr>
        <w:t>on européenne dans le contexte de la</w:t>
      </w:r>
      <w:r>
        <w:rPr>
          <w:rFonts w:cs="Times New Roman" w:hAnsi="Times New Roman" w:eastAsia="Times New Roman" w:ascii="Times New Roman"/>
          <w:sz w:val="24"/>
          <w:szCs w:val="24"/>
        </w:rPr>
        <w:t> pandémie  de  COVID-19,  publiée  le  16 juillet 2020.  Ce  document  indique  aux  autorités</w:t>
      </w:r>
      <w:r>
        <w:rPr>
          <w:rFonts w:cs="Times New Roman" w:hAnsi="Times New Roman" w:eastAsia="Times New Roman" w:ascii="Times New Roman"/>
          <w:sz w:val="24"/>
          <w:szCs w:val="24"/>
        </w:rPr>
        <w:t> nationales, aux inspections du travail et aux partenaires sociaux comment garantir les droits,</w:t>
      </w:r>
      <w:r>
        <w:rPr>
          <w:rFonts w:cs="Times New Roman" w:hAnsi="Times New Roman" w:eastAsia="Times New Roman" w:ascii="Times New Roman"/>
          <w:sz w:val="24"/>
          <w:szCs w:val="24"/>
        </w:rPr>
        <w:t> la  santé  et  la  sécurité  des  travailleurs  saisonniers  et  veiller  à  ce  que  ces  travailleurs  soient</w:t>
      </w:r>
      <w:r>
        <w:rPr>
          <w:rFonts w:cs="Times New Roman" w:hAnsi="Times New Roman" w:eastAsia="Times New Roman" w:ascii="Times New Roman"/>
          <w:sz w:val="24"/>
          <w:szCs w:val="24"/>
        </w:rPr>
        <w:t> informés de leurs droits.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Le dialogue social, tant au niveau de l’UE qu’au niveau national, est important pour améliorer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les  conditions  de  travail,  accompagner  les  changements  structurels  et  adapter  </w:t>
      </w:r>
      <w:r>
        <w:rPr>
          <w:rFonts w:cs="Times New Roman" w:hAnsi="Times New Roman" w:eastAsia="Times New Roman" w:ascii="Times New Roman"/>
          <w:sz w:val="24"/>
          <w:szCs w:val="24"/>
        </w:rPr>
        <w:t>l’économie  à</w:t>
      </w:r>
      <w:r>
        <w:rPr>
          <w:rFonts w:cs="Times New Roman" w:hAnsi="Times New Roman" w:eastAsia="Times New Roman" w:ascii="Times New Roman"/>
          <w:sz w:val="24"/>
          <w:szCs w:val="24"/>
        </w:rPr>
        <w:t> l’ère de l’après</w:t>
      </w:r>
      <w:r>
        <w:rPr>
          <w:rFonts w:cs="Times New Roman" w:hAnsi="Times New Roman" w:eastAsia="Times New Roman" w:ascii="Times New Roman"/>
          <w:sz w:val="24"/>
          <w:szCs w:val="24"/>
        </w:rPr>
        <w:t>-COVID-</w:t>
      </w:r>
      <w:r>
        <w:rPr>
          <w:rFonts w:cs="Times New Roman" w:hAnsi="Times New Roman" w:eastAsia="Times New Roman" w:ascii="Times New Roman"/>
          <w:sz w:val="24"/>
          <w:szCs w:val="24"/>
        </w:rPr>
        <w:t>19. C’est pourquoi, dans le cadre de ses lignes budgétaires consacrées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au dialogue social qui relèvent de ses prérogatives, la Commission soutient le renforcement</w:t>
      </w:r>
      <w:r>
        <w:rPr>
          <w:rFonts w:cs="Times New Roman" w:hAnsi="Times New Roman" w:eastAsia="Times New Roman" w:ascii="Times New Roman"/>
          <w:sz w:val="24"/>
          <w:szCs w:val="24"/>
        </w:rPr>
        <w:t> des  capacités  des  partenaires  sociaux,  qui  permettra  à  ces  derniers  de  mettre  au  point  les</w:t>
      </w:r>
      <w:r>
        <w:rPr>
          <w:rFonts w:cs="Times New Roman" w:hAnsi="Times New Roman" w:eastAsia="Times New Roman" w:ascii="Times New Roman"/>
          <w:sz w:val="24"/>
          <w:szCs w:val="24"/>
        </w:rPr>
        <w:t> connaissances nécessaires pour aborder et améliorer les conditions de travail. La Commission</w:t>
      </w:r>
      <w:r>
        <w:rPr>
          <w:rFonts w:cs="Times New Roman" w:hAnsi="Times New Roman" w:eastAsia="Times New Roman" w:ascii="Times New Roman"/>
          <w:sz w:val="24"/>
          <w:szCs w:val="24"/>
        </w:rPr>
        <w:t> soutient  le  dialogue  social  sectoriel  en  organisant  les  réunions  des  43 comités  de  dialogue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social  sectoriel  au  niveau  de  l’UE,  d</w:t>
      </w:r>
      <w:r>
        <w:rPr>
          <w:rFonts w:cs="Times New Roman" w:hAnsi="Times New Roman" w:eastAsia="Times New Roman" w:ascii="Times New Roman"/>
          <w:sz w:val="24"/>
          <w:szCs w:val="24"/>
        </w:rPr>
        <w:t>ont  le  comité  HORECA,  qui  traite,  entre  autres,  de</w:t>
      </w:r>
      <w:r>
        <w:rPr>
          <w:rFonts w:cs="Times New Roman" w:hAnsi="Times New Roman" w:eastAsia="Times New Roman" w:ascii="Times New Roman"/>
          <w:sz w:val="24"/>
          <w:szCs w:val="24"/>
        </w:rPr>
        <w:t> diverses  questions  liées  au  tourisme.  En  outre,  la  Commission  organise  des  auditions</w:t>
      </w:r>
      <w:r>
        <w:rPr>
          <w:rFonts w:cs="Times New Roman" w:hAnsi="Times New Roman" w:eastAsia="Times New Roman" w:ascii="Times New Roman"/>
          <w:sz w:val="24"/>
          <w:szCs w:val="24"/>
        </w:rPr>
        <w:t> spécifiques  avec  les  partenaires  sociaux  européens,  au  cours  desquelles  ceux-ci  peuvent</w:t>
      </w:r>
      <w:r>
        <w:rPr>
          <w:rFonts w:cs="Times New Roman" w:hAnsi="Times New Roman" w:eastAsia="Times New Roman" w:ascii="Times New Roman"/>
          <w:sz w:val="24"/>
          <w:szCs w:val="24"/>
        </w:rPr>
        <w:t> apporter leur contribution aux p</w:t>
      </w:r>
      <w:r>
        <w:rPr>
          <w:rFonts w:cs="Times New Roman" w:hAnsi="Times New Roman" w:eastAsia="Times New Roman" w:ascii="Times New Roman"/>
          <w:sz w:val="24"/>
          <w:szCs w:val="24"/>
        </w:rPr>
        <w:t>olitiques de l’UE dans le domaine des politiques sociales et de</w:t>
      </w:r>
      <w:r>
        <w:rPr>
          <w:rFonts w:cs="Times New Roman" w:hAnsi="Times New Roman" w:eastAsia="Times New Roman" w:ascii="Times New Roman"/>
          <w:sz w:val="24"/>
          <w:szCs w:val="24"/>
        </w:rPr>
        <w:t> l’emploi, et en particulier des conditions de travail.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58)  avec  la  Banque  européenne  d’investissement,  à  créer  des  aides  spécifiques  suffisantes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pour  la  décarbonation  du  secteur  du  tourisme,  pour  la  numérisation  et  pour  les  projets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innovants, et à mettre en place des conditions d’accès à InvestEU pour les microentreprises et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les PME, afin de leur permettre d’acquérir de nouvelles compétences et de créer des emplois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de qualité;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60)  à  proposer  de 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nouveaux  programmes  pour  favoriser  l’innovation  dans  le  secteur  du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tourisme  grâce  à  la  réflexion  conceptuelle;  à  soutenir  les  bonnes  pratiques  actuellement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mises  en  œuvre  par  les  autorités  nationales,  régionales  et  locales,  la  transition  vers  une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intermodalité  sans  rupture  de  continuité  dans  les  transports  ainsi  que  le développement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billets directs jusqu’au lieu de destination pour les voyages en train;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sz w:val="24"/>
          <w:szCs w:val="24"/>
        </w:rPr>
        <w:t>Le  soutien  à  la  transformation  verte  et  numérique,  à  l’innovation  des  entreprises  et  des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destinations  touristiques  est  disponible  dans  le  cadre  de  plusieurs  fonds  européens.  Voir</w:t>
      </w:r>
      <w:r>
        <w:rPr>
          <w:rFonts w:cs="Times New Roman" w:hAnsi="Times New Roman" w:eastAsia="Times New Roman" w:ascii="Times New Roman"/>
          <w:sz w:val="24"/>
          <w:szCs w:val="24"/>
        </w:rPr>
        <w:t> point </w:t>
      </w:r>
      <w:r>
        <w:rPr>
          <w:rFonts w:cs="Times New Roman" w:hAnsi="Times New Roman" w:eastAsia="Times New Roman" w:ascii="Times New Roman"/>
          <w:sz w:val="24"/>
          <w:szCs w:val="24"/>
        </w:rPr>
        <w:t>11 sur le «Guide des financements de l’UE pour le tourisme».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2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61) à mettre en œuvre le visa électronique, ainsi que le visa d’itinérance et d’autres mesures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permettant l’entrée légale des visiteurs dans l’Union;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Le  programme  de  travail </w:t>
      </w:r>
      <w:r>
        <w:rPr>
          <w:rFonts w:cs="Times New Roman" w:hAnsi="Times New Roman" w:eastAsia="Times New Roman" w:ascii="Times New Roman"/>
          <w:sz w:val="24"/>
          <w:szCs w:val="24"/>
        </w:rPr>
        <w:t>2021  de  la  Commission  européenne  prévoit  la  présentation  d’une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proposition  à  la  fin  de  cette  année  concernant  la  numérisation  des  procédures  de  visa.  Il</w:t>
      </w:r>
      <w:r>
        <w:rPr>
          <w:rFonts w:cs="Times New Roman" w:hAnsi="Times New Roman" w:eastAsia="Times New Roman" w:ascii="Times New Roman"/>
          <w:sz w:val="24"/>
          <w:szCs w:val="24"/>
        </w:rPr>
        <w:t> devrait contribuer de manière significative à la relance et à la reprise du tourisme.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9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64) à présenter une proposition sur les indications géographiques des produits non agricoles,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notamment à la lumière des résultats de la consultation publique de 2014 qui met en avant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contribution   d’une  telle   reconnaissance   au   secteur   du   tourisme  grâce   à   l’association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immédiate d’un produit avec un territoire;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Dans  son  </w:t>
      </w: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22"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pl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d’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ti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fa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ve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la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pro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prié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té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int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ll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tu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ll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</w:rPr>
          <w:t>  </w:t>
        </w:r>
        <w:r>
          <w:rPr>
            <w:rFonts w:cs="Times New Roman" w:hAnsi="Times New Roman" w:eastAsia="Times New Roman" w:ascii="Times New Roman"/>
            <w:color w:val="000000"/>
            <w:sz w:val="24"/>
            <w:szCs w:val="24"/>
          </w:rPr>
          <w:t>de  novembre 2020,  la</w:t>
        </w:r>
      </w:hyperlink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Commission a annoncé  qu’elle examinerait la  possibilité de créer un  système de protection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des IG de l’UE pour les produits non agricoles qui soit efficac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e et transparent, en se basant sur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une analyse d’impact approfondie relative aux coûts et avantages potentiels découlant d’un tel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système. Le 30 novembre 2020, la Commission a publié une </w:t>
      </w: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23"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na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y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se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’impa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ini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ti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le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sur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la</w:t>
        </w:r>
      </w:hyperlink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r>
        <w:rPr>
          <w:rFonts w:cs="Times New Roman" w:hAnsi="Times New Roman" w:eastAsia="Times New Roman" w:ascii="Times New Roman"/>
          <w:color w:val="0000FF"/>
          <w:sz w:val="24"/>
          <w:szCs w:val="24"/>
        </w:rPr>
        <w:t> </w:t>
      </w:r>
      <w:hyperlink r:id="rId24"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prote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ti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on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de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ni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ve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l’U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pour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les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produ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it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non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ric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ol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00"/>
            <w:sz w:val="24"/>
            <w:szCs w:val="24"/>
          </w:rPr>
          <w:t>.  Les  services  de  la</w:t>
        </w:r>
      </w:hyperlink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Commission  travaillent  actuellement  à  une  analyse  d’impact  sur  l’opportunité  de  proposer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l’établissement  d’un  système  de  protection  des  indications  géographiques  de  l’UE  pour  les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produits  non  agricoles.  Dans  ce  cadre,  une  étude  d’une  durée  de 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8 mois  «sur  les  règles  de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contrôle et d’application des indications géographiques pour les produits non agricoles» a été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lancée  en  janvier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2021.  D’autres  aspects  impliquent  diverses  consultations  avec  les  parties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z w:val="24"/>
          <w:szCs w:val="24"/>
        </w:rPr>
        <w:t>prenantes, notamment une </w:t>
      </w: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25"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onsul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tation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publi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que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ouve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  <w:t>rte</w:t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</w:rPr>
        </w:r>
        <w:r>
          <w:rPr>
            <w:rFonts w:cs="Times New Roman" w:hAnsi="Times New Roman" w:eastAsia="Times New Roman" w:ascii="Times New Roman"/>
            <w:color w:val="0000FF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000000"/>
            <w:sz w:val="24"/>
            <w:szCs w:val="24"/>
          </w:rPr>
          <w:t>lancée en avril et ouverte jusqu’au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233"/>
      </w:pPr>
      <w:r>
        <w:rPr>
          <w:rFonts w:cs="Times New Roman" w:hAnsi="Times New Roman" w:eastAsia="Times New Roman" w:ascii="Times New Roman"/>
          <w:sz w:val="24"/>
          <w:szCs w:val="24"/>
        </w:rPr>
        <w:t>22 juillet.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65)  à  mettre  en  valeur  les  professions  du  secteur  de  l’artisanat  d’art  et  de  l’artisanat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traditionnel,   qui   représentent   l’excellence   de   produits   fabriqués   en   Europe   en   tant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qu’expression des identités et des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traditions des territoires européens, y compris au sein de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filière  du  tourisme,  en  les  reconnaissant  officiellement  comme  des  éléments  du  patrimoine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culturel européen;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La stratégie européenne en matière de compétences reconnaît que les entreprises ont besoin de</w:t>
      </w:r>
      <w:r>
        <w:rPr>
          <w:rFonts w:cs="Times New Roman" w:hAnsi="Times New Roman" w:eastAsia="Times New Roman" w:ascii="Times New Roman"/>
          <w:sz w:val="24"/>
          <w:szCs w:val="24"/>
        </w:rPr>
        <w:t> travailleurs   possédant   les   compétences   requises   pour   maîtriser   les   transitions   verte   et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numérique,  et  que  les  citoyens  doivent  pouvoir  bénéficier  d’un  enseignement  et  d’une</w:t>
      </w:r>
      <w:r>
        <w:rPr>
          <w:rFonts w:cs="Times New Roman" w:hAnsi="Times New Roman" w:eastAsia="Times New Roman" w:ascii="Times New Roman"/>
          <w:sz w:val="24"/>
          <w:szCs w:val="24"/>
        </w:rPr>
        <w:t> formation appropriés pour s’épanouir dans la vie, y compris dans les prof</w:t>
      </w:r>
      <w:r>
        <w:rPr>
          <w:rFonts w:cs="Times New Roman" w:hAnsi="Times New Roman" w:eastAsia="Times New Roman" w:ascii="Times New Roman"/>
          <w:sz w:val="24"/>
          <w:szCs w:val="24"/>
        </w:rPr>
        <w:t>essions artistiques et</w:t>
      </w:r>
      <w:r>
        <w:rPr>
          <w:rFonts w:cs="Times New Roman" w:hAnsi="Times New Roman" w:eastAsia="Times New Roman" w:ascii="Times New Roman"/>
          <w:sz w:val="24"/>
          <w:szCs w:val="24"/>
        </w:rPr>
        <w:t> artisanales traditionnelles. La stratégie européenne en matière de compétences met en pratique</w:t>
      </w:r>
      <w:r>
        <w:rPr>
          <w:rFonts w:cs="Times New Roman" w:hAnsi="Times New Roman" w:eastAsia="Times New Roman" w:ascii="Times New Roman"/>
          <w:sz w:val="24"/>
          <w:szCs w:val="24"/>
        </w:rPr>
        <w:t> la stratégie industrielle en opérant un changement dans le perfectionnement des compétences</w:t>
      </w:r>
      <w:r>
        <w:rPr>
          <w:rFonts w:cs="Times New Roman" w:hAnsi="Times New Roman" w:eastAsia="Times New Roman" w:ascii="Times New Roman"/>
          <w:sz w:val="24"/>
          <w:szCs w:val="24"/>
        </w:rPr>
        <w:t> (amélioration  des  compétences  existantes)  et  la  reconversion  (formation  à  de  nouvelles</w:t>
      </w:r>
      <w:r>
        <w:rPr>
          <w:rFonts w:cs="Times New Roman" w:hAnsi="Times New Roman" w:eastAsia="Times New Roman" w:ascii="Times New Roman"/>
          <w:sz w:val="24"/>
          <w:szCs w:val="24"/>
        </w:rPr>
        <w:t> compétences) de la main-</w:t>
      </w:r>
      <w:r>
        <w:rPr>
          <w:rFonts w:cs="Times New Roman" w:hAnsi="Times New Roman" w:eastAsia="Times New Roman" w:ascii="Times New Roman"/>
          <w:sz w:val="24"/>
          <w:szCs w:val="24"/>
        </w:rPr>
        <w:t>d’œuvre industrielle. Cette stratégie prévoit notamment de tester la</w:t>
      </w:r>
      <w:r>
        <w:rPr>
          <w:rFonts w:cs="Times New Roman" w:hAnsi="Times New Roman" w:eastAsia="Times New Roman" w:ascii="Times New Roman"/>
          <w:sz w:val="24"/>
          <w:szCs w:val="24"/>
        </w:rPr>
        <w:t> faisabilité d’une initiative réunissant des professionnels du secteur et des universitaires sur le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thème des besoins des entreprises. Cette initiative vise à donner aux étudiants universitaires</w:t>
      </w:r>
      <w:r>
        <w:rPr>
          <w:rFonts w:cs="Times New Roman" w:hAnsi="Times New Roman" w:eastAsia="Times New Roman" w:ascii="Times New Roman"/>
          <w:sz w:val="24"/>
          <w:szCs w:val="24"/>
        </w:rPr>
        <w:t> une expérience concrète du monde des affaires en demandant à des équipes multinationales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résoudre des défis spécifiques au sein du département de recherche et développement d’une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z w:val="24"/>
          <w:szCs w:val="24"/>
        </w:rPr>
        <w:t>treprise. Les premiers résultats sont attendus d’ici à la mi</w:t>
      </w:r>
      <w:r>
        <w:rPr>
          <w:rFonts w:cs="Times New Roman" w:hAnsi="Times New Roman" w:eastAsia="Times New Roman" w:ascii="Times New Roman"/>
          <w:sz w:val="24"/>
          <w:szCs w:val="24"/>
        </w:rPr>
        <w:t>-2021.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7"/>
      </w:pPr>
      <w:r>
        <w:rPr>
          <w:rFonts w:cs="Times New Roman" w:hAnsi="Times New Roman" w:eastAsia="Times New Roman" w:ascii="Times New Roman"/>
          <w:sz w:val="24"/>
          <w:szCs w:val="24"/>
        </w:rPr>
        <w:t>Le pacte européen sur les compétences a été lancé par les commissaires Schmit et Breton 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10 novembre </w:t>
      </w:r>
      <w:r>
        <w:rPr>
          <w:rFonts w:cs="Times New Roman" w:hAnsi="Times New Roman" w:eastAsia="Times New Roman" w:ascii="Times New Roman"/>
          <w:sz w:val="24"/>
          <w:szCs w:val="24"/>
        </w:rPr>
        <w:t>2020.  Il  s’agit  d’un  engagement  et  d’une  approche  partagés  pour  mobiliser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toutes les parties prenantes pour investir dans les compétences. Le pacte vise à mettre en place</w:t>
      </w:r>
      <w:r>
        <w:rPr>
          <w:rFonts w:cs="Times New Roman" w:hAnsi="Times New Roman" w:eastAsia="Times New Roman" w:ascii="Times New Roman"/>
          <w:sz w:val="24"/>
          <w:szCs w:val="24"/>
        </w:rPr>
        <w:t> des  «partenariats en matière de compétences» multi-acteurs à  grande échelle répondant aux</w:t>
      </w:r>
      <w:r>
        <w:rPr>
          <w:rFonts w:cs="Times New Roman" w:hAnsi="Times New Roman" w:eastAsia="Times New Roman" w:ascii="Times New Roman"/>
          <w:sz w:val="24"/>
          <w:szCs w:val="24"/>
        </w:rPr>
        <w:t> besoins  des  14 écosystèmes  industriels  recensés  dans  la  stratégie  industrielle  de  </w:t>
      </w:r>
      <w:r>
        <w:rPr>
          <w:rFonts w:cs="Times New Roman" w:hAnsi="Times New Roman" w:eastAsia="Times New Roman" w:ascii="Times New Roman"/>
          <w:sz w:val="24"/>
          <w:szCs w:val="24"/>
        </w:rPr>
        <w:t>l’UE.  Les</w:t>
      </w:r>
      <w:r>
        <w:rPr>
          <w:rFonts w:cs="Times New Roman" w:hAnsi="Times New Roman" w:eastAsia="Times New Roman" w:ascii="Times New Roman"/>
          <w:sz w:val="24"/>
          <w:szCs w:val="24"/>
        </w:rPr>
        <w:t> industries culturelles et créatives  constituent l’un de ces écosystèmes. Pour tirer parti de ce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pacte  sur  les  compétences,  des  tables  rondes  thématiques  ont  été  organisées,  dont  une</w:t>
      </w:r>
      <w:r>
        <w:rPr>
          <w:rFonts w:cs="Times New Roman" w:hAnsi="Times New Roman" w:eastAsia="Times New Roman" w:ascii="Times New Roman"/>
          <w:sz w:val="24"/>
          <w:szCs w:val="24"/>
        </w:rPr>
        <w:t> fructueuse sur les industries culturelles et créatives.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Le tourisme culturel durable a des associations et des liens forts avec les industries culturelles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et créatives. De nombreux projets financés par l’UE examinent les professions artistiques et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artisanales traditionnelles. Un exemple est INCREAS (Innovation and Creative Solutions for</w:t>
      </w:r>
      <w:r>
        <w:rPr>
          <w:rFonts w:cs="Times New Roman" w:hAnsi="Times New Roman" w:eastAsia="Times New Roman" w:ascii="Times New Roman"/>
          <w:sz w:val="24"/>
          <w:szCs w:val="24"/>
        </w:rPr>
        <w:t> Cultural Heritage), qui est cofinancé par la Commission </w:t>
      </w:r>
      <w:r>
        <w:rPr>
          <w:rFonts w:cs="Times New Roman" w:hAnsi="Times New Roman" w:eastAsia="Times New Roman" w:ascii="Times New Roman"/>
          <w:sz w:val="24"/>
          <w:szCs w:val="24"/>
        </w:rPr>
        <w:t>— direction générale de l’éducation,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 la  jeunesse,  du  sport  et  de  la  culture.  Son  objectif  est  de  contribuer  au  recensement  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certains  besoins  en  matière  de  compétences  pour  le  patrimoine  culturel  bâti,  de  faire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l’inventaire des projets innovants dans le secteur du patrimoine culturel et de créer un centre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compétences européen pour la conservation architecturale pratique dans la chartreuse de</w:t>
      </w:r>
      <w:r>
        <w:rPr>
          <w:rFonts w:cs="Times New Roman" w:hAnsi="Times New Roman" w:eastAsia="Times New Roman" w:ascii="Times New Roman"/>
          <w:sz w:val="24"/>
          <w:szCs w:val="24"/>
        </w:rPr>
        <w:t> Mauerbach.  Il  crée  un  secteur  fort  combinant  le  patrimoine  culturel  bâti  et  les  industries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culturelles  et  créatives,  afin  d’accroître  les  possibilités  d’emploi  et  de  favoriser  l’idée  d’un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patrimoine  culturel  durable  en  Europe.  Un  autre  exemple  récent  est  le  projet  CHARTER</w:t>
      </w:r>
      <w:r>
        <w:rPr>
          <w:rFonts w:cs="Times New Roman" w:hAnsi="Times New Roman" w:eastAsia="Times New Roman" w:ascii="Times New Roman"/>
          <w:sz w:val="24"/>
          <w:szCs w:val="24"/>
        </w:rPr>
        <w:t> («Cultural Heritage Actions to Refine Training, Education and Roles»), financé par Erasmus+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dans  le  cadre de  l’appel  à  projets  pour  une  alliance  sectorielle  pour  les  compétences  sur  le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patrimoine culturel. Il vise à élaborer la toute première méthodologie permettant au secteur du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patrimoine d’évaluer, de concevoir  et de produire une stratégie sectorielle des compétences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intégrée de manière globale. Son principal objectif est de repérer et de combler les écarts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compétences entre le monde de l’éducation et le monde du trav</w:t>
      </w:r>
      <w:r>
        <w:rPr>
          <w:rFonts w:cs="Times New Roman" w:hAnsi="Times New Roman" w:eastAsia="Times New Roman" w:ascii="Times New Roman"/>
          <w:sz w:val="24"/>
          <w:szCs w:val="24"/>
        </w:rPr>
        <w:t>ail, en élaborant une matrice</w:t>
      </w:r>
      <w:r>
        <w:rPr>
          <w:rFonts w:cs="Times New Roman" w:hAnsi="Times New Roman" w:eastAsia="Times New Roman" w:ascii="Times New Roman"/>
          <w:sz w:val="24"/>
          <w:szCs w:val="24"/>
        </w:rPr>
        <w:t> de  recensement  des  aptitudes  et  des  compétences  dans  le  secteur  du  patrimoine.  Un  bon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exemple de projet financé par Europe créative est MADE IN, qui s’est achevé récemment. Il</w:t>
      </w:r>
      <w:r>
        <w:rPr>
          <w:rFonts w:cs="Times New Roman" w:hAnsi="Times New Roman" w:eastAsia="Times New Roman" w:ascii="Times New Roman"/>
          <w:sz w:val="24"/>
          <w:szCs w:val="24"/>
        </w:rPr>
        <w:t> s’agit d’une initiative de recherche, de design et </w:t>
      </w:r>
      <w:r>
        <w:rPr>
          <w:rFonts w:cs="Times New Roman" w:hAnsi="Times New Roman" w:eastAsia="Times New Roman" w:ascii="Times New Roman"/>
          <w:sz w:val="24"/>
          <w:szCs w:val="24"/>
        </w:rPr>
        <w:t>de patrimoine qui encourage la collaboration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et l’échange de connaissances entre les artisans traditionnels et les designers contemporains.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66)  à  évaluer  et,  si  nécessaire,  à  réviser  la  directive  relative  aux  voyages  à  forfait  et  à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débloquer les négociations au sein du Conseil sur la révision du règlement (CE) nº 261/2004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sur  les  droits  des  passagers  aériens  afin  de  tenir  compte  des  effets  de  la  récente  crise,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prévenir les situations futures d’insécurité juridique et de garantir la protection des droits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consommateurs;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z w:val="24"/>
          <w:szCs w:val="24"/>
        </w:rPr>
        <w:t>Si le déblocage des négociations sur la révision du règlement (CE) nº 261/2004 sur les droits</w:t>
      </w:r>
      <w:r>
        <w:rPr>
          <w:rFonts w:cs="Times New Roman" w:hAnsi="Times New Roman" w:eastAsia="Times New Roman" w:ascii="Times New Roman"/>
          <w:sz w:val="24"/>
          <w:szCs w:val="24"/>
        </w:rPr>
        <w:t> des  passagers  aériens  est  entre  les  mains  du  Conseil  et  reste  une  priorité,  la  Commission,</w:t>
      </w:r>
      <w:r>
        <w:rPr>
          <w:rFonts w:cs="Times New Roman" w:hAnsi="Times New Roman" w:eastAsia="Times New Roman" w:ascii="Times New Roman"/>
          <w:sz w:val="24"/>
          <w:szCs w:val="24"/>
        </w:rPr>
        <w:t> comme  annoncé  dans  sa  stratégie  pour  une  mobilité  durable  et  intelligente  (action 64),</w:t>
      </w:r>
      <w:r>
        <w:rPr>
          <w:rFonts w:cs="Times New Roman" w:hAnsi="Times New Roman" w:eastAsia="Times New Roman" w:ascii="Times New Roman"/>
          <w:sz w:val="24"/>
          <w:szCs w:val="24"/>
        </w:rPr>
        <w:t> évaluera les options et proposera, le cas échéant, un système de protection financière adéquat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pour protéger les passagers contre le risque de crise de liquidité ou d’insolvabilité concernant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 remboursement des billets </w:t>
      </w:r>
      <w:r>
        <w:rPr>
          <w:rFonts w:cs="Times New Roman" w:hAnsi="Times New Roman" w:eastAsia="Times New Roman" w:ascii="Times New Roman"/>
          <w:sz w:val="24"/>
          <w:szCs w:val="24"/>
        </w:rPr>
        <w:t>et le rapatriement des passagers. En outre, la Commission s’est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engagée  à  proposer  une  révision  du  règlement  sur  les  services  aériens  (action 59  du  plan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d’action annexé à la stratégie pour une mobilité durable et intelligente). Dans ce contexte, la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Commis</w:t>
      </w:r>
      <w:r>
        <w:rPr>
          <w:rFonts w:cs="Times New Roman" w:hAnsi="Times New Roman" w:eastAsia="Times New Roman" w:ascii="Times New Roman"/>
          <w:sz w:val="24"/>
          <w:szCs w:val="24"/>
        </w:rPr>
        <w:t>sion évaluera notamment d’autres mesures visant à améliorer la résilience financière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des transporteurs aériens.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2"/>
      </w:pPr>
      <w:r>
        <w:rPr>
          <w:rFonts w:cs="Times New Roman" w:hAnsi="Times New Roman" w:eastAsia="Times New Roman" w:ascii="Times New Roman"/>
          <w:sz w:val="24"/>
          <w:szCs w:val="24"/>
        </w:rPr>
        <w:t>Le   rapport   de   la   Commission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14   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relatif   à   la   directive   sur   les   voyages   à   forfait   du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26 février </w:t>
      </w:r>
      <w:r>
        <w:rPr>
          <w:rFonts w:cs="Times New Roman" w:hAnsi="Times New Roman" w:eastAsia="Times New Roman" w:ascii="Times New Roman"/>
          <w:sz w:val="24"/>
          <w:szCs w:val="24"/>
        </w:rPr>
        <w:t>2021 fournit un aperçu de l’application de la direct</w:t>
      </w:r>
      <w:r>
        <w:rPr>
          <w:rFonts w:cs="Times New Roman" w:hAnsi="Times New Roman" w:eastAsia="Times New Roman" w:ascii="Times New Roman"/>
          <w:sz w:val="24"/>
          <w:szCs w:val="24"/>
        </w:rPr>
        <w:t>ive ces deux dernières années et</w:t>
      </w:r>
      <w:r>
        <w:rPr>
          <w:rFonts w:cs="Times New Roman" w:hAnsi="Times New Roman" w:eastAsia="Times New Roman" w:ascii="Times New Roman"/>
          <w:sz w:val="24"/>
          <w:szCs w:val="24"/>
        </w:rPr>
        <w:t> demie. Il aborde sa transposition par les États membres, ses forces et ses faiblesses, y compris</w:t>
      </w:r>
      <w:r>
        <w:rPr>
          <w:rFonts w:cs="Times New Roman" w:hAnsi="Times New Roman" w:eastAsia="Times New Roman" w:ascii="Times New Roman"/>
          <w:sz w:val="24"/>
          <w:szCs w:val="24"/>
        </w:rPr>
        <w:t> les défis qui sont apparus dans le contexte de la faillite de Thomas Cook et de la pandémie de</w:t>
      </w:r>
      <w:r>
        <w:rPr>
          <w:rFonts w:cs="Times New Roman" w:hAnsi="Times New Roman" w:eastAsia="Times New Roman" w:ascii="Times New Roman"/>
          <w:sz w:val="24"/>
          <w:szCs w:val="24"/>
        </w:rPr>
        <w:t> COVID-19.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pict>
          <v:group style="position:absolute;margin-left:70.824pt;margin-top:105.389pt;width:144.02pt;height:0pt;mso-position-horizontal-relative:page;mso-position-vertical-relative:paragraph;z-index:-469" coordorigin="1416,2108" coordsize="2880,0">
            <v:shape style="position:absolute;left:1416;top:2108;width:2880;height:0" coordorigin="1416,2108" coordsize="2880,0" path="m1416,2108l4297,2108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Comme  annoncé  dans  son  nouvel  agenda  du  consommateur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15  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pour 2020-2025  et  comme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confirmé par le rapport du 26 février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2021, la Commission procédera d’ici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2022 à une analyse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plus  approfondie  de  la  question  de  savoir  si  le  cadre  réglementaire  actuel  régissant  les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voyages  à  forfait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,  notamment  en  ce  qui  concerne  la  protection  contre  l’insolvabilité,  est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toujours pleinement à même d’assurer à tout moment une protection solide et complète des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consommateurs,  compte  tenu,  également,  des  changements  intervenus  dans  le  domaine  des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droits des passagers.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60" w:val="left"/>
        </w:tabs>
        <w:jc w:val="both"/>
        <w:spacing w:before="42"/>
        <w:ind w:left="474" w:right="87" w:hanging="35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14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ab/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Rapport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Commission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Parlement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européen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Conseil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l’application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directive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(UE)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2015/2302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Parlement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européen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Conseil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relative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aux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voyages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forfait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aux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prestations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voyage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liées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[COM(2021)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90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final].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6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15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Communication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Commission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Parlement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européen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Conseil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intitulée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«Nouvel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agenda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74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consommateur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visant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renforcer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résilience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consommateurs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vue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d’une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reprise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durable»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74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[COM(2020)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696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final].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La   Commission   évaluera   la   manière   d’assurer   le   niveau   élevé   de   protection   des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consommateurs  prévu  par  la  directive  et  de  veiller  au  respect  effectif  des  droits  des</w:t>
      </w:r>
      <w:r>
        <w:rPr>
          <w:rFonts w:cs="Times New Roman" w:hAnsi="Times New Roman" w:eastAsia="Times New Roman" w:ascii="Times New Roman"/>
          <w:sz w:val="24"/>
          <w:szCs w:val="24"/>
        </w:rPr>
        <w:t> consommateurs en tout temps et examinera comment un partage plus équitable de la charge</w:t>
      </w:r>
      <w:r>
        <w:rPr>
          <w:rFonts w:cs="Times New Roman" w:hAnsi="Times New Roman" w:eastAsia="Times New Roman" w:ascii="Times New Roman"/>
          <w:sz w:val="24"/>
          <w:szCs w:val="24"/>
        </w:rPr>
        <w:t> entre les opérateurs économiques tout au long de la chaîne de valeur pourrait contribuer à la</w:t>
      </w:r>
      <w:r>
        <w:rPr>
          <w:rFonts w:cs="Times New Roman" w:hAnsi="Times New Roman" w:eastAsia="Times New Roman" w:ascii="Times New Roman"/>
          <w:sz w:val="24"/>
          <w:szCs w:val="24"/>
        </w:rPr>
        <w:t> réalisation de cet objectif.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La  pandémie  de  COVID-19  a  mis  en  évidence  les  différents  niveaux  de  protection  des</w:t>
      </w:r>
      <w:r>
        <w:rPr>
          <w:rFonts w:cs="Times New Roman" w:hAnsi="Times New Roman" w:eastAsia="Times New Roman" w:ascii="Times New Roman"/>
          <w:sz w:val="24"/>
          <w:szCs w:val="24"/>
        </w:rPr>
        <w:t> consommateurs en ce qui concerne les voyages à forfait par rapport aux services de transport</w:t>
      </w:r>
      <w:r>
        <w:rPr>
          <w:rFonts w:cs="Times New Roman" w:hAnsi="Times New Roman" w:eastAsia="Times New Roman" w:ascii="Times New Roman"/>
          <w:sz w:val="24"/>
          <w:szCs w:val="24"/>
        </w:rPr>
        <w:t> autonomes, ainsi que les problèmes liés aux relations entre les organisateurs de forfaits et, par</w:t>
      </w:r>
      <w:r>
        <w:rPr>
          <w:rFonts w:cs="Times New Roman" w:hAnsi="Times New Roman" w:eastAsia="Times New Roman" w:ascii="Times New Roman"/>
          <w:sz w:val="24"/>
          <w:szCs w:val="24"/>
        </w:rPr>
        <w:t> exemple,  les  transporteurs  aériens.  Globalement,  une  approche  plus  cohérente  pourrait</w:t>
      </w:r>
      <w:r>
        <w:rPr>
          <w:rFonts w:cs="Times New Roman" w:hAnsi="Times New Roman" w:eastAsia="Times New Roman" w:ascii="Times New Roman"/>
          <w:sz w:val="24"/>
          <w:szCs w:val="24"/>
        </w:rPr>
        <w:t> améliorer  le  niveau  de  protection  des  consommateurs  et  apporter  plus  de  clarté  et  une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répartition plus équitable de la charge entre les entreprises de voyage. L’analyse approfondie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la directive sur les voyages à forfait tiendra compte de la révision du cadre réglementaire</w:t>
      </w:r>
      <w:r>
        <w:rPr>
          <w:rFonts w:cs="Times New Roman" w:hAnsi="Times New Roman" w:eastAsia="Times New Roman" w:ascii="Times New Roman"/>
          <w:sz w:val="24"/>
          <w:szCs w:val="24"/>
        </w:rPr>
        <w:t> des droits des passagers annoncée dans la stratégie pour une mobilité durable et intelligente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66)  à  analyser  la  possibilité  de  renforcer  les  dispositions  relatives  à  la  protection  contre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l’insolvabilité  en  ajoutant  une  approche  préventive  visant  à  soute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nir  les  entreprises  et 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PME à un stade plus précoce et à protéger les travailleurs en cas de chocs systémiques et/ou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d’insolvabilité;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Il   convient   également   d’observer   que   la   directive   relative   à   la   restructuration   et   à</w:t>
      </w:r>
      <w:r>
        <w:rPr>
          <w:rFonts w:cs="Times New Roman" w:hAnsi="Times New Roman" w:eastAsia="Times New Roman" w:ascii="Times New Roman"/>
          <w:sz w:val="24"/>
          <w:szCs w:val="24"/>
        </w:rPr>
        <w:t> l’insolvabilité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17 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oblige les États membres à établir des mécanismes efficaces et transparents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qui aident les entreprises (principalement les PME) à détecter sans tarder les circonstances qui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pourraient  donner  lieu  à  une  probabilité  d’insolvabilité  et  qui  leur  donnent  des  conseils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concrets sur la manière de surmonter ces difficultés. La directive est en cours de transposition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par les États membres de l’UE.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67) à mettre en place, en s’appuyant sur l’expérience acquise dans le contexte de la crise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la COVID-19 et les systèmes similaires existant dans les États membres, un système européen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de  garantie  pour  les  voyages  afin  d’assurer  aux  entreprises  une  liquidité  financière  et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garantir les remboursements aux voyageurs ainsi que la couverture des frais de rapatriement,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outre une juste indemnisation des dommages éventuels en cas de faillite;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3"/>
      </w:pPr>
      <w:r>
        <w:rPr>
          <w:rFonts w:cs="Times New Roman" w:hAnsi="Times New Roman" w:eastAsia="Times New Roman" w:ascii="Times New Roman"/>
          <w:sz w:val="24"/>
          <w:szCs w:val="24"/>
        </w:rPr>
        <w:t>L’analyse  approfondie  de  la  directive  sur  les  voyages  à  forfait  portera  également  sur  la</w:t>
      </w:r>
      <w:r>
        <w:rPr>
          <w:rFonts w:cs="Times New Roman" w:hAnsi="Times New Roman" w:eastAsia="Times New Roman" w:ascii="Times New Roman"/>
          <w:sz w:val="24"/>
          <w:szCs w:val="24"/>
        </w:rPr>
        <w:t> question de savoir si le niveau d’harmonisation est approprié, par exemple en ce qui concerne</w:t>
      </w:r>
      <w:r>
        <w:rPr>
          <w:rFonts w:cs="Times New Roman" w:hAnsi="Times New Roman" w:eastAsia="Times New Roman" w:ascii="Times New Roman"/>
          <w:sz w:val="24"/>
          <w:szCs w:val="24"/>
        </w:rPr>
        <w:t> la protection contre l’i</w:t>
      </w:r>
      <w:r>
        <w:rPr>
          <w:rFonts w:cs="Times New Roman" w:hAnsi="Times New Roman" w:eastAsia="Times New Roman" w:ascii="Times New Roman"/>
          <w:sz w:val="24"/>
          <w:szCs w:val="24"/>
        </w:rPr>
        <w:t>nsolvabilité.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pict>
          <v:group style="position:absolute;margin-left:70.824pt;margin-top:138.655pt;width:144.02pt;height:0pt;mso-position-horizontal-relative:page;mso-position-vertical-relative:paragraph;z-index:-468" coordorigin="1416,2773" coordsize="2880,0">
            <v:shape style="position:absolute;left:1416;top:2773;width:2880;height:0" coordorigin="1416,2773" coordsize="2880,0" path="m1416,2773l4297,2773e" filled="f" stroked="t" strokeweight="0.70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Comme  indiqué  dans  le  rapport  sur  l’application  de  la  directive  relative  aux  voyages  à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forfait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18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,  certaines  parties  prenantes  du  secteur,  de  même  que  certaines  autorités  craignent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qu’il   soit   de   plus   en   plus   difficile   de   trouver   des   fournisseur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s   de   protection   contre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l’insolvabilité appropriés, qui soient disposés à couvrir les risques liés à la faillite d’un grand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organisateur, en particulier en haute saison, et qui soient en mesure de le faire. Relativement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peu  de  fonds  de  garantie  pour  les  voy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ages  et  de  compagnies  d’assurances  fournissent  une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protection  contre  l’insolvabilité.  Il  a  été  rapporté  que  les  banques  ne  fournissaient  plus  de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garanties  aux  organisateurs  et  qu’en  outre,  certaines  des  compagnies  d’assurances,  déjà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relativement  peu  nombre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uses,  offrant  une  protection  contre  l’insolvabilité  se  retiraient  du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2"/>
        <w:ind w:left="116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16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Stratégie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mobilité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durable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intelligente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mettre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transports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européens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voie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l’avenir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474" w:right="5499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[COM(2020)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789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final],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actions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63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64.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60" w:val="left"/>
        </w:tabs>
        <w:jc w:val="left"/>
        <w:spacing w:before="3" w:lineRule="exact" w:line="220"/>
        <w:ind w:left="474" w:right="82" w:hanging="35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17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ab/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Directive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(UE)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2019/1023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Parlement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européen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Conseil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juin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relative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aux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cadres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restructuration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préventive,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remise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dettes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aux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déchéances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aux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mesures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prendre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pour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augmenter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 w:lineRule="exact" w:line="220"/>
        <w:ind w:left="474" w:right="82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l’efficacité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procédures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matière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restructuration,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d’insolvabilité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remise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dettes,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modifiant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directive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(UE)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2017/1132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(directive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restructuration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l’insolvabilité)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(JO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172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26.6.2019,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p.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18).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6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18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  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Voir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section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4.2.2.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rapport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[COM(2021)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90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final]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7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marché  (par  exemple,  en  Autriche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19 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et  en  Belgique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20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).  Il  est  donc  important  de  trouver  un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système  solide  qui  protège  efficacement  les  voyageurs  contre  le  risque  d’insolvabilité.  Les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idées  avancées  pour  remédier  à  diverses  difficultés  comprennent  le  recours  à  plusieurs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fournisseurs  de  garantie  pour  un  même  organisateur  ou  la  création  d’un  fonds  de  garantie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paneuropéen  constituant  une  sorte  de  réassurance  pour  les  garants  de  premier  rang.  Une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analyse plus approfondie est nécessaire à cet égard.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z w:val="24"/>
          <w:szCs w:val="24"/>
        </w:rPr>
        <w:t>Dans  la  résolution  qu’il  a  adoptée  à  la  suite  de  la  faillite  de  Thomas  Cook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21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,  le  Parlement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européen a reconnu que le rapatriement avait été effectif et n’a émis aucune réserve au sujet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de  la  directive.  Dans  ce  contexte,  le  Parlement  a  néanmoins  réitéré  sa  demande  visant  à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étendre  la  protection  contre  l’insolvabilité  aux  billets  d’avion  vendus  séparément,  dans  le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cadre de la révision du règlement (CE) nº 261/2004 relatif aux droits des passagers aériens.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L’insolvabilité d’une compagnie aérienne peut avoir des conséquences pour les voyageurs, les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voyagistes et les intermédiaires. Par exemple, si un contrat de voyage à forfait comportant un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vol  est  annulé  conformément  à  la  directive,  l’organisateur  peut  être 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tenu  de  rembourser  au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voyageur  l’intégralité  du  prix,  qu’il  soit toujours en  possession  de  l’argent  ou  non  ou  qu’il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puisse le récupérer auprès de la compagnie aérienne ou non. L’appel d’un certain nombre de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parties prenantes représentant les entreprises du secteur des voyages et les consommateurs à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l’instauration, par les compagnies aériennes, d’une protection obligatoire contre l’insolvabilité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est devenu plus pressant dans le contexte de la crise de la COVID-19. Le rapport de la table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ronde  de  l’aviation  sur  la  relance  de  l’aviation  européenne  (novembre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2020)  reconnaît  que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cette   crise   a   montré   que   les   voyageurs   craignaient   de   ne   pas   être   protégés   en   cas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d’insolvabilité  des  compagnies  aériennes,  et  propose  que  les  répercussions  de  la  protection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contre   l’insolvabilité   des   compagnies   aériennes   fassent   l’objet   d’une   analyse   plus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approfondie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Par conséquent, dans le contexte de l’analyse prévue, la Commission appréciera également si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les différences entre la directive relative aux voyages à forfait et les règlements relatifs aux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droits  des  passagers  en  ce  qui  concerne  la  protection  contre  l’insolvabilité  et  les  droits</w:t>
      </w:r>
      <w:r>
        <w:rPr>
          <w:rFonts w:cs="Times New Roman" w:hAnsi="Times New Roman" w:eastAsia="Times New Roman" w:ascii="Times New Roman"/>
          <w:sz w:val="24"/>
          <w:szCs w:val="24"/>
        </w:rPr>
        <w:t> d’annulation  sont  justifiées  ou  si  les  règles  devraient  être  davantage  harmonisées  et  si  des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règles  spécifiques  pour  des  situations  telles  que  la  pandémie  de  COVID-19  devraient  être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proposées,   aux   fins   d’améliorer   la   protection   des   consommateurs.   D’autres   méthodes</w:t>
      </w:r>
      <w:r>
        <w:rPr>
          <w:rFonts w:cs="Times New Roman" w:hAnsi="Times New Roman" w:eastAsia="Times New Roman" w:ascii="Times New Roman"/>
          <w:sz w:val="24"/>
          <w:szCs w:val="24"/>
        </w:rPr>
        <w:t> permettant  de  réduire  l’exposition  des  voyageurs  à  l’insolvabilité  d’un  organisateur,  par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exemple  en  introduisant  des  alternatives  au  modèle  de  prépaiement  en  vigueur,  pourraient</w:t>
      </w:r>
      <w:r>
        <w:rPr>
          <w:rFonts w:cs="Times New Roman" w:hAnsi="Times New Roman" w:eastAsia="Times New Roman" w:ascii="Times New Roman"/>
          <w:sz w:val="24"/>
          <w:szCs w:val="24"/>
        </w:rPr>
        <w:t> également être évaluées.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68) à mettre en place une plateforme unique pour la création de programmes de formation à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l’innovation numérique au profit des cadres supérieurs des microentreprises et des PME, afin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de  les  doter  des  compétences  nécessaires  pour  optimiser  leur  potentiel  de  création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richesse;  à  proposer  une  feuille  de  route  de  l’Union  pour  renforcer  les  compétences  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travailleurs dans le secteur, y compris un mécanisme de financement de l’Union à cette fi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n; à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évaluer les possibilités d’harmonisation des règles et des dispositions législatives sur le sujet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en  raison  du  manque  d’harmonisation  des  compétences  et  des  qualifications  ainsi  que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reconnaissance mutuelle entre les pays;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60" w:val="left"/>
        </w:tabs>
        <w:jc w:val="both"/>
        <w:spacing w:before="51" w:lineRule="exact" w:line="220"/>
        <w:ind w:left="474" w:right="87" w:hanging="35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19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ab/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Voir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considérant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décision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Commission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4.2.2021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dans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l’affaire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matière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d’aide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d’État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SA.60521,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27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://ec.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/co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etitio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/el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j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e/is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/case_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etail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cf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?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e=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3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SA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6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5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1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60" w:val="left"/>
        </w:tabs>
        <w:jc w:val="both"/>
        <w:spacing w:before="1" w:lineRule="exact" w:line="220"/>
        <w:ind w:left="474" w:right="89" w:hanging="358"/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20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ab/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Voir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compte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rendu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réunion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groupe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d’experts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parties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prenantes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chargé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soutenir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l’application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directive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(24.11.2020).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460" w:val="left"/>
        </w:tabs>
        <w:jc w:val="both"/>
        <w:spacing w:before="1" w:lineRule="exact" w:line="220"/>
        <w:ind w:left="474" w:right="82" w:hanging="358"/>
        <w:sectPr>
          <w:pgNumType w:start="18"/>
          <w:pgMar w:footer="1253" w:header="0" w:top="1300" w:bottom="280" w:left="1300" w:right="1300"/>
          <w:footerReference w:type="default" r:id="rId26"/>
          <w:pgSz w:w="11920" w:h="16840"/>
        </w:sectPr>
      </w:pPr>
      <w:r>
        <w:rPr>
          <w:rFonts w:cs="Times New Roman" w:hAnsi="Times New Roman" w:eastAsia="Times New Roman" w:ascii="Times New Roman"/>
          <w:w w:val="99"/>
          <w:position w:val="7"/>
          <w:sz w:val="13"/>
          <w:szCs w:val="13"/>
        </w:rPr>
        <w:t>21</w:t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  <w:tab/>
      </w:r>
      <w:r>
        <w:rPr>
          <w:rFonts w:cs="Times New Roman" w:hAnsi="Times New Roman" w:eastAsia="Times New Roman" w:ascii="Times New Roman"/>
          <w:w w:val="100"/>
          <w:position w:val="7"/>
          <w:sz w:val="13"/>
          <w:szCs w:val="13"/>
        </w:rPr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Résolution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Parlement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européen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24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octobre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retombées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négatives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faillite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Thomas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Cook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tourisme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l’Union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européenne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position w:val="0"/>
          <w:sz w:val="20"/>
          <w:szCs w:val="20"/>
        </w:rPr>
        <w:t>[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28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9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8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5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4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(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)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00"/>
            <w:w w:val="99"/>
            <w:position w:val="0"/>
            <w:sz w:val="20"/>
            <w:szCs w:val="20"/>
          </w:rPr>
          <w:t>],</w:t>
        </w:r>
      </w:hyperlink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29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www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l.e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  <w:t> </w:t>
      </w:r>
      <w:hyperlink r:id="rId30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t/B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9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2019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f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4"/>
      </w:pPr>
      <w:r>
        <w:rPr>
          <w:rFonts w:cs="Times New Roman" w:hAnsi="Times New Roman" w:eastAsia="Times New Roman" w:ascii="Times New Roman"/>
          <w:sz w:val="24"/>
          <w:szCs w:val="24"/>
        </w:rPr>
        <w:t>La stratégie européenne en matière de compétences a proposé le secteur du tourisme comme</w:t>
      </w:r>
      <w:r>
        <w:rPr>
          <w:rFonts w:cs="Times New Roman" w:hAnsi="Times New Roman" w:eastAsia="Times New Roman" w:ascii="Times New Roman"/>
          <w:sz w:val="24"/>
          <w:szCs w:val="24"/>
        </w:rPr>
        <w:t> secteur prioritaire pour explorer la possibilité de rejoindre le pacte sur les compétences. Pour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cela,  le  secteur  peut  s’appuyer  sur  une  alliance  Erasmus+  Blueprint  en  cours  pour  la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coopération en matière de compétences sectorielles, alliance qui a déjà élaboré une stratégie</w:t>
      </w:r>
      <w:r>
        <w:rPr>
          <w:rFonts w:cs="Times New Roman" w:hAnsi="Times New Roman" w:eastAsia="Times New Roman" w:ascii="Times New Roman"/>
          <w:sz w:val="24"/>
          <w:szCs w:val="24"/>
        </w:rPr>
        <w:t> ou une feuille de route en matière de compétences sectorielles. Les commissaires Breton et</w:t>
      </w:r>
      <w:r>
        <w:rPr>
          <w:rFonts w:cs="Times New Roman" w:hAnsi="Times New Roman" w:eastAsia="Times New Roman" w:ascii="Times New Roman"/>
          <w:sz w:val="24"/>
          <w:szCs w:val="24"/>
        </w:rPr>
        <w:t> Schmit  ont  organisé  une  table  ronde  avec  les  professionnels  du  secteur  qui  a  permis  de</w:t>
      </w:r>
      <w:r>
        <w:rPr>
          <w:rFonts w:cs="Times New Roman" w:hAnsi="Times New Roman" w:eastAsia="Times New Roman" w:ascii="Times New Roman"/>
          <w:sz w:val="24"/>
          <w:szCs w:val="24"/>
        </w:rPr>
        <w:t> discuter et de donner un élan politique au plus haut niveau et de préparer le terrain pour la</w:t>
      </w:r>
      <w:r>
        <w:rPr>
          <w:rFonts w:cs="Times New Roman" w:hAnsi="Times New Roman" w:eastAsia="Times New Roman" w:ascii="Times New Roman"/>
          <w:sz w:val="24"/>
          <w:szCs w:val="24"/>
        </w:rPr>
        <w:t> mise en place de partenariats qui devraient rejoindre le pacte sur les compétences.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37"/>
        <w:ind w:left="116" w:right="73"/>
      </w:pPr>
      <w:r>
        <w:rPr>
          <w:rFonts w:cs="Times New Roman" w:hAnsi="Times New Roman" w:eastAsia="Times New Roman" w:ascii="Times New Roman"/>
          <w:sz w:val="24"/>
          <w:szCs w:val="24"/>
        </w:rPr>
        <w:t>En  vue  de  renforcer  les  synergies,  l’UE  ne  prévoit  pas  un  mécanisme  de  fi</w:t>
      </w:r>
      <w:r>
        <w:rPr>
          <w:rFonts w:cs="Times New Roman" w:hAnsi="Times New Roman" w:eastAsia="Times New Roman" w:ascii="Times New Roman"/>
          <w:sz w:val="24"/>
          <w:szCs w:val="24"/>
        </w:rPr>
        <w:t>nancement</w:t>
      </w:r>
      <w:r>
        <w:rPr>
          <w:rFonts w:cs="Times New Roman" w:hAnsi="Times New Roman" w:eastAsia="Times New Roman" w:ascii="Times New Roman"/>
          <w:sz w:val="24"/>
          <w:szCs w:val="24"/>
        </w:rPr>
        <w:t> spécifique pour le tourisme, mais met à disposition de nombreux instruments de financement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 l’UE,  tels  que  le  FSE+,  le  FTJ  ou  la  FRR.  Les  «services  de  soutien  du  pacte  sur  les</w:t>
      </w:r>
      <w:r>
        <w:rPr>
          <w:rFonts w:cs="Times New Roman" w:hAnsi="Times New Roman" w:eastAsia="Times New Roman" w:ascii="Times New Roman"/>
          <w:sz w:val="24"/>
          <w:szCs w:val="24"/>
        </w:rPr>
        <w:t> compétences» faciliteront l’accès des parties prenantes aux informat</w:t>
      </w:r>
      <w:r>
        <w:rPr>
          <w:rFonts w:cs="Times New Roman" w:hAnsi="Times New Roman" w:eastAsia="Times New Roman" w:ascii="Times New Roman"/>
          <w:sz w:val="24"/>
          <w:szCs w:val="24"/>
        </w:rPr>
        <w:t>ions sur ces instruments,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y compris pour le secteur du tourisme. Un guide des financements de l’UE pour le tourisme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est disponible en ligne depuis mai</w:t>
      </w:r>
      <w:r>
        <w:rPr>
          <w:rFonts w:cs="Times New Roman" w:hAnsi="Times New Roman" w:eastAsia="Times New Roman" w:ascii="Times New Roman"/>
          <w:position w:val="9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z w:val="24"/>
          <w:szCs w:val="24"/>
        </w:rPr>
        <w:t>La stratégie européenne en matière de compétences soutient les compétences numériques pour</w:t>
      </w:r>
      <w:r>
        <w:rPr>
          <w:rFonts w:cs="Times New Roman" w:hAnsi="Times New Roman" w:eastAsia="Times New Roman" w:ascii="Times New Roman"/>
          <w:sz w:val="24"/>
          <w:szCs w:val="24"/>
        </w:rPr>
        <w:t> tous et à to</w:t>
      </w:r>
      <w:r>
        <w:rPr>
          <w:rFonts w:cs="Times New Roman" w:hAnsi="Times New Roman" w:eastAsia="Times New Roman" w:ascii="Times New Roman"/>
          <w:sz w:val="24"/>
          <w:szCs w:val="24"/>
        </w:rPr>
        <w:t>us les niveaux, qu’il s’agisse des travailleurs ou des cadres, et prévoit notamment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des cours numériques intensifs pour les PME et un programme de «volontaires numériques»</w:t>
      </w:r>
      <w:r>
        <w:rPr>
          <w:rFonts w:cs="Times New Roman" w:hAnsi="Times New Roman" w:eastAsia="Times New Roman" w:ascii="Times New Roman"/>
          <w:sz w:val="24"/>
          <w:szCs w:val="24"/>
        </w:rPr>
        <w:t> visant  à  renforcer   les   compétences  des   effectifs  actuels  des  PME  dans  les  domaines</w:t>
      </w:r>
      <w:r>
        <w:rPr>
          <w:rFonts w:cs="Times New Roman" w:hAnsi="Times New Roman" w:eastAsia="Times New Roman" w:ascii="Times New Roman"/>
          <w:sz w:val="24"/>
          <w:szCs w:val="24"/>
        </w:rPr>
        <w:t> n</w:t>
      </w:r>
      <w:r>
        <w:rPr>
          <w:rFonts w:cs="Times New Roman" w:hAnsi="Times New Roman" w:eastAsia="Times New Roman" w:ascii="Times New Roman"/>
          <w:sz w:val="24"/>
          <w:szCs w:val="24"/>
        </w:rPr>
        <w:t>umériques, comme déjà annoncé dans la stratégie de l’UE axée sur les PME. Un programme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pilote de «volontaires numériques» a été lancé en avril 2021 auprès de grandes entreprises qui</w:t>
      </w:r>
      <w:r>
        <w:rPr>
          <w:rFonts w:cs="Times New Roman" w:hAnsi="Times New Roman" w:eastAsia="Times New Roman" w:ascii="Times New Roman"/>
          <w:sz w:val="24"/>
          <w:szCs w:val="24"/>
        </w:rPr>
        <w:t> détacheront  dans  des  PME  des  travailleurs  dotés  de  compétences  numériques  pendant  une</w:t>
      </w:r>
      <w:r>
        <w:rPr>
          <w:rFonts w:cs="Times New Roman" w:hAnsi="Times New Roman" w:eastAsia="Times New Roman" w:ascii="Times New Roman"/>
          <w:sz w:val="24"/>
          <w:szCs w:val="24"/>
        </w:rPr>
        <w:t> période limitée. Ces volontaires et mentors numériques aideront les PME dans leur processus</w:t>
      </w:r>
      <w:r>
        <w:rPr>
          <w:rFonts w:cs="Times New Roman" w:hAnsi="Times New Roman" w:eastAsia="Times New Roman" w:ascii="Times New Roman"/>
          <w:sz w:val="24"/>
          <w:szCs w:val="24"/>
        </w:rPr>
        <w:t> de  numérisation,  ce  qui  permettra  le  transfert  de  connaissances  et  de  compétences  et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bénéficiera ainsi à l’ensemble de l’écosystème. Les cours intensifs </w:t>
      </w:r>
      <w:r>
        <w:rPr>
          <w:rFonts w:cs="Times New Roman" w:hAnsi="Times New Roman" w:eastAsia="Times New Roman" w:ascii="Times New Roman"/>
          <w:sz w:val="24"/>
          <w:szCs w:val="24"/>
        </w:rPr>
        <w:t>destinés aux employés des</w:t>
      </w:r>
      <w:r>
        <w:rPr>
          <w:rFonts w:cs="Times New Roman" w:hAnsi="Times New Roman" w:eastAsia="Times New Roman" w:ascii="Times New Roman"/>
          <w:sz w:val="24"/>
          <w:szCs w:val="24"/>
        </w:rPr>
        <w:t> PME  seront  soutenus  par  le  programme  Digital  Europe  et  permettront  à  ces  derniers  de  se</w:t>
      </w:r>
      <w:r>
        <w:rPr>
          <w:rFonts w:cs="Times New Roman" w:hAnsi="Times New Roman" w:eastAsia="Times New Roman" w:ascii="Times New Roman"/>
          <w:sz w:val="24"/>
          <w:szCs w:val="24"/>
        </w:rPr>
        <w:t> familiariser  avec  les  technologies  stratégiques  clés.  Les  employés  des  PME  bénéficieront</w:t>
      </w:r>
      <w:r>
        <w:rPr>
          <w:rFonts w:cs="Times New Roman" w:hAnsi="Times New Roman" w:eastAsia="Times New Roman" w:ascii="Times New Roman"/>
          <w:sz w:val="24"/>
          <w:szCs w:val="24"/>
        </w:rPr>
        <w:t> également de la plateforme pour les compétences et l</w:t>
      </w:r>
      <w:r>
        <w:rPr>
          <w:rFonts w:cs="Times New Roman" w:hAnsi="Times New Roman" w:eastAsia="Times New Roman" w:ascii="Times New Roman"/>
          <w:sz w:val="24"/>
          <w:szCs w:val="24"/>
        </w:rPr>
        <w:t>es emplois numériques qui vient d’être</w:t>
      </w:r>
      <w:r>
        <w:rPr>
          <w:rFonts w:cs="Times New Roman" w:hAnsi="Times New Roman" w:eastAsia="Times New Roman" w:ascii="Times New Roman"/>
          <w:sz w:val="24"/>
          <w:szCs w:val="24"/>
        </w:rPr>
        <w:t> lancée. La plateforme offre un accès libre à toute une série d’informations et de ressources de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qualité  à  toute  personne  intéressée  par  le  vaste  sujet  que  constituent  les  compétences</w:t>
      </w:r>
      <w:r>
        <w:rPr>
          <w:rFonts w:cs="Times New Roman" w:hAnsi="Times New Roman" w:eastAsia="Times New Roman" w:ascii="Times New Roman"/>
          <w:sz w:val="24"/>
          <w:szCs w:val="24"/>
        </w:rPr>
        <w:t> numériques. Ses fonctions de recherche et de filtrage intelligents aident les utilisateurs, dont</w:t>
      </w:r>
      <w:r>
        <w:rPr>
          <w:rFonts w:cs="Times New Roman" w:hAnsi="Times New Roman" w:eastAsia="Times New Roman" w:ascii="Times New Roman"/>
          <w:sz w:val="24"/>
          <w:szCs w:val="24"/>
        </w:rPr>
        <w:t> les dirigeants ou les employés de PME, à trouver les informations dont ils ont besoin et à se</w:t>
      </w:r>
      <w:r>
        <w:rPr>
          <w:rFonts w:cs="Times New Roman" w:hAnsi="Times New Roman" w:eastAsia="Times New Roman" w:ascii="Times New Roman"/>
          <w:sz w:val="24"/>
          <w:szCs w:val="24"/>
        </w:rPr>
        <w:t> mettre en contact avec des personnes ressources. La plateforme, qui offre un contenu actualisé</w:t>
      </w:r>
      <w:r>
        <w:rPr>
          <w:rFonts w:cs="Times New Roman" w:hAnsi="Times New Roman" w:eastAsia="Times New Roman" w:ascii="Times New Roman"/>
          <w:sz w:val="24"/>
          <w:szCs w:val="24"/>
        </w:rPr>
        <w:t> et  des  espaces  dynamiques  et  collaboratifs,  répond  aux  besoins  de  tous  les  utilisateurs,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indépendamment de leur niveau d’expertise. La Commission soutiendra et mettra en réseau</w:t>
      </w:r>
      <w:r>
        <w:rPr>
          <w:rFonts w:cs="Times New Roman" w:hAnsi="Times New Roman" w:eastAsia="Times New Roman" w:ascii="Times New Roman"/>
          <w:sz w:val="24"/>
          <w:szCs w:val="24"/>
        </w:rPr>
        <w:t> les intermédiaires des PME, tels que les grappes d’entreprises, le réseau Entrepris</w:t>
      </w:r>
      <w:r>
        <w:rPr>
          <w:rFonts w:cs="Times New Roman" w:hAnsi="Times New Roman" w:eastAsia="Times New Roman" w:ascii="Times New Roman"/>
          <w:sz w:val="24"/>
          <w:szCs w:val="24"/>
        </w:rPr>
        <w:t>e Europe et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les pôles d’innovation numérique, afin de contribuer à la mise à niveau des compétences du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personnel des PME, notamment les cadres de direction.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pict>
          <v:group style="position:absolute;margin-left:70.824pt;margin-top:153.483pt;width:144.02pt;height:0pt;mso-position-horizontal-relative:page;mso-position-vertical-relative:paragraph;z-index:-467" coordorigin="1416,3070" coordsize="2880,0">
            <v:shape style="position:absolute;left:1416;top:3070;width:2880;height:0" coordorigin="1416,3070" coordsize="2880,0" path="m1416,3070l4297,3070e" filled="f" stroked="t" strokeweight="0.69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  <w:t>L’initiative de la Commission relative aux centres d’excellence professionnelle est destinée à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fournir  des  points  de  référence  de  classe  mondiale  pour  la  formation  dans  des  domaines</w:t>
      </w:r>
      <w:r>
        <w:rPr>
          <w:rFonts w:cs="Times New Roman" w:hAnsi="Times New Roman" w:eastAsia="Times New Roman" w:ascii="Times New Roman"/>
          <w:sz w:val="24"/>
          <w:szCs w:val="24"/>
        </w:rPr>
        <w:t> spécifiques (qui peuvent  inclure le  tourisme), tant pour la formation initiale des jeunes que</w:t>
      </w:r>
      <w:r>
        <w:rPr>
          <w:rFonts w:cs="Times New Roman" w:hAnsi="Times New Roman" w:eastAsia="Times New Roman" w:ascii="Times New Roman"/>
          <w:sz w:val="24"/>
          <w:szCs w:val="24"/>
        </w:rPr>
        <w:t> pour le perfectionnement des compétences et la reconversion des adultes. Ces centres agissent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comme  des  catalyseurs  pour  l’investissement  des  entreprises  locales  et  soutiennent  les</w:t>
      </w:r>
      <w:r>
        <w:rPr>
          <w:rFonts w:cs="Times New Roman" w:hAnsi="Times New Roman" w:eastAsia="Times New Roman" w:ascii="Times New Roman"/>
          <w:sz w:val="24"/>
          <w:szCs w:val="24"/>
        </w:rPr>
        <w:t> stratégies européennes et régionales en matière d’innovation et de spécialisation intelligente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en  assurant  la  mise  à  disposition  de  travailleurs  hautement  qualifiés  grâce  à  une  offre  de</w:t>
      </w:r>
      <w:r>
        <w:rPr>
          <w:rFonts w:cs="Times New Roman" w:hAnsi="Times New Roman" w:eastAsia="Times New Roman" w:ascii="Times New Roman"/>
          <w:sz w:val="24"/>
          <w:szCs w:val="24"/>
        </w:rPr>
        <w:t> formation  flexible  et  opportune  répondant  aux  besoins  en  compétences  des  entreprises,  y</w:t>
      </w:r>
      <w:r>
        <w:rPr>
          <w:rFonts w:cs="Times New Roman" w:hAnsi="Times New Roman" w:eastAsia="Times New Roman" w:ascii="Times New Roman"/>
          <w:sz w:val="24"/>
          <w:szCs w:val="24"/>
        </w:rPr>
        <w:t> compris   les   PME.   Ils   soutiennent   les   initiatives   entrepreneuriales   de   leurs   apprenants</w:t>
      </w:r>
      <w:r>
        <w:rPr>
          <w:rFonts w:cs="Times New Roman" w:hAnsi="Times New Roman" w:eastAsia="Times New Roman" w:ascii="Times New Roman"/>
          <w:sz w:val="24"/>
          <w:szCs w:val="24"/>
        </w:rPr>
        <w:t> (incubateurs) et jouent le rôle de pôles de conna</w:t>
      </w:r>
      <w:r>
        <w:rPr>
          <w:rFonts w:cs="Times New Roman" w:hAnsi="Times New Roman" w:eastAsia="Times New Roman" w:ascii="Times New Roman"/>
          <w:sz w:val="24"/>
          <w:szCs w:val="24"/>
        </w:rPr>
        <w:t>issances et d’innovation pour les PME.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16"/>
        <w:sectPr>
          <w:pgNumType w:start="19"/>
          <w:pgMar w:footer="985" w:header="0" w:top="1320" w:bottom="280" w:left="1300" w:right="1300"/>
          <w:footerReference w:type="default" r:id="rId31"/>
          <w:pgSz w:w="11920" w:h="16840"/>
        </w:sectPr>
      </w:pPr>
      <w:r>
        <w:rPr>
          <w:rFonts w:cs="Courier New" w:hAnsi="Courier New" w:eastAsia="Courier New" w:ascii="Courier New"/>
          <w:w w:val="99"/>
          <w:position w:val="5"/>
          <w:sz w:val="13"/>
          <w:szCs w:val="13"/>
        </w:rPr>
        <w:t>23</w:t>
      </w:r>
      <w:r>
        <w:rPr>
          <w:rFonts w:cs="Courier New" w:hAnsi="Courier New" w:eastAsia="Courier New" w:ascii="Courier New"/>
          <w:w w:val="100"/>
          <w:position w:val="5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hyperlink r:id="rId32"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:/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/ec.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cto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/to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/s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in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_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0"/>
            <w:sz w:val="20"/>
            <w:szCs w:val="20"/>
            <w:u w:val="single" w:color="0000FF"/>
          </w:rPr>
          <w:t>en</w:t>
        </w:r>
      </w:hyperlink>
      <w:r>
        <w:rPr>
          <w:rFonts w:cs="Times New Roman" w:hAnsi="Times New Roman" w:eastAsia="Times New Roman" w:ascii="Times New Roman"/>
          <w:color w:val="0000FF"/>
          <w:w w:val="99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7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70) à collaborer avec les associations du secteur et à s’appuyer sur les bonnes pratiques pour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émettre  des  recommandations  et  soutenir  financièrement  l’organisation  d’événements  de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tourisme  commercial,  de  foires,  de  congrès,  ainsi  que  le  tourisme  lié  aux  manifestations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artistiques et aux spectacles, comme les concerts et les festivals;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Les  services  de  la  Commission  entretiennent  des  contacts  réguliers  avec  les  principales</w:t>
      </w:r>
      <w:r>
        <w:rPr>
          <w:rFonts w:cs="Times New Roman" w:hAnsi="Times New Roman" w:eastAsia="Times New Roman" w:ascii="Times New Roman"/>
          <w:sz w:val="24"/>
          <w:szCs w:val="24"/>
        </w:rPr>
        <w:t> associations de professionnels européennes,  à c</w:t>
      </w:r>
      <w:r>
        <w:rPr>
          <w:rFonts w:cs="Times New Roman" w:hAnsi="Times New Roman" w:eastAsia="Times New Roman" w:ascii="Times New Roman"/>
          <w:sz w:val="24"/>
          <w:szCs w:val="24"/>
        </w:rPr>
        <w:t>ommencer par l’EEIA (European Exhibition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Industry Alliance), afin de cerner leurs besoins et de déterminer ce qui peut être entrepris au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niveau de l’UE.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9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71) à analyser l’absence de reconnaissance mutuelle dans le secteur des guides touristiques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professionnels afin de déterminer où l’Union peut apporter les améliorations nécessaires;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8"/>
      </w:pPr>
      <w:r>
        <w:rPr>
          <w:rFonts w:cs="Times New Roman" w:hAnsi="Times New Roman" w:eastAsia="Times New Roman" w:ascii="Times New Roman"/>
          <w:sz w:val="24"/>
          <w:szCs w:val="24"/>
        </w:rPr>
        <w:t>La  directive 2005/36/CE  garantit  la  reconnaissance  des  qualifications  professionnelles  dans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toute l’UE. La directive offre aux guides touristiques qui disposent des q</w:t>
      </w:r>
      <w:r>
        <w:rPr>
          <w:rFonts w:cs="Times New Roman" w:hAnsi="Times New Roman" w:eastAsia="Times New Roman" w:ascii="Times New Roman"/>
          <w:sz w:val="24"/>
          <w:szCs w:val="24"/>
        </w:rPr>
        <w:t>ualifications requises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dans un État membre la possibilité d’exercer leurs activités professionnelles dans un autre État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membre  dans  lequel  la  profession  est  réglementée  quant  aux  qualifications.  Pour  ce  faire,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l’État membre d’accueil peut exiger du guide touristique qu’il se soumette à une mesure de</w:t>
      </w:r>
      <w:r>
        <w:rPr>
          <w:rFonts w:cs="Times New Roman" w:hAnsi="Times New Roman" w:eastAsia="Times New Roman" w:ascii="Times New Roman"/>
          <w:sz w:val="24"/>
          <w:szCs w:val="24"/>
        </w:rPr>
        <w:t> compensation  (épreuve  d’aptitude  ou  stage  d’adaptation)  si  des  différences  substantielles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existent  entre  la  formation  requise  dans  ledit  État  membre  et  la  formation  effectivement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suivie.  Dans  le  cas  d’une  presta</w:t>
      </w:r>
      <w:r>
        <w:rPr>
          <w:rFonts w:cs="Times New Roman" w:hAnsi="Times New Roman" w:eastAsia="Times New Roman" w:ascii="Times New Roman"/>
          <w:sz w:val="24"/>
          <w:szCs w:val="24"/>
        </w:rPr>
        <w:t>tion  de  services  temporaire,  les  guides  touristiques  peuvent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exercer  leurs  activités  professionnelles  dans  un  autre  État  membre  sur  la  base  d’une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déclaration.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72-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73) à s’efforcer de généraliser l’utilisation et la reconnaissance de la carte européenne du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andicap;  à  mener  activement  l’élaboration  en  cours  de  la  norme  de  l’Organisation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internationale  de  normalisation  sur  les  services  touristiques  accessibles,  et  à  veiller  à  ce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qu’elle  soit  mise  en  œuvre  rapidement  et  correctement  une  fois  adoptée,  et  à  ce  qu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e  les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prestataires de services respectent les normes d’accessibilité pertinentes déjà en place ou en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cours  d’application  et  fournissent  des  informations  sur  l’accessibilité  de  leurs  services; 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proposer  une  méthode  commune  pour  recueillir  les  commentaires  interactifs  concernant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l’accessibilité  des  destinations  par  les  entreprises  et  les  touristes,  et  à  en  promouvoir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l’utilisation dans le secteur du tourisme dans son ensemble;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La Commission voudrait instaurer le système de carte européenne du handicap dans tous les</w:t>
      </w:r>
      <w:r>
        <w:rPr>
          <w:rFonts w:cs="Times New Roman" w:hAnsi="Times New Roman" w:eastAsia="Times New Roman" w:ascii="Times New Roman"/>
          <w:sz w:val="24"/>
          <w:szCs w:val="24"/>
        </w:rPr>
        <w:t> États  membres  afin  de  faciliter  la  pleine  jouissance  de  la  libre  circulation  des  personnes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handicapées. C’est la raison pour laquelle elle propose ce qui suit, en tant qu’initiative phare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dans la stratégie en  faveur des droits des personnes handicapées 2021-</w:t>
      </w:r>
      <w:r>
        <w:rPr>
          <w:rFonts w:cs="Times New Roman" w:hAnsi="Times New Roman" w:eastAsia="Times New Roman" w:ascii="Times New Roman"/>
          <w:sz w:val="24"/>
          <w:szCs w:val="24"/>
        </w:rPr>
        <w:t>2030:  «D’ici à la fin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2023, la Commission proposera de créer une carte européenne du handicap qui devrait être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reconnue dans l’ensemble des États membres Elle s’appuiera sur l’expérience du projet pilote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de carte européenne du handicap en cours dans huit États membres et sur la carte européenne</w:t>
      </w:r>
      <w:r>
        <w:rPr>
          <w:rFonts w:cs="Times New Roman" w:hAnsi="Times New Roman" w:eastAsia="Times New Roman" w:ascii="Times New Roman"/>
          <w:sz w:val="24"/>
          <w:szCs w:val="24"/>
        </w:rPr>
        <w:t> de stationnement pour les personnes handicapées.»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</w:pPr>
      <w:r>
        <w:rPr>
          <w:rFonts w:cs="Times New Roman" w:hAnsi="Times New Roman" w:eastAsia="Times New Roman" w:ascii="Times New Roman"/>
          <w:sz w:val="24"/>
          <w:szCs w:val="24"/>
        </w:rPr>
        <w:t>En  ce  qui  concerne  la  formation,  la  refonte  du  règlement  sur  les  droits  des  voyageurs</w:t>
      </w:r>
      <w:r>
        <w:rPr>
          <w:rFonts w:cs="Times New Roman" w:hAnsi="Times New Roman" w:eastAsia="Times New Roman" w:ascii="Times New Roman"/>
          <w:sz w:val="24"/>
          <w:szCs w:val="24"/>
        </w:rPr>
        <w:t> ferroviaires   oblige   les   entreprises   ferroviaires   et   les   gestionnaires   des   infrastructures</w:t>
      </w:r>
      <w:r>
        <w:rPr>
          <w:rFonts w:cs="Times New Roman" w:hAnsi="Times New Roman" w:eastAsia="Times New Roman" w:ascii="Times New Roman"/>
          <w:sz w:val="24"/>
          <w:szCs w:val="24"/>
        </w:rPr>
        <w:t> ferroviaires à fournir au personnel portant assistance aux PMR (passagers à mobilité réduite)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une  formation  axée  sur  le  handicap,  afin  qu’ils  sachent  comment  répondre  aux  besoins  des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PMR.  Des  cours  de  recyclage  réguliers  sont  également  prévus.  En  outre,  le  personnel</w:t>
      </w:r>
      <w:r>
        <w:rPr>
          <w:rFonts w:cs="Times New Roman" w:hAnsi="Times New Roman" w:eastAsia="Times New Roman" w:ascii="Times New Roman"/>
          <w:sz w:val="24"/>
          <w:szCs w:val="24"/>
        </w:rPr>
        <w:t> travaillant dans la gare ou à bord des trains qui est directement en contact avec les voyageurs</w:t>
      </w:r>
      <w:r>
        <w:rPr>
          <w:rFonts w:cs="Times New Roman" w:hAnsi="Times New Roman" w:eastAsia="Times New Roman" w:ascii="Times New Roman"/>
          <w:sz w:val="24"/>
          <w:szCs w:val="24"/>
        </w:rPr>
        <w:t> doit suivre une formation et des cours de recyclage réguliers à des fins de sensibilisation aux</w:t>
      </w:r>
      <w:r>
        <w:rPr>
          <w:rFonts w:cs="Times New Roman" w:hAnsi="Times New Roman" w:eastAsia="Times New Roman" w:ascii="Times New Roman"/>
          <w:sz w:val="24"/>
          <w:szCs w:val="24"/>
        </w:rPr>
        <w:t> besoins des PMR.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sz w:val="24"/>
          <w:szCs w:val="24"/>
        </w:rPr>
        <w:t>La refonte du </w:t>
      </w:r>
      <w:r>
        <w:rPr>
          <w:rFonts w:cs="Times New Roman" w:hAnsi="Times New Roman" w:eastAsia="Times New Roman" w:ascii="Times New Roman"/>
          <w:sz w:val="24"/>
          <w:szCs w:val="24"/>
        </w:rPr>
        <w:t>règlement sur les droits des voyageurs ferroviaires facilitera l’exercice par les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8"/>
        <w:sectPr>
          <w:pgMar w:header="0" w:footer="985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voyageurs  de  leurs  droits  en  tant  que  voyageurs:  ils  pourront  soumettre  leur  demande  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6" w:right="77"/>
      </w:pPr>
      <w:r>
        <w:rPr>
          <w:rFonts w:cs="Times New Roman" w:hAnsi="Times New Roman" w:eastAsia="Times New Roman" w:ascii="Times New Roman"/>
          <w:sz w:val="24"/>
          <w:szCs w:val="24"/>
        </w:rPr>
        <w:t>compensation et de remboursement via un formulaire standardisé à l’échelle de l’UE, q</w:t>
      </w:r>
      <w:r>
        <w:rPr>
          <w:rFonts w:cs="Times New Roman" w:hAnsi="Times New Roman" w:eastAsia="Times New Roman" w:ascii="Times New Roman"/>
          <w:sz w:val="24"/>
          <w:szCs w:val="24"/>
        </w:rPr>
        <w:t>ui sera</w:t>
      </w:r>
      <w:r>
        <w:rPr>
          <w:rFonts w:cs="Times New Roman" w:hAnsi="Times New Roman" w:eastAsia="Times New Roman" w:ascii="Times New Roman"/>
          <w:sz w:val="24"/>
          <w:szCs w:val="24"/>
        </w:rPr>
        <w:t> également accessible aux PMR.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0"/>
      </w:pPr>
      <w:r>
        <w:rPr>
          <w:rFonts w:cs="Times New Roman" w:hAnsi="Times New Roman" w:eastAsia="Times New Roman" w:ascii="Times New Roman"/>
          <w:sz w:val="24"/>
          <w:szCs w:val="24"/>
        </w:rPr>
        <w:t>La refonte du règlement sur les droits des voyageurs ferroviaires stipule que les informations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relatives à l’accessibilité des gares, aux conditions d’accès au matériel roulant et aux services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et  aux  équipements  disponibles  seront  mises  à  la  disposition  des  PMR  dans  un  format</w:t>
      </w:r>
      <w:r>
        <w:rPr>
          <w:rFonts w:cs="Times New Roman" w:hAnsi="Times New Roman" w:eastAsia="Times New Roman" w:ascii="Times New Roman"/>
          <w:sz w:val="24"/>
          <w:szCs w:val="24"/>
        </w:rPr>
        <w:t> accessible.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74) à tenir compte des caractéristiques particulières et des contraintes supplémentaires 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régions  ultrapériphériques  lors  de  l’élaboration  et  de  l’évaluation  des  incidences  de  la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lég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islation sur le tourisme, conformément à l’article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349 du traité FUE, étant donné que ces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régions  dépendent  fortement  du  tourisme  pour  leur  développement  économique,  social  et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culturel;   à   tenir   compte   de   la   transition   climatique   et   numérique   dans   les   régions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ultrapériphériques;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z w:val="24"/>
          <w:szCs w:val="24"/>
        </w:rPr>
        <w:t>La  Commission  est  consciente  des  particularités  des  régions  ultrapériphériques  et  de  leurs</w:t>
      </w:r>
      <w:r>
        <w:rPr>
          <w:rFonts w:cs="Times New Roman" w:hAnsi="Times New Roman" w:eastAsia="Times New Roman" w:ascii="Times New Roman"/>
          <w:sz w:val="24"/>
          <w:szCs w:val="24"/>
        </w:rPr>
        <w:t> contraintes   spécifiques   qui   sont   encore   aggravées   par   la   crise   de   la   COVID-19.   De</w:t>
      </w:r>
      <w:r>
        <w:rPr>
          <w:rFonts w:cs="Times New Roman" w:hAnsi="Times New Roman" w:eastAsia="Times New Roman" w:ascii="Times New Roman"/>
          <w:sz w:val="24"/>
          <w:szCs w:val="24"/>
        </w:rPr>
        <w:t> nombreuses    régions    ultrapériphériques    dépendent    fortement    du    tourisme    et    sont</w:t>
      </w:r>
      <w:r>
        <w:rPr>
          <w:rFonts w:cs="Times New Roman" w:hAnsi="Times New Roman" w:eastAsia="Times New Roman" w:ascii="Times New Roman"/>
          <w:sz w:val="24"/>
          <w:szCs w:val="24"/>
        </w:rPr>
        <w:t> particulièrement  touchées  par  la  réduction  du  nombre  de  passagers  aériens,  la  hausse  du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chômage  et  la  baisse  des  PIB.  Les  initiatives  d’investissement  en  réponse  au  coronavirus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(CRII et CRII+) ont déjà aidé des États membres en fournissant des liquidités à des secteurs</w:t>
      </w:r>
      <w:r>
        <w:rPr>
          <w:rFonts w:cs="Times New Roman" w:hAnsi="Times New Roman" w:eastAsia="Times New Roman" w:ascii="Times New Roman"/>
          <w:sz w:val="24"/>
          <w:szCs w:val="24"/>
        </w:rPr>
        <w:t> tels que le tourisme, la santé et les PME. La Commission a commandé une étude relative aux</w:t>
      </w:r>
      <w:r>
        <w:rPr>
          <w:rFonts w:cs="Times New Roman" w:hAnsi="Times New Roman" w:eastAsia="Times New Roman" w:ascii="Times New Roman"/>
          <w:sz w:val="24"/>
          <w:szCs w:val="24"/>
        </w:rPr>
        <w:t> effets   de   la   crise   de   la   COVID-19   sur   les   régions   ultrapériphériques   et   examinera</w:t>
      </w:r>
      <w:r>
        <w:rPr>
          <w:rFonts w:cs="Times New Roman" w:hAnsi="Times New Roman" w:eastAsia="Times New Roman" w:ascii="Times New Roman"/>
          <w:sz w:val="24"/>
          <w:szCs w:val="24"/>
        </w:rPr>
        <w:t> attentivement   les   conclusions   préliminaires   qui   ser</w:t>
      </w:r>
      <w:r>
        <w:rPr>
          <w:rFonts w:cs="Times New Roman" w:hAnsi="Times New Roman" w:eastAsia="Times New Roman" w:ascii="Times New Roman"/>
          <w:sz w:val="24"/>
          <w:szCs w:val="24"/>
        </w:rPr>
        <w:t>ont   achevées   à   l’automne </w:t>
      </w:r>
      <w:r>
        <w:rPr>
          <w:rFonts w:cs="Times New Roman" w:hAnsi="Times New Roman" w:eastAsia="Times New Roman" w:ascii="Times New Roman"/>
          <w:sz w:val="24"/>
          <w:szCs w:val="24"/>
        </w:rPr>
        <w:t>2021.   La</w:t>
      </w:r>
      <w:r>
        <w:rPr>
          <w:rFonts w:cs="Times New Roman" w:hAnsi="Times New Roman" w:eastAsia="Times New Roman" w:ascii="Times New Roman"/>
          <w:sz w:val="24"/>
          <w:szCs w:val="24"/>
        </w:rPr>
        <w:t> Commission  a  inscrit  les  spécificités  des  régions  ultrapériphériques  dans  plus  de  20 textes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législatifs  relatifs  aux  instruments  de  financement  de  l’UE  pour  la  période </w:t>
      </w:r>
      <w:r>
        <w:rPr>
          <w:rFonts w:cs="Times New Roman" w:hAnsi="Times New Roman" w:eastAsia="Times New Roman" w:ascii="Times New Roman"/>
          <w:sz w:val="24"/>
          <w:szCs w:val="24"/>
        </w:rPr>
        <w:t>2021-2027  du</w:t>
      </w:r>
      <w:r>
        <w:rPr>
          <w:rFonts w:cs="Times New Roman" w:hAnsi="Times New Roman" w:eastAsia="Times New Roman" w:ascii="Times New Roman"/>
          <w:sz w:val="24"/>
          <w:szCs w:val="24"/>
        </w:rPr>
        <w:t> cadre financier pluriannuel (CFP), offrant ainsi aux régions ultrapériphériques des possibilités</w:t>
      </w:r>
      <w:r>
        <w:rPr>
          <w:rFonts w:cs="Times New Roman" w:hAnsi="Times New Roman" w:eastAsia="Times New Roman" w:ascii="Times New Roman"/>
          <w:sz w:val="24"/>
          <w:szCs w:val="24"/>
        </w:rPr>
        <w:t> sans précédent de tirer parti de leurs atouts uniques. La Commission adaptera également son</w:t>
      </w:r>
      <w:r>
        <w:rPr>
          <w:rFonts w:cs="Times New Roman" w:hAnsi="Times New Roman" w:eastAsia="Times New Roman" w:ascii="Times New Roman"/>
          <w:sz w:val="24"/>
          <w:szCs w:val="24"/>
        </w:rPr>
        <w:t> approche stratégique des régions ultrapériphériques avec une nouvelle communication prévue</w:t>
      </w:r>
      <w:r>
        <w:rPr>
          <w:rFonts w:cs="Times New Roman" w:hAnsi="Times New Roman" w:eastAsia="Times New Roman" w:ascii="Times New Roman"/>
          <w:sz w:val="24"/>
          <w:szCs w:val="24"/>
        </w:rPr>
        <w:t> pour 2022, en tenant compte des répercussions de la COVID-19.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9"/>
      </w:pPr>
      <w:r>
        <w:rPr>
          <w:rFonts w:cs="Times New Roman" w:hAnsi="Times New Roman" w:eastAsia="Times New Roman" w:ascii="Times New Roman"/>
          <w:i/>
          <w:sz w:val="24"/>
          <w:szCs w:val="24"/>
        </w:rPr>
        <w:t>75) à accorder une attention particulière aux régions montagneuses, aux îles et aux régions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insulaires  et  aux  zones  rurales,  et  souligne  l’importance  d’une  coopération  institutionnelle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bien  structurée  avec  tous 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les  acteurs  régionaux  concernés,  ainsi  qu’avec  le  Comité  des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régions; à assurer la mobilité dans les territoires souffrant de double et triple insularité, face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</w:rPr>
        <w:t>à un effondrement brutal de l’offre;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z w:val="24"/>
          <w:szCs w:val="24"/>
        </w:rPr>
        <w:t>La  Commission  partage  les  vues  du  Parlement  et  soutient  les  domaines  énumérés.  Une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</w:rPr>
        <w:t>importance particulière est consacrée aux zones rurales de l’UE: elles abritent 134 </w:t>
      </w:r>
      <w:r>
        <w:rPr>
          <w:rFonts w:cs="Times New Roman" w:hAnsi="Times New Roman" w:eastAsia="Times New Roman" w:ascii="Times New Roman"/>
          <w:sz w:val="24"/>
          <w:szCs w:val="24"/>
        </w:rPr>
        <w:t>millions de</w:t>
      </w:r>
      <w:r>
        <w:rPr>
          <w:rFonts w:cs="Times New Roman" w:hAnsi="Times New Roman" w:eastAsia="Times New Roman" w:ascii="Times New Roman"/>
          <w:sz w:val="24"/>
          <w:szCs w:val="24"/>
        </w:rPr>
        <w:t> personnes et couvrent 84 </w:t>
      </w:r>
      <w:r>
        <w:rPr>
          <w:rFonts w:cs="Times New Roman" w:hAnsi="Times New Roman" w:eastAsia="Times New Roman" w:ascii="Times New Roman"/>
          <w:sz w:val="24"/>
          <w:szCs w:val="24"/>
        </w:rPr>
        <w:t>% du territoire de l’UE.</w:t>
      </w:r>
    </w:p>
    <w:sectPr>
      <w:pgMar w:header="0" w:footer="985" w:top="1320" w:bottom="280" w:left="1300" w:right="13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63pt;margin-top:781.665pt;width:14.08pt;height:11.96pt;mso-position-horizontal-relative:page;mso-position-vertical-relative:page;z-index:-47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824pt;margin-top:673.12pt;width:144.02pt;height:0pt;mso-position-horizontal-relative:page;mso-position-vertical-relative:page;z-index:-474" coordorigin="1416,13462" coordsize="2880,0">
          <v:shape style="position:absolute;left:1416;top:13462;width:2880;height:0" coordorigin="1416,13462" coordsize="2880,0" path="m1416,13462l4297,13462e" filled="f" stroked="t" strokeweight="0.70004pt" strokecolor="#000000">
            <v:path arrowok="t"/>
          </v:shape>
          <w10:wrap type="none"/>
        </v:group>
      </w:pict>
    </w:r>
    <w:r>
      <w:pict>
        <v:shape type="#_x0000_t202" style="position:absolute;margin-left:69.824pt;margin-top:759.026pt;width:8.48pt;height:8.48pt;mso-position-horizontal-relative:page;mso-position-vertical-relative:page;z-index:-47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3"/>
                    <w:szCs w:val="13"/>
                  </w:rPr>
                  <w:jc w:val="left"/>
                  <w:spacing w:before="3"/>
                  <w:ind w:left="2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13"/>
                    <w:szCs w:val="13"/>
                  </w:rPr>
                  <w:t>22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7.704pt;margin-top:759.705pt;width:351.276pt;height:11.96pt;mso-position-horizontal-relative:page;mso-position-vertical-relative:page;z-index:-4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0000FF"/>
                    <w:w w:val="99"/>
                    <w:sz w:val="20"/>
                    <w:szCs w:val="20"/>
                  </w:rPr>
                </w:r>
                <w:hyperlink r:id="rId1"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ttp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:/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/a4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e.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eu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/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co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te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t/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lo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ad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/av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iatio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tab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le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ep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16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11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  <w:u w:val="single" w:color="0000FF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99"/>
                      <w:sz w:val="20"/>
                      <w:szCs w:val="20"/>
                    </w:rPr>
                  </w:r>
                  <w:r>
                    <w:rPr>
                      <w:rFonts w:cs="Times New Roman" w:hAnsi="Times New Roman" w:eastAsia="Times New Roman" w:ascii="Times New Roman"/>
                      <w:color w:val="0000FF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99"/>
                      <w:sz w:val="20"/>
                      <w:szCs w:val="20"/>
                    </w:rPr>
                    <w:t>page</w:t>
                  </w:r>
                </w:hyperlink>
                <w:r>
                  <w:rPr>
                    <w:rFonts w:cs="Times New Roman" w:hAnsi="Times New Roman" w:eastAsia="Times New Roman" w:ascii="Times New Roman"/>
                    <w:color w:val="00000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w w:val="99"/>
                    <w:sz w:val="20"/>
                    <w:szCs w:val="20"/>
                  </w:rPr>
                  <w:t>10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90.63pt;margin-top:781.665pt;width:14.08pt;height:11.96pt;mso-position-horizontal-relative:page;mso-position-vertical-relative:page;z-index:-47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63pt;margin-top:781.665pt;width:14.08pt;height:11.96pt;mso-position-horizontal-relative:page;mso-position-vertical-relative:page;z-index:-47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yperlink" Target="https://ec.europa.eu/info/strategy/priorities-2019-2024/europe-fit-digital-age/european-industrial-strategy_fr" TargetMode="External"/><Relationship Id="rId6" Type="http://schemas.openxmlformats.org/officeDocument/2006/relationships/hyperlink" Target="http://data.europa.eu/eli/reg/2021/953/oj" TargetMode="External"/><Relationship Id="rId7" Type="http://schemas.openxmlformats.org/officeDocument/2006/relationships/hyperlink" Target="https://ec.europa.eu/growth/sectors/tourism/funding-guide_en" TargetMode="External"/><Relationship Id="rId8" Type="http://schemas.openxmlformats.org/officeDocument/2006/relationships/hyperlink" Target="https://ec.europa.eu/info/sites/default/files/swd-annual-single-market-report-2021_en.pdf" TargetMode="External"/><Relationship Id="rId9" Type="http://schemas.openxmlformats.org/officeDocument/2006/relationships/hyperlink" Target="https://ec.europa.eu/info/sites/default/files/communication-industrial-strategy-update-2020_en.pdf" TargetMode="External"/><Relationship Id="rId10" Type="http://schemas.openxmlformats.org/officeDocument/2006/relationships/hyperlink" Target="https://ec.europa.eu/docsroom/documents/45977" TargetMode="External"/><Relationship Id="rId11" Type="http://schemas.openxmlformats.org/officeDocument/2006/relationships/hyperlink" Target="https://ec.europa.eu/eusurvey/runner/TourismTransitionPathway" TargetMode="External"/><Relationship Id="rId12" Type="http://schemas.openxmlformats.org/officeDocument/2006/relationships/hyperlink" Target="https://ec.europa.eu/eusurvey/runner/TourismTransitionPathway" TargetMode="External"/><Relationship Id="rId13" Type="http://schemas.openxmlformats.org/officeDocument/2006/relationships/hyperlink" Target="https://ec.europa.eu/eusurvey/runner/TourismTransitionPathway" TargetMode="External"/><Relationship Id="rId14" Type="http://schemas.openxmlformats.org/officeDocument/2006/relationships/hyperlink" Target="https://webgate.ec.europa.eu/fpfis/cms/farnet2/on-the-ground_fr" TargetMode="External"/><Relationship Id="rId15" Type="http://schemas.openxmlformats.org/officeDocument/2006/relationships/hyperlink" Target="https://webgate.ec.europa.eu/fpfis/cms/farnet2/on-the-ground/good-practice/projects/salina-greens-farming-organic-salicornia-abandoned-salt-marshes_fr" TargetMode="External"/><Relationship Id="rId16" Type="http://schemas.openxmlformats.org/officeDocument/2006/relationships/hyperlink" Target="https://webgate.ec.europa.eu/fpfis/cms/farnet2/on-the-ground/good-practice/projects/salina-greens-farming-organic-salicornia-abandoned-salt-marshes_fr" TargetMode="External"/><Relationship Id="rId17" Type="http://schemas.openxmlformats.org/officeDocument/2006/relationships/hyperlink" Target="https://ec.europa.eu/competition/elojade/isef/index.cfm?fuseaction=dsp_result&amp;policy_area_id=3" TargetMode="External"/><Relationship Id="rId18" Type="http://schemas.openxmlformats.org/officeDocument/2006/relationships/hyperlink" Target="https://ec.europa.eu/competition/elojade/isef/index.cfm?fuseaction=dsp_result&amp;policy_area_id=3" TargetMode="External"/><Relationship Id="rId19" Type="http://schemas.openxmlformats.org/officeDocument/2006/relationships/hyperlink" Target="https://ec.europa.eu/competition/elojade/isef/index.cfm?fuseaction=dsp_result&amp;policy_area_id=3" TargetMode="External"/><Relationship Id="rId20" Type="http://schemas.openxmlformats.org/officeDocument/2006/relationships/hyperlink" Target="https://eur-lex.europa.eu/legal-content/FR/TXT/?uri=CELEX%3A52021DC0148&amp;qid=1629299485531" TargetMode="External"/><Relationship Id="rId21" Type="http://schemas.openxmlformats.org/officeDocument/2006/relationships/hyperlink" Target="https://eur-lex.europa.eu/legal-content/FR/TXT/?uri=CELEX%3A52021DC0148&amp;qid=1629299485531" TargetMode="External"/><Relationship Id="rId22" Type="http://schemas.openxmlformats.org/officeDocument/2006/relationships/hyperlink" Target="https://ec.europa.eu/docsroom/documents/43845?locale=fr" TargetMode="External"/><Relationship Id="rId23" Type="http://schemas.openxmlformats.org/officeDocument/2006/relationships/hyperlink" Target="https://ec.europa.eu/info/law/better-regulation/have-your-say/initiatives/12778-Protection-a-l%E2%80%99echelle-de-l%E2%80%99UE-des-indications-geographiques-pour-les-produits-non-agricoles/F1414138_fr" TargetMode="External"/><Relationship Id="rId24" Type="http://schemas.openxmlformats.org/officeDocument/2006/relationships/hyperlink" Target="https://ec.europa.eu/info/law/better-regulation/have-your-say/initiatives/12778-Protection-a-l%E2%80%99echelle-de-l%E2%80%99UE-des-indications-geographiques-pour-les-produits-non-agricoles/F1414138_fr" TargetMode="External"/><Relationship Id="rId25" Type="http://schemas.openxmlformats.org/officeDocument/2006/relationships/hyperlink" Target="https://ec.europa.eu/info/law/better-regulation/have-your-say/initiatives/12778-Protection-a-l%E2%80%99echelle-de-l%E2%80%99UE-des-indications-geographiques-pour-les-produits-non-agricoles/F1414138_fr" TargetMode="External"/><Relationship Id="rId26" Type="http://schemas.openxmlformats.org/officeDocument/2006/relationships/footer" Target="footer2.xml"/><Relationship Id="rId27" Type="http://schemas.openxmlformats.org/officeDocument/2006/relationships/hyperlink" Target="https://ec.europa.eu/competition/elojade/isef/case_details.cfm?proc_code=3_SA_60521" TargetMode="External"/><Relationship Id="rId28" Type="http://schemas.openxmlformats.org/officeDocument/2006/relationships/hyperlink" Target="https://oeil.secure.europarl.europa.eu/oeil/popups/ficheprocedure.do?lang=fr&amp;reference=2019/2854(RSP)" TargetMode="External"/><Relationship Id="rId29" Type="http://schemas.openxmlformats.org/officeDocument/2006/relationships/hyperlink" Target="https://www.europarl.europa.eu/doceo/document/B-9-2019-0120_FR.pdf" TargetMode="External"/><Relationship Id="rId30" Type="http://schemas.openxmlformats.org/officeDocument/2006/relationships/hyperlink" Target="https://www.europarl.europa.eu/doceo/document/B-9-2019-0120_FR.pdf" TargetMode="External"/><Relationship Id="rId31" Type="http://schemas.openxmlformats.org/officeDocument/2006/relationships/footer" Target="footer3.xml"/><Relationship Id="rId32" Type="http://schemas.openxmlformats.org/officeDocument/2006/relationships/hyperlink" Target="https://ec.europa.eu/growth/sectors/tourism/support-business_en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4e.eu/wp-content/uploads/aviation-round-table-report-16-11-2020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