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AC" w:rsidRPr="00083D99" w:rsidRDefault="005244AC" w:rsidP="005244AC">
      <w:pPr>
        <w:spacing w:after="600"/>
        <w:jc w:val="center"/>
        <w:rPr>
          <w:rFonts w:ascii="Times New Roman" w:hAnsi="Times New Roman"/>
          <w:b/>
          <w:bCs/>
          <w:szCs w:val="24"/>
        </w:rPr>
      </w:pPr>
      <w:bookmarkStart w:id="0" w:name="Schrems"/>
      <w:r>
        <w:rPr>
          <w:rFonts w:ascii="Times New Roman" w:hAnsi="Times New Roman"/>
          <w:b/>
          <w:szCs w:val="24"/>
        </w:rPr>
        <w:t xml:space="preserve">Suite donnée à la résolution non législative du Parlement européen </w:t>
      </w:r>
      <w:r>
        <w:rPr>
          <w:rFonts w:ascii="Times New Roman" w:hAnsi="Times New Roman"/>
          <w:b/>
          <w:bCs/>
          <w:szCs w:val="24"/>
          <w:shd w:val="clear" w:color="auto" w:fill="FFFFFF"/>
        </w:rPr>
        <w:t>sur l’arrêt rendu par la Cour de justice de l’Union européenne le 16 juillet 2020 dans l’affaire C</w:t>
      </w:r>
      <w:r>
        <w:rPr>
          <w:rFonts w:ascii="Times New Roman" w:hAnsi="Times New Roman"/>
          <w:b/>
          <w:bCs/>
          <w:szCs w:val="24"/>
          <w:shd w:val="clear" w:color="auto" w:fill="FFFFFF"/>
        </w:rPr>
        <w:noBreakHyphen/>
        <w:t xml:space="preserve">311/18, </w:t>
      </w:r>
      <w:r>
        <w:rPr>
          <w:rFonts w:ascii="Times New Roman" w:hAnsi="Times New Roman"/>
          <w:b/>
          <w:szCs w:val="24"/>
        </w:rPr>
        <w:t xml:space="preserve">Data Protection </w:t>
      </w:r>
      <w:proofErr w:type="spellStart"/>
      <w:r>
        <w:rPr>
          <w:rFonts w:ascii="Times New Roman" w:hAnsi="Times New Roman"/>
          <w:b/>
          <w:szCs w:val="24"/>
        </w:rPr>
        <w:t>Commissioner</w:t>
      </w:r>
      <w:proofErr w:type="spellEnd"/>
      <w:r>
        <w:rPr>
          <w:rFonts w:ascii="Times New Roman" w:hAnsi="Times New Roman"/>
          <w:b/>
          <w:szCs w:val="24"/>
        </w:rPr>
        <w:t xml:space="preserve"> contre Facebook Ireland Ltd et </w:t>
      </w:r>
      <w:proofErr w:type="spellStart"/>
      <w:r>
        <w:rPr>
          <w:rFonts w:ascii="Times New Roman" w:hAnsi="Times New Roman"/>
          <w:b/>
          <w:szCs w:val="24"/>
        </w:rPr>
        <w:t>Maximillian</w:t>
      </w:r>
      <w:proofErr w:type="spellEnd"/>
      <w:r>
        <w:rPr>
          <w:rFonts w:ascii="Times New Roman" w:hAnsi="Times New Roman"/>
          <w:b/>
          <w:szCs w:val="24"/>
        </w:rPr>
        <w:t xml:space="preserve"> </w:t>
      </w:r>
      <w:proofErr w:type="spellStart"/>
      <w:r>
        <w:rPr>
          <w:rFonts w:ascii="Times New Roman" w:hAnsi="Times New Roman"/>
          <w:b/>
          <w:szCs w:val="24"/>
        </w:rPr>
        <w:t>Schrems</w:t>
      </w:r>
      <w:proofErr w:type="spellEnd"/>
      <w:r>
        <w:rPr>
          <w:rFonts w:ascii="Times New Roman" w:hAnsi="Times New Roman"/>
          <w:b/>
          <w:bCs/>
          <w:szCs w:val="24"/>
          <w:shd w:val="clear" w:color="auto" w:fill="FFFFFF"/>
        </w:rPr>
        <w:t xml:space="preserve"> </w:t>
      </w:r>
      <w:proofErr w:type="gramStart"/>
      <w:r>
        <w:rPr>
          <w:rFonts w:ascii="Times New Roman" w:hAnsi="Times New Roman"/>
          <w:b/>
          <w:bCs/>
          <w:szCs w:val="24"/>
          <w:shd w:val="clear" w:color="auto" w:fill="FFFFFF"/>
        </w:rPr>
        <w:t>(«arrêt</w:t>
      </w:r>
      <w:proofErr w:type="gramEnd"/>
      <w:r>
        <w:rPr>
          <w:rFonts w:ascii="Times New Roman" w:hAnsi="Times New Roman"/>
          <w:b/>
          <w:bCs/>
          <w:szCs w:val="24"/>
          <w:shd w:val="clear" w:color="auto" w:fill="FFFFFF"/>
        </w:rPr>
        <w:t> </w:t>
      </w:r>
      <w:proofErr w:type="spellStart"/>
      <w:r>
        <w:rPr>
          <w:rFonts w:ascii="Times New Roman" w:hAnsi="Times New Roman"/>
          <w:b/>
          <w:bCs/>
          <w:szCs w:val="24"/>
          <w:shd w:val="clear" w:color="auto" w:fill="FFFFFF"/>
        </w:rPr>
        <w:t>Schrems</w:t>
      </w:r>
      <w:proofErr w:type="spellEnd"/>
      <w:r>
        <w:rPr>
          <w:rFonts w:ascii="Times New Roman" w:hAnsi="Times New Roman"/>
          <w:b/>
          <w:bCs/>
          <w:szCs w:val="24"/>
          <w:shd w:val="clear" w:color="auto" w:fill="FFFFFF"/>
        </w:rPr>
        <w:t> II»)</w:t>
      </w:r>
    </w:p>
    <w:bookmarkEnd w:id="0"/>
    <w:p w:rsidR="005244AC" w:rsidRPr="00BF0980" w:rsidRDefault="005244AC" w:rsidP="005244AC">
      <w:pPr>
        <w:numPr>
          <w:ilvl w:val="0"/>
          <w:numId w:val="1"/>
        </w:numPr>
        <w:ind w:left="567" w:hanging="567"/>
        <w:rPr>
          <w:rFonts w:ascii="Times New Roman" w:hAnsi="Times New Roman"/>
          <w:b/>
          <w:bCs/>
          <w:szCs w:val="24"/>
        </w:rPr>
      </w:pPr>
      <w:r>
        <w:rPr>
          <w:rFonts w:ascii="Times New Roman" w:hAnsi="Times New Roman"/>
          <w:b/>
          <w:bCs/>
          <w:szCs w:val="24"/>
        </w:rPr>
        <w:t>Résolution présentée conformément à l’article 132, paragraphe 2, du règlement intérieur du Parlement européen</w:t>
      </w:r>
    </w:p>
    <w:p w:rsidR="005244AC" w:rsidRPr="00BF0980" w:rsidRDefault="005244AC" w:rsidP="005244AC">
      <w:pPr>
        <w:numPr>
          <w:ilvl w:val="0"/>
          <w:numId w:val="1"/>
        </w:numPr>
        <w:ind w:left="567" w:hanging="567"/>
        <w:rPr>
          <w:rFonts w:ascii="Times New Roman" w:hAnsi="Times New Roman"/>
          <w:i/>
          <w:iCs/>
          <w:szCs w:val="24"/>
        </w:rPr>
      </w:pPr>
      <w:r>
        <w:rPr>
          <w:rFonts w:ascii="Times New Roman" w:hAnsi="Times New Roman"/>
          <w:b/>
          <w:bCs/>
          <w:szCs w:val="24"/>
        </w:rPr>
        <w:t xml:space="preserve">Numéros de référence: </w:t>
      </w:r>
      <w:r>
        <w:rPr>
          <w:rFonts w:ascii="Times New Roman" w:hAnsi="Times New Roman"/>
          <w:szCs w:val="24"/>
        </w:rPr>
        <w:t>2020/2789 (RSP) / </w:t>
      </w:r>
      <w:bookmarkStart w:id="1" w:name="_GoBack"/>
      <w:r>
        <w:rPr>
          <w:rFonts w:ascii="Times New Roman" w:hAnsi="Times New Roman"/>
          <w:szCs w:val="24"/>
        </w:rPr>
        <w:t>B9-0267/2021</w:t>
      </w:r>
      <w:bookmarkEnd w:id="1"/>
      <w:r>
        <w:rPr>
          <w:rFonts w:ascii="Times New Roman" w:hAnsi="Times New Roman"/>
          <w:szCs w:val="24"/>
        </w:rPr>
        <w:t> / P9_TA-</w:t>
      </w:r>
      <w:proofErr w:type="gramStart"/>
      <w:r>
        <w:rPr>
          <w:rFonts w:ascii="Times New Roman" w:hAnsi="Times New Roman"/>
          <w:szCs w:val="24"/>
        </w:rPr>
        <w:t>PROV(</w:t>
      </w:r>
      <w:proofErr w:type="gramEnd"/>
      <w:r>
        <w:rPr>
          <w:rFonts w:ascii="Times New Roman" w:hAnsi="Times New Roman"/>
          <w:szCs w:val="24"/>
        </w:rPr>
        <w:t>2021)0256</w:t>
      </w:r>
    </w:p>
    <w:p w:rsidR="005244AC" w:rsidRPr="00BF0980" w:rsidRDefault="005244AC" w:rsidP="005244AC">
      <w:pPr>
        <w:numPr>
          <w:ilvl w:val="0"/>
          <w:numId w:val="1"/>
        </w:numPr>
        <w:ind w:left="567" w:hanging="567"/>
        <w:rPr>
          <w:rFonts w:ascii="Times New Roman" w:hAnsi="Times New Roman"/>
          <w:szCs w:val="24"/>
        </w:rPr>
      </w:pPr>
      <w:r>
        <w:rPr>
          <w:rFonts w:ascii="Times New Roman" w:hAnsi="Times New Roman"/>
          <w:b/>
          <w:bCs/>
          <w:szCs w:val="24"/>
        </w:rPr>
        <w:t xml:space="preserve">Date d’adoption de la résolution: </w:t>
      </w:r>
      <w:r>
        <w:rPr>
          <w:rFonts w:ascii="Times New Roman" w:hAnsi="Times New Roman"/>
          <w:szCs w:val="24"/>
        </w:rPr>
        <w:t>20 mai 2021</w:t>
      </w:r>
    </w:p>
    <w:p w:rsidR="005244AC" w:rsidRPr="00BF0980" w:rsidRDefault="005244AC" w:rsidP="005244AC">
      <w:pPr>
        <w:numPr>
          <w:ilvl w:val="0"/>
          <w:numId w:val="1"/>
        </w:numPr>
        <w:ind w:left="567" w:hanging="567"/>
        <w:rPr>
          <w:rFonts w:ascii="Times New Roman" w:hAnsi="Times New Roman"/>
          <w:i/>
          <w:iCs/>
          <w:szCs w:val="24"/>
        </w:rPr>
      </w:pPr>
      <w:r>
        <w:rPr>
          <w:rFonts w:ascii="Times New Roman" w:hAnsi="Times New Roman"/>
          <w:b/>
          <w:bCs/>
          <w:szCs w:val="24"/>
        </w:rPr>
        <w:t xml:space="preserve">Commission parlementaire compétente: </w:t>
      </w:r>
      <w:r>
        <w:rPr>
          <w:rFonts w:ascii="Times New Roman" w:hAnsi="Times New Roman"/>
        </w:rPr>
        <w:t>commission des libertés civiles, de la justice et des affaires intérieures (LIBE)</w:t>
      </w:r>
    </w:p>
    <w:p w:rsidR="005244AC" w:rsidRPr="00505459" w:rsidRDefault="005244AC" w:rsidP="005244AC">
      <w:pPr>
        <w:widowControl w:val="0"/>
        <w:numPr>
          <w:ilvl w:val="0"/>
          <w:numId w:val="1"/>
        </w:numPr>
        <w:ind w:left="567" w:hanging="567"/>
        <w:rPr>
          <w:rFonts w:ascii="Times New Roman" w:hAnsi="Times New Roman"/>
          <w:szCs w:val="24"/>
        </w:rPr>
      </w:pPr>
      <w:r>
        <w:rPr>
          <w:rFonts w:ascii="Times New Roman" w:hAnsi="Times New Roman"/>
          <w:b/>
          <w:bCs/>
          <w:szCs w:val="24"/>
        </w:rPr>
        <w:t>Analyse/évaluation succincte de la résolution et des demandes qu’elle contient:</w:t>
      </w:r>
    </w:p>
    <w:p w:rsidR="005244AC" w:rsidRPr="00943AB4" w:rsidRDefault="005244AC" w:rsidP="005244AC">
      <w:pPr>
        <w:widowControl w:val="0"/>
        <w:spacing w:after="120"/>
        <w:rPr>
          <w:rFonts w:ascii="Times New Roman" w:hAnsi="Times New Roman"/>
          <w:szCs w:val="24"/>
        </w:rPr>
      </w:pPr>
      <w:r>
        <w:rPr>
          <w:rFonts w:ascii="Times New Roman" w:hAnsi="Times New Roman"/>
          <w:szCs w:val="24"/>
        </w:rPr>
        <w:t xml:space="preserve">La résolution porte sur différents aspects du régime de l’Union concernant les transferts internationaux de données à caractère personnel. Premièrement, elle aborde </w:t>
      </w:r>
      <w:r>
        <w:rPr>
          <w:rFonts w:ascii="Times New Roman" w:hAnsi="Times New Roman"/>
          <w:szCs w:val="24"/>
          <w:u w:val="single"/>
        </w:rPr>
        <w:t>l’invalidation du bouclier de protection des données UE – États-Unis</w:t>
      </w:r>
      <w:r>
        <w:rPr>
          <w:rFonts w:ascii="Times New Roman" w:hAnsi="Times New Roman"/>
          <w:szCs w:val="24"/>
        </w:rPr>
        <w:t xml:space="preserve"> par la Cour de justice et les négociations en cours entre la Commission et les États-Unis d’Amérique sur un accord destiné à lui succéder. À cet égard, le Parlement invite la Commission à négocier un nouvel accord avec les États-Unis qui soit pleinement conforme aux exigences de l’arrêt </w:t>
      </w:r>
      <w:proofErr w:type="spellStart"/>
      <w:r>
        <w:rPr>
          <w:rFonts w:ascii="Times New Roman" w:hAnsi="Times New Roman"/>
          <w:szCs w:val="24"/>
        </w:rPr>
        <w:t>Schrems</w:t>
      </w:r>
      <w:proofErr w:type="spellEnd"/>
      <w:r>
        <w:rPr>
          <w:rFonts w:ascii="Times New Roman" w:hAnsi="Times New Roman"/>
          <w:szCs w:val="24"/>
        </w:rPr>
        <w:t xml:space="preserve"> II. En outre, il est demandé à la Commission d’étudier les incidences de cet arrêt sur les accords existants entre l’UE et les États membres. Deuxièmement, la résolution traite des </w:t>
      </w:r>
      <w:r>
        <w:rPr>
          <w:rFonts w:ascii="Times New Roman" w:hAnsi="Times New Roman"/>
          <w:szCs w:val="24"/>
          <w:u w:val="single"/>
        </w:rPr>
        <w:t>clauses contractuelles types</w:t>
      </w:r>
      <w:r>
        <w:rPr>
          <w:rFonts w:ascii="Times New Roman" w:hAnsi="Times New Roman"/>
          <w:szCs w:val="24"/>
        </w:rPr>
        <w:t>. Elle prend acte de la modernisation des clauses et salue la consultation publique organisée par la Commission. Dans la résolution, le Parlement demande en outre à la Commission de prendre en considération les retours d’information reçus de la part du comité européen de la protection des données et du Contrôleur européen de la protection des données et prie le comité européen de la protection des données et la Commission de donner des orientations aux entreprises qui transfèrent des données nominatives hors de l’Union, en particulier aux petites et moyennes entreprises (PME), conformément à l’arrêt </w:t>
      </w:r>
      <w:proofErr w:type="spellStart"/>
      <w:r>
        <w:rPr>
          <w:rFonts w:ascii="Times New Roman" w:hAnsi="Times New Roman"/>
          <w:szCs w:val="24"/>
        </w:rPr>
        <w:t>Schrems</w:t>
      </w:r>
      <w:proofErr w:type="spellEnd"/>
      <w:r>
        <w:rPr>
          <w:rFonts w:ascii="Times New Roman" w:hAnsi="Times New Roman"/>
          <w:szCs w:val="24"/>
        </w:rPr>
        <w:t xml:space="preserve"> II. Troisièmement, le Parlement invite la Commission à appliquer les normes établies par le règlement général sur la protection des données (RGPD) et la jurisprudence de la Cour de justice lorsqu’elle procède à des </w:t>
      </w:r>
      <w:r>
        <w:rPr>
          <w:rFonts w:ascii="Times New Roman" w:hAnsi="Times New Roman"/>
          <w:szCs w:val="24"/>
          <w:u w:val="single"/>
        </w:rPr>
        <w:t>évaluations d’adéquation</w:t>
      </w:r>
      <w:r>
        <w:rPr>
          <w:rFonts w:ascii="Times New Roman" w:hAnsi="Times New Roman"/>
          <w:szCs w:val="24"/>
        </w:rPr>
        <w:t xml:space="preserve">. Par cette résolution, le Parlement exhorte en outre la Commission à clôturer le réexamen des décisions existantes relatives à l’adéquation et à révoquer ou à suspendre les décisions qui ne satisfont pas au critère de niveau de protection adéquat. De manière plus générale, le projet de résolution fait part des inquiétudes du Parlement quant au </w:t>
      </w:r>
      <w:r>
        <w:rPr>
          <w:rFonts w:ascii="Times New Roman" w:hAnsi="Times New Roman"/>
          <w:szCs w:val="24"/>
          <w:u w:val="single"/>
        </w:rPr>
        <w:t>niveau insuffisant d’application du RGPD</w:t>
      </w:r>
      <w:r>
        <w:rPr>
          <w:rFonts w:ascii="Times New Roman" w:hAnsi="Times New Roman"/>
          <w:szCs w:val="24"/>
        </w:rPr>
        <w:t xml:space="preserve"> par les autorités nationales de protection des données, notamment dans le domaine des transferts internationaux. À cet égard, le Parlement est très critique envers le commissaire irlandais à la protection des données et demande à la Commission d’engager une procédure en manquement à l’encontre de l’Irlande pour absence de contrôle satisfaisant de l’application du RGPD.</w:t>
      </w:r>
    </w:p>
    <w:p w:rsidR="005244AC" w:rsidRPr="009A700A" w:rsidRDefault="005244AC" w:rsidP="005244AC">
      <w:pPr>
        <w:widowControl w:val="0"/>
        <w:numPr>
          <w:ilvl w:val="0"/>
          <w:numId w:val="1"/>
        </w:numPr>
        <w:ind w:left="567" w:hanging="567"/>
        <w:rPr>
          <w:rFonts w:ascii="Times New Roman" w:hAnsi="Times New Roman"/>
          <w:b/>
          <w:bCs/>
          <w:i/>
          <w:iCs/>
          <w:szCs w:val="24"/>
        </w:rPr>
      </w:pPr>
      <w:r>
        <w:rPr>
          <w:rFonts w:ascii="Times New Roman" w:hAnsi="Times New Roman"/>
          <w:b/>
          <w:bCs/>
          <w:szCs w:val="24"/>
        </w:rPr>
        <w:t>Réponse à ces demandes et aperçu des mesures que la Commission a prises ou envisage de prendre:</w:t>
      </w:r>
    </w:p>
    <w:p w:rsidR="005244AC" w:rsidRPr="00602DE9" w:rsidRDefault="005244AC" w:rsidP="005244AC">
      <w:pPr>
        <w:widowControl w:val="0"/>
        <w:spacing w:after="120"/>
        <w:rPr>
          <w:rFonts w:ascii="Times New Roman" w:hAnsi="Times New Roman"/>
          <w:szCs w:val="24"/>
        </w:rPr>
      </w:pPr>
      <w:r>
        <w:rPr>
          <w:rFonts w:ascii="Times New Roman" w:hAnsi="Times New Roman"/>
          <w:szCs w:val="24"/>
        </w:rPr>
        <w:t xml:space="preserve">En ce qui concerne le </w:t>
      </w:r>
      <w:r>
        <w:rPr>
          <w:rFonts w:ascii="Times New Roman" w:hAnsi="Times New Roman"/>
          <w:b/>
          <w:szCs w:val="24"/>
        </w:rPr>
        <w:t>paragraphe 4</w:t>
      </w:r>
      <w:r>
        <w:rPr>
          <w:rFonts w:ascii="Times New Roman" w:hAnsi="Times New Roman"/>
          <w:szCs w:val="24"/>
        </w:rPr>
        <w:t xml:space="preserve">: les autorités de protection des données jouent un rôle fondamental pour garantir l’application effective et cohérente du RGPD dans l’ensemble de l’UE. Pour ce qui est de l’application des règles en matière de transferts internationaux, leur </w:t>
      </w:r>
      <w:r>
        <w:rPr>
          <w:rFonts w:ascii="Times New Roman" w:hAnsi="Times New Roman"/>
          <w:szCs w:val="24"/>
        </w:rPr>
        <w:lastRenderedPageBreak/>
        <w:t xml:space="preserve">rôle a été spécifiquement mis en lumière par la Cour de justice dans les arrêts </w:t>
      </w:r>
      <w:proofErr w:type="spellStart"/>
      <w:r>
        <w:rPr>
          <w:rFonts w:ascii="Times New Roman" w:hAnsi="Times New Roman"/>
          <w:szCs w:val="24"/>
        </w:rPr>
        <w:t>Schrems</w:t>
      </w:r>
      <w:proofErr w:type="spellEnd"/>
      <w:r>
        <w:rPr>
          <w:rFonts w:ascii="Times New Roman" w:hAnsi="Times New Roman"/>
          <w:szCs w:val="24"/>
        </w:rPr>
        <w:t> I et II. Dans ce contexte, la Cour a indiqué clairement, dans l’arrêt </w:t>
      </w:r>
      <w:proofErr w:type="spellStart"/>
      <w:r>
        <w:rPr>
          <w:rFonts w:ascii="Times New Roman" w:hAnsi="Times New Roman"/>
          <w:szCs w:val="24"/>
        </w:rPr>
        <w:t>Schrems</w:t>
      </w:r>
      <w:proofErr w:type="spellEnd"/>
      <w:r>
        <w:rPr>
          <w:rFonts w:ascii="Times New Roman" w:hAnsi="Times New Roman"/>
          <w:szCs w:val="24"/>
        </w:rPr>
        <w:t> I, que, lorsqu’une autorité de protection des données met en doute la validité d’une loi de l’Union, elle est tenue d’introduire un recours devant les juridictions nationales en vue de solliciter un renvoi préjudiciel à la Cour de justice. Immédiatement après le prononcé de l’arrêt </w:t>
      </w:r>
      <w:proofErr w:type="spellStart"/>
      <w:r>
        <w:rPr>
          <w:rFonts w:ascii="Times New Roman" w:hAnsi="Times New Roman"/>
          <w:szCs w:val="24"/>
        </w:rPr>
        <w:t>Schrems</w:t>
      </w:r>
      <w:proofErr w:type="spellEnd"/>
      <w:r>
        <w:rPr>
          <w:rFonts w:ascii="Times New Roman" w:hAnsi="Times New Roman"/>
          <w:szCs w:val="24"/>
        </w:rPr>
        <w:t> II, le comité européen de la protection des données a créé deux </w:t>
      </w:r>
      <w:proofErr w:type="spellStart"/>
      <w:r>
        <w:rPr>
          <w:rFonts w:ascii="Times New Roman" w:hAnsi="Times New Roman"/>
          <w:szCs w:val="24"/>
        </w:rPr>
        <w:t>task</w:t>
      </w:r>
      <w:proofErr w:type="spellEnd"/>
      <w:r>
        <w:rPr>
          <w:rFonts w:ascii="Times New Roman" w:hAnsi="Times New Roman"/>
          <w:szCs w:val="24"/>
        </w:rPr>
        <w:t xml:space="preserve"> forces spécialisées: l’une travaillant sur des orientations et l’autre sur la coordination de l’instruction des plaintes. Ce travail est essentiel pour assurer une cohérence dans l’ensemble de l’UE. De manière plus générale, le comité européen de la protection des données œuvre actuellement au renforcement des mécanismes de coopération et de contrôle de la cohérence. La Commission contribue à ce processus de réflexion et continuera de surveiller la situation. Quant aux poursuites individuelles, il importe que les autorités de protection des données évitent les retards injustifiés, surtout dans les affaires ouvertes sur plainte, tout en prenant le temps nécessaire pour assurer une évaluation approfondie et objective du droit et des faits ainsi que le respect des garanties procédurales inscrites dans le droit national.</w:t>
      </w:r>
    </w:p>
    <w:p w:rsidR="005244AC" w:rsidRDefault="005244AC" w:rsidP="005244AC">
      <w:pPr>
        <w:widowControl w:val="0"/>
        <w:spacing w:after="120"/>
        <w:rPr>
          <w:rFonts w:ascii="Times New Roman" w:hAnsi="Times New Roman"/>
          <w:szCs w:val="24"/>
        </w:rPr>
      </w:pPr>
      <w:r>
        <w:rPr>
          <w:rFonts w:ascii="Times New Roman" w:hAnsi="Times New Roman"/>
          <w:szCs w:val="24"/>
        </w:rPr>
        <w:t xml:space="preserve">En ce qui concerne le </w:t>
      </w:r>
      <w:r>
        <w:rPr>
          <w:rFonts w:ascii="Times New Roman" w:hAnsi="Times New Roman"/>
          <w:b/>
          <w:szCs w:val="24"/>
        </w:rPr>
        <w:t>paragraphe 8</w:t>
      </w:r>
      <w:r>
        <w:rPr>
          <w:rFonts w:ascii="Times New Roman" w:hAnsi="Times New Roman"/>
          <w:szCs w:val="24"/>
        </w:rPr>
        <w:t>:</w:t>
      </w:r>
      <w:r>
        <w:rPr>
          <w:rFonts w:ascii="Times New Roman" w:hAnsi="Times New Roman"/>
          <w:b/>
          <w:szCs w:val="24"/>
        </w:rPr>
        <w:t xml:space="preserve"> </w:t>
      </w:r>
      <w:r>
        <w:rPr>
          <w:rFonts w:ascii="Times New Roman" w:hAnsi="Times New Roman"/>
          <w:szCs w:val="24"/>
        </w:rPr>
        <w:t>la Commission maintient la position selon laquelle la protection des données à caractère personnel n’est pas négociable dans les accords commerciaux et que les négociations sur la protection des données et le flux des données à caractère personnel, d’une part, et les négociations commerciales, d’autre part, devraient suivre des voies distinctes. Plus récemment, cette approche s’est illustrée dans l’accord de commerce et de coopération entre l’Union européenne et le Royaume-Uni, par une formulation qui préserve l’autonomie réglementaire de l’UE dans le domaine de la protection des données, y compris en ce qui concerne la réglementation des transferts internationaux des données (et qui dispose en outre expressément que les transferts de données à caractère personnel effectués dans le contexte de son application doivent être conformes aux exigences en matière de protection des données en vigueur dans la partie qui procède au transfert). Pour ce qui est des évaluations d’adéquation, la Commission prend systématiquement en considération les règles qui s’appliquent aux flux de données transfrontières provenant du pays tiers concerné, y compris si elles font suite aux engagements pris en vertu du droit international.</w:t>
      </w:r>
    </w:p>
    <w:p w:rsidR="005244AC" w:rsidRDefault="005244AC" w:rsidP="005244AC">
      <w:pPr>
        <w:widowControl w:val="0"/>
        <w:spacing w:after="120"/>
        <w:rPr>
          <w:rFonts w:ascii="Times New Roman" w:hAnsi="Times New Roman"/>
          <w:szCs w:val="24"/>
        </w:rPr>
      </w:pPr>
      <w:r>
        <w:rPr>
          <w:rFonts w:ascii="Times New Roman" w:hAnsi="Times New Roman"/>
          <w:szCs w:val="24"/>
        </w:rPr>
        <w:t xml:space="preserve">En ce qui concerne les </w:t>
      </w:r>
      <w:r>
        <w:rPr>
          <w:rFonts w:ascii="Times New Roman" w:hAnsi="Times New Roman"/>
          <w:b/>
          <w:szCs w:val="24"/>
        </w:rPr>
        <w:t>paragraphes 9, 11, 12, 13 et 15, ainsi que la première phrase du paragraphe 25</w:t>
      </w:r>
      <w:r>
        <w:rPr>
          <w:rFonts w:ascii="Times New Roman" w:hAnsi="Times New Roman"/>
          <w:szCs w:val="24"/>
        </w:rPr>
        <w:t>: la Commission a adopté, le 4 juin 2021, la décision d’exécution (UE) 2021/914 relative aux clauses contractuelles types pour le transfert de données à caractère personnel vers des pays tiers en vertu du règlement (UE) 2016/679 du Parlement européen et du Conseil. Le texte final de cette décision tient compte de l’avis conjoint du comité européen de la protection des données et du Contrôleur européen de la protection des données, des avis prononcés par les parties prenantes à l’occasion d’une vaste consultation publique et des observations formulées par les représentants des États membres durant la procédure de comité. Par la suite, la Commission élaborera, en coopération étroite avec les parties prenantes, des orientations pratiques sur la manière d’utiliser et d’appliquer les nouvelles clauses contractuelles types. Ces clauses incluent une méthode/boîte à outils pour assister les entreprises (et plus particulièrement les PME) dans leurs efforts de mise en conformité avec l’arrêt </w:t>
      </w:r>
      <w:proofErr w:type="spellStart"/>
      <w:r>
        <w:rPr>
          <w:rFonts w:ascii="Times New Roman" w:hAnsi="Times New Roman"/>
          <w:szCs w:val="24"/>
        </w:rPr>
        <w:t>Schrems</w:t>
      </w:r>
      <w:proofErr w:type="spellEnd"/>
      <w:r>
        <w:rPr>
          <w:rFonts w:ascii="Times New Roman" w:hAnsi="Times New Roman"/>
          <w:szCs w:val="24"/>
        </w:rPr>
        <w:t> II. Parallèlement, étant donné que les clauses types ne sont pas propres à certains pays, elles ne peuvent pas apporter de solution adaptée à tous les scénarios de transfert et devront donc être utilisées conformément aux orientations sur l’arrêt </w:t>
      </w:r>
      <w:proofErr w:type="spellStart"/>
      <w:r>
        <w:rPr>
          <w:rFonts w:ascii="Times New Roman" w:hAnsi="Times New Roman"/>
          <w:szCs w:val="24"/>
        </w:rPr>
        <w:t>Schrems</w:t>
      </w:r>
      <w:proofErr w:type="spellEnd"/>
      <w:r>
        <w:rPr>
          <w:rFonts w:ascii="Times New Roman" w:hAnsi="Times New Roman"/>
          <w:szCs w:val="24"/>
        </w:rPr>
        <w:t xml:space="preserve"> II élaborées par le comité européen de la protection des données (recommandations 01/2020 sur les mesures qui complètent les instruments de transfert destinés à garantir le respect du niveau de protection des données à caractère personnel de </w:t>
      </w:r>
      <w:r>
        <w:rPr>
          <w:rFonts w:ascii="Times New Roman" w:hAnsi="Times New Roman"/>
          <w:szCs w:val="24"/>
        </w:rPr>
        <w:lastRenderedPageBreak/>
        <w:t>l’Union, adoptées le 18 juin)</w:t>
      </w:r>
      <w:r>
        <w:rPr>
          <w:rStyle w:val="FootnoteReference"/>
          <w:rFonts w:ascii="Times New Roman" w:hAnsi="Times New Roman"/>
          <w:szCs w:val="24"/>
        </w:rPr>
        <w:footnoteReference w:id="1"/>
      </w:r>
      <w:r>
        <w:rPr>
          <w:rFonts w:ascii="Times New Roman" w:hAnsi="Times New Roman"/>
          <w:szCs w:val="24"/>
        </w:rPr>
        <w:t xml:space="preserve">. Si ces orientations ne sont pas non plus propres à un pays en particulier, elles comprennent des exemples concrets et pratiques sur l’utilisation des clauses contractuelles types (CCT) (et d’autres instruments comme les règles d’entreprise contraignantes) dans des situations spécifiques </w:t>
      </w:r>
      <w:proofErr w:type="gramStart"/>
      <w:r>
        <w:rPr>
          <w:rFonts w:ascii="Times New Roman" w:hAnsi="Times New Roman"/>
          <w:szCs w:val="24"/>
        </w:rPr>
        <w:t>(«cas</w:t>
      </w:r>
      <w:proofErr w:type="gramEnd"/>
      <w:r>
        <w:rPr>
          <w:rFonts w:ascii="Times New Roman" w:hAnsi="Times New Roman"/>
          <w:szCs w:val="24"/>
        </w:rPr>
        <w:t xml:space="preserve"> d’utilisation»), y compris en ce qui concerne les transferts de données vers des fournisseurs d’informatique dans le cloud. Lors de l’établissement de la version finale des clauses contractuelles types, la Commission a collaboré étroitement avec le comité européen de la protection des données pour garantir la cohérence entre les clauses et les orientations du comité.</w:t>
      </w:r>
    </w:p>
    <w:p w:rsidR="005244AC" w:rsidRDefault="005244AC" w:rsidP="005244AC">
      <w:pPr>
        <w:widowControl w:val="0"/>
        <w:spacing w:after="120"/>
        <w:rPr>
          <w:rFonts w:ascii="Times New Roman" w:hAnsi="Times New Roman"/>
          <w:szCs w:val="24"/>
        </w:rPr>
      </w:pPr>
      <w:r>
        <w:rPr>
          <w:rFonts w:ascii="Times New Roman" w:hAnsi="Times New Roman"/>
          <w:szCs w:val="24"/>
        </w:rPr>
        <w:t xml:space="preserve">En ce qui concerne les </w:t>
      </w:r>
      <w:r>
        <w:rPr>
          <w:rFonts w:ascii="Times New Roman" w:hAnsi="Times New Roman"/>
          <w:b/>
          <w:szCs w:val="24"/>
        </w:rPr>
        <w:t xml:space="preserve">paragraphes 27, 28, 29 et 30: </w:t>
      </w:r>
      <w:r>
        <w:rPr>
          <w:rFonts w:ascii="Times New Roman" w:hAnsi="Times New Roman"/>
          <w:szCs w:val="24"/>
        </w:rPr>
        <w:t>la Commission a intensifié ses négociations avec les États-Unis concernant un possible accord destiné à succéder au bouclier de protection des données, comme cela a également été indiqué dans le communiqué de presse conjoint rendu public en mars par le commissaire européen Didier Reynders et la secrétaire américaine au commerce, M</w:t>
      </w:r>
      <w:r>
        <w:rPr>
          <w:rFonts w:ascii="Times New Roman" w:hAnsi="Times New Roman"/>
          <w:szCs w:val="24"/>
          <w:vertAlign w:val="superscript"/>
        </w:rPr>
        <w:t>me</w:t>
      </w:r>
      <w:r>
        <w:rPr>
          <w:rFonts w:ascii="Times New Roman" w:hAnsi="Times New Roman"/>
          <w:szCs w:val="24"/>
        </w:rPr>
        <w:t> Gina Raimondo</w:t>
      </w:r>
      <w:r w:rsidRPr="003569EA">
        <w:rPr>
          <w:rStyle w:val="FootnoteReference"/>
          <w:rFonts w:ascii="Times New Roman" w:hAnsi="Times New Roman"/>
          <w:szCs w:val="24"/>
        </w:rPr>
        <w:footnoteReference w:id="2"/>
      </w:r>
      <w:r>
        <w:rPr>
          <w:rFonts w:ascii="Times New Roman" w:hAnsi="Times New Roman"/>
          <w:szCs w:val="24"/>
        </w:rPr>
        <w:t>. Toute solution possible, qu’elle puisse être apportée dans les limites du cadre législatif actuel ou qu’elle nécessite des modifications législatives, devra respecter pleinement le droit de l’Union, tel qu’interprété par la Cour de justice, en particulier dans l’arrêt </w:t>
      </w:r>
      <w:proofErr w:type="spellStart"/>
      <w:r>
        <w:rPr>
          <w:rFonts w:ascii="Times New Roman" w:hAnsi="Times New Roman"/>
          <w:szCs w:val="24"/>
        </w:rPr>
        <w:t>Schrems</w:t>
      </w:r>
      <w:proofErr w:type="spellEnd"/>
      <w:r>
        <w:rPr>
          <w:rFonts w:ascii="Times New Roman" w:hAnsi="Times New Roman"/>
          <w:szCs w:val="24"/>
        </w:rPr>
        <w:t> II. Comme pour tout processus d’adéquation, la Commission fournira régulièrement des informations actualisées au Parlement. La Commission continuera également à collaborer étroitement avec le comité européen de la protection des données dans le contrôle du fonctionnement des décisions d’adéquation, comme c’est le cas dans le contexte de l’examen en cours de la décision d’adéquation concernant le Japon.</w:t>
      </w:r>
    </w:p>
    <w:p w:rsidR="005244AC" w:rsidRPr="00C25F5D" w:rsidRDefault="005244AC" w:rsidP="005244AC">
      <w:pPr>
        <w:widowControl w:val="0"/>
        <w:spacing w:after="120"/>
        <w:rPr>
          <w:rFonts w:ascii="Times New Roman" w:hAnsi="Times New Roman"/>
          <w:szCs w:val="24"/>
        </w:rPr>
      </w:pPr>
      <w:r>
        <w:rPr>
          <w:rFonts w:ascii="Times New Roman" w:hAnsi="Times New Roman"/>
          <w:szCs w:val="24"/>
        </w:rPr>
        <w:t xml:space="preserve">En ce qui concerne les </w:t>
      </w:r>
      <w:r>
        <w:rPr>
          <w:rFonts w:ascii="Times New Roman" w:hAnsi="Times New Roman"/>
          <w:b/>
          <w:szCs w:val="24"/>
        </w:rPr>
        <w:t>paragraphes 21, 31 et 33</w:t>
      </w:r>
      <w:r>
        <w:rPr>
          <w:rFonts w:ascii="Times New Roman" w:hAnsi="Times New Roman"/>
          <w:szCs w:val="24"/>
        </w:rPr>
        <w:t>: lorsqu’elle procède à une évaluation d’adéquation, la Commission doit déterminer si le pays tiers en question assure un niveau de protection</w:t>
      </w:r>
      <w:proofErr w:type="gramStart"/>
      <w:r>
        <w:rPr>
          <w:rFonts w:ascii="Times New Roman" w:hAnsi="Times New Roman"/>
          <w:szCs w:val="24"/>
        </w:rPr>
        <w:t xml:space="preserve"> «essentiellement</w:t>
      </w:r>
      <w:proofErr w:type="gramEnd"/>
      <w:r>
        <w:rPr>
          <w:rFonts w:ascii="Times New Roman" w:hAnsi="Times New Roman"/>
          <w:szCs w:val="24"/>
        </w:rPr>
        <w:t xml:space="preserve"> équivalent» à celui qui est garanti dans l’Union européenne [considérant 104 du règlement (UE) 2016/679]. La question de savoir si tel est le cas est appréciée à l’aune du droit de l’Union, et en particulier du RGPD, tel qu’interprété par la Cour de justice. Les</w:t>
      </w:r>
      <w:proofErr w:type="gramStart"/>
      <w:r>
        <w:rPr>
          <w:rFonts w:ascii="Times New Roman" w:hAnsi="Times New Roman"/>
          <w:szCs w:val="24"/>
        </w:rPr>
        <w:t xml:space="preserve"> «critères</w:t>
      </w:r>
      <w:proofErr w:type="gramEnd"/>
      <w:r>
        <w:rPr>
          <w:rFonts w:ascii="Times New Roman" w:hAnsi="Times New Roman"/>
          <w:szCs w:val="24"/>
        </w:rPr>
        <w:t xml:space="preserve"> de référence pour l’adéquation» et les «recommandations sur les garanties essentielles européennes» actualisés du comité européen de la protection des données, qui s’efforce d’apporter des éclaircissements supplémentaires sur cette norme (y compris sur les aspects relatifs à l’accès des pouvoirs publics aux données), donnent des orientations à cet égard, que la Commission suit attentivement lorsqu’elle effectue des évaluations d’adéquation. La Commission applique la même norme pour son évaluation des décisions d’adéquation existantes, qui ont été adoptées au titre de la directive précédente en matière de protection des données. Si la clôture de ce réexamen était attendue en même temps que le rapport d’évaluation du RGPD adopté l’an dernier, elle a été remise à plus tard pour garantir que les clarifications apportées par la Cour de justice dans l’affaire </w:t>
      </w:r>
      <w:proofErr w:type="spellStart"/>
      <w:r>
        <w:rPr>
          <w:rFonts w:ascii="Times New Roman" w:hAnsi="Times New Roman"/>
          <w:szCs w:val="24"/>
        </w:rPr>
        <w:t>Schrems</w:t>
      </w:r>
      <w:proofErr w:type="spellEnd"/>
      <w:r>
        <w:rPr>
          <w:rFonts w:ascii="Times New Roman" w:hAnsi="Times New Roman"/>
          <w:szCs w:val="24"/>
        </w:rPr>
        <w:t> II pourront être prises en considération. Certains aspects de l’arrêt </w:t>
      </w:r>
      <w:proofErr w:type="spellStart"/>
      <w:r>
        <w:rPr>
          <w:rFonts w:ascii="Times New Roman" w:hAnsi="Times New Roman"/>
          <w:szCs w:val="24"/>
        </w:rPr>
        <w:t>Schrems</w:t>
      </w:r>
      <w:proofErr w:type="spellEnd"/>
      <w:r>
        <w:rPr>
          <w:rFonts w:ascii="Times New Roman" w:hAnsi="Times New Roman"/>
          <w:szCs w:val="24"/>
        </w:rPr>
        <w:t> II soulèvent des questions complexes qui nécessitent une analyse approfondie et un dialogue avec les pays tiers concernés. La Commission vise à clôturer ce réexamen dans les mois à venir.</w:t>
      </w:r>
    </w:p>
    <w:p w:rsidR="00841B62" w:rsidRDefault="005244AC" w:rsidP="005244AC">
      <w:r>
        <w:rPr>
          <w:rFonts w:ascii="Times New Roman" w:hAnsi="Times New Roman"/>
          <w:szCs w:val="24"/>
        </w:rPr>
        <w:t xml:space="preserve">En ce qui concerne les </w:t>
      </w:r>
      <w:r>
        <w:rPr>
          <w:rFonts w:ascii="Times New Roman" w:hAnsi="Times New Roman"/>
          <w:b/>
          <w:szCs w:val="24"/>
        </w:rPr>
        <w:t>paragraphes 24 et 25</w:t>
      </w:r>
      <w:r>
        <w:rPr>
          <w:rFonts w:ascii="Times New Roman" w:hAnsi="Times New Roman"/>
          <w:szCs w:val="24"/>
        </w:rPr>
        <w:t xml:space="preserve">: les accords entre l’Union européenne et les États-Unis sur le programme de surveillance du financement du terrorisme et sur les dossiers passagers (données PNR) font l’objet d’un examen conjoint et de mécanismes d’évaluation spécifiques. En outre, pour ce qui est des données PNR, les conditions des transferts vers tout pays tiers ont été énoncées par la Cour de justice dans son avis sur l’accord conclu avec le Canada pour les données PNR. Les rapports qui ont été récemment publiés au sujet de ces </w:t>
      </w:r>
      <w:r>
        <w:rPr>
          <w:rFonts w:ascii="Times New Roman" w:hAnsi="Times New Roman"/>
          <w:szCs w:val="24"/>
        </w:rPr>
        <w:lastRenderedPageBreak/>
        <w:t xml:space="preserve">deux instruments [voir </w:t>
      </w:r>
      <w:proofErr w:type="gramStart"/>
      <w:r>
        <w:rPr>
          <w:rFonts w:ascii="Times New Roman" w:hAnsi="Times New Roman"/>
          <w:szCs w:val="24"/>
        </w:rPr>
        <w:t>COM(</w:t>
      </w:r>
      <w:proofErr w:type="gramEnd"/>
      <w:r>
        <w:rPr>
          <w:rFonts w:ascii="Times New Roman" w:hAnsi="Times New Roman"/>
          <w:szCs w:val="24"/>
        </w:rPr>
        <w:t>2019) 342 final sur le dernier réexamen commun de l’accord TFTP et COM(2021) 18 final sur l’évaluation conjointe de l’accord PNR] contiennent des conclusions et des recommandations que la Commission s’efforce de traiter par un dialogue ouvert et constructif avec les autorités américaines compétentes. Concernant les données PNR, la Commission examinera les mesures de suivi nécessaires en tenant également compte des retours d’information sur l’évaluation reçus par le Parlement européen et le Conseil. Quant aux accords conclus par les États membres, tels que ceux relatifs à l’échange automatique d’informations à des fins fiscales, le comité européen de la protection des données a récemment publié une déclaration invitant les États membres à examiner leurs accords existants pour déterminer s’ils devraient s’aligner davantage sur le RGPD et sur la jurisprudence de la Cour de justice</w:t>
      </w:r>
      <w:r>
        <w:rPr>
          <w:rStyle w:val="FootnoteReference"/>
          <w:rFonts w:ascii="Times New Roman" w:hAnsi="Times New Roman"/>
          <w:szCs w:val="24"/>
        </w:rPr>
        <w:footnoteReference w:id="3"/>
      </w:r>
      <w:r>
        <w:rPr>
          <w:rFonts w:ascii="Times New Roman" w:hAnsi="Times New Roman"/>
          <w:szCs w:val="24"/>
        </w:rPr>
        <w:t>. Chargées de veiller au respect des règles en matière de protection des données, les autorités nationales de protection des données jouent un rôle crucial pour assister les États membres dans cet exercice. La Commission est en contact avec les États membres et le comité européen de la protection des données à ce sujet et suit de près toute évolution pertinente dans ce dossier. Pour ce qui est de l’examen conjoint de l’accord-cadre, le processus a été lancé, mais a été considérablement ralenti en raison de la crise de la COVID-19, étant donné qu’il fait intervenir de multiples acteurs provenant des deux côtés de l’Atlantique, y compris des représentants des services répressifs et des autorités de contrôle des États-Unis et de l’Union. En outre, il fallait tenir compte de la récente évolution importante de la jurisprudence dans le contexte de cet examen. La Commission vise à clôturer l’examen dans les mois à venir.</w:t>
      </w:r>
    </w:p>
    <w:sectPr w:rsidR="00841B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AC" w:rsidRDefault="005244AC" w:rsidP="005244AC">
      <w:pPr>
        <w:spacing w:after="0"/>
      </w:pPr>
      <w:r>
        <w:separator/>
      </w:r>
    </w:p>
  </w:endnote>
  <w:endnote w:type="continuationSeparator" w:id="0">
    <w:p w:rsidR="005244AC" w:rsidRDefault="005244AC" w:rsidP="005244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AC" w:rsidRDefault="005244AC" w:rsidP="005244AC">
      <w:pPr>
        <w:spacing w:after="0"/>
      </w:pPr>
      <w:r>
        <w:separator/>
      </w:r>
    </w:p>
  </w:footnote>
  <w:footnote w:type="continuationSeparator" w:id="0">
    <w:p w:rsidR="005244AC" w:rsidRDefault="005244AC" w:rsidP="005244AC">
      <w:pPr>
        <w:spacing w:after="0"/>
      </w:pPr>
      <w:r>
        <w:continuationSeparator/>
      </w:r>
    </w:p>
  </w:footnote>
  <w:footnote w:id="1">
    <w:p w:rsidR="005244AC" w:rsidRPr="00EC06FA" w:rsidRDefault="005244AC" w:rsidP="005244A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 xml:space="preserve">Disponible à l’adresse: </w:t>
      </w:r>
      <w:hyperlink r:id="rId1" w:history="1">
        <w:r>
          <w:rPr>
            <w:rStyle w:val="Hyperlink"/>
            <w:rFonts w:ascii="Times New Roman" w:hAnsi="Times New Roman"/>
          </w:rPr>
          <w:t>https://edpb.europa.eu/our-work-tools/our-documents/recommendations/recommendations-012020-measures-supplement-transfer_fr</w:t>
        </w:r>
      </w:hyperlink>
    </w:p>
  </w:footnote>
  <w:footnote w:id="2">
    <w:p w:rsidR="005244AC" w:rsidRPr="003569EA" w:rsidRDefault="005244AC" w:rsidP="005244A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 xml:space="preserve">Voir </w:t>
      </w:r>
      <w:hyperlink r:id="rId2" w:history="1">
        <w:r>
          <w:rPr>
            <w:rStyle w:val="Hyperlink"/>
            <w:rFonts w:ascii="Times New Roman" w:hAnsi="Times New Roman"/>
          </w:rPr>
          <w:t>https://ec.europa.eu/commission/presscorner/detail/fr/STATEMENT_21_1443</w:t>
        </w:r>
      </w:hyperlink>
    </w:p>
  </w:footnote>
  <w:footnote w:id="3">
    <w:p w:rsidR="005244AC" w:rsidRDefault="005244AC" w:rsidP="005244A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 xml:space="preserve">Disponible à l’adresse suivante: </w:t>
      </w:r>
      <w:hyperlink r:id="rId3" w:history="1">
        <w:r>
          <w:rPr>
            <w:rStyle w:val="Hyperlink"/>
            <w:rFonts w:ascii="Times New Roman" w:hAnsi="Times New Roman"/>
          </w:rPr>
          <w:t>https://edpb.europa.eu/system/files/2021-04/edpb_statement042021_international_agreements_including_transfers_en.pdf</w:t>
        </w:r>
      </w:hyperlink>
      <w:hyperlink r:id="rId4" w:history="1"/>
      <w:r>
        <w:t xml:space="preserve"> </w:t>
      </w:r>
    </w:p>
    <w:p w:rsidR="005244AC" w:rsidRPr="00413B90" w:rsidRDefault="005244AC" w:rsidP="005244AC">
      <w:pPr>
        <w:pStyle w:val="FootnoteText"/>
        <w:spacing w:after="0"/>
        <w:ind w:left="0" w:firstLine="0"/>
        <w:jc w:val="lef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01DCF"/>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AC"/>
    <w:rsid w:val="005244AC"/>
    <w:rsid w:val="00841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2A937-DFBB-4875-95B5-3E6A1F08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4AC"/>
    <w:pPr>
      <w:spacing w:after="240" w:line="240" w:lineRule="auto"/>
      <w:jc w:val="both"/>
    </w:pPr>
    <w:rPr>
      <w:rFonts w:ascii="Courier New" w:eastAsia="Times New Roman" w:hAnsi="Courier New"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CSR"/>
    <w:basedOn w:val="Normal"/>
    <w:link w:val="FootnoteTextChar2"/>
    <w:uiPriority w:val="99"/>
    <w:qFormat/>
    <w:rsid w:val="005244AC"/>
    <w:pPr>
      <w:ind w:left="357" w:hanging="357"/>
    </w:pPr>
    <w:rPr>
      <w:sz w:val="20"/>
    </w:rPr>
  </w:style>
  <w:style w:type="character" w:customStyle="1" w:styleId="FootnoteTextChar">
    <w:name w:val="Footnote Text Char"/>
    <w:basedOn w:val="DefaultParagraphFont"/>
    <w:uiPriority w:val="99"/>
    <w:semiHidden/>
    <w:rsid w:val="005244AC"/>
    <w:rPr>
      <w:rFonts w:ascii="Courier New" w:eastAsia="Times New Roman" w:hAnsi="Courier New" w:cs="Times New Roman"/>
      <w:sz w:val="20"/>
      <w:szCs w:val="20"/>
      <w:lang w:val="fr-FR"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5244AC"/>
    <w:rPr>
      <w:vertAlign w:val="superscript"/>
    </w:rPr>
  </w:style>
  <w:style w:type="character" w:styleId="Hyperlink">
    <w:name w:val="Hyperlink"/>
    <w:aliases w:val="Char1"/>
    <w:uiPriority w:val="99"/>
    <w:rsid w:val="005244AC"/>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5244AC"/>
    <w:rPr>
      <w:rFonts w:ascii="Courier New" w:eastAsia="Times New Roman" w:hAnsi="Courier New" w:cs="Times New Roman"/>
      <w:sz w:val="20"/>
      <w:szCs w:val="20"/>
      <w:lang w:val="fr-FR"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5244AC"/>
    <w:pPr>
      <w:spacing w:after="160" w:line="240" w:lineRule="exact"/>
      <w:jc w:val="left"/>
    </w:pPr>
    <w:rPr>
      <w:rFonts w:asciiTheme="minorHAnsi" w:eastAsiaTheme="minorHAnsi" w:hAnsiTheme="minorHAnsi" w:cstheme="minorBidi"/>
      <w:sz w:val="22"/>
      <w:szCs w:val="22"/>
      <w:vertAlign w:val="superscrip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dpb.europa.eu/system/files/2021-04/edpb_statement042021_international_agreements_including_transfers_en.pdf" TargetMode="External"/><Relationship Id="rId2" Type="http://schemas.openxmlformats.org/officeDocument/2006/relationships/hyperlink" Target="https://ec.europa.eu/commission/presscorner/detail/fr/STATEMENT_21_1443" TargetMode="External"/><Relationship Id="rId1" Type="http://schemas.openxmlformats.org/officeDocument/2006/relationships/hyperlink" Target="https://edpb.europa.eu/our-work-tools/our-documents/recommendations/recommendations-012020-measures-supplement-transfer_fr" TargetMode="External"/><Relationship Id="rId4" Type="http://schemas.openxmlformats.org/officeDocument/2006/relationships/hyperlink" Target="https://edpb.europa.eu/system/files/2021-04/edpb_statement042021_international_agreements_including_transf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11392</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2021-09-20T16:00:00Z</dcterms:created>
  <dcterms:modified xsi:type="dcterms:W3CDTF">2021-09-20T16:01:00Z</dcterms:modified>
</cp:coreProperties>
</file>