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3A" w:rsidRDefault="0077773A" w:rsidP="0077773A">
      <w:pPr>
        <w:spacing w:after="600"/>
        <w:jc w:val="center"/>
        <w:rPr>
          <w:rFonts w:ascii="Times New Roman" w:hAnsi="Times New Roman"/>
          <w:b/>
          <w:shd w:val="clear" w:color="auto" w:fill="FFFFFF"/>
        </w:rPr>
      </w:pPr>
      <w:bookmarkStart w:id="0" w:name="imidacloprid"/>
      <w:r>
        <w:rPr>
          <w:rFonts w:ascii="Times New Roman" w:hAnsi="Times New Roman"/>
          <w:b/>
          <w:bCs/>
          <w:szCs w:val="24"/>
        </w:rPr>
        <w:t xml:space="preserve">Suite donnée à </w:t>
      </w:r>
      <w:r>
        <w:rPr>
          <w:rFonts w:ascii="Times New Roman" w:hAnsi="Times New Roman"/>
          <w:b/>
          <w:shd w:val="clear" w:color="auto" w:fill="FFFFFF"/>
        </w:rPr>
        <w:t>la résolution du Parlement européen sur le règlement d’exécution (UE) 2021/621 de la Commission du 15 avril 2021 modifiant le règlement (UE) nº 37/2010 afin de classifier la substance</w:t>
      </w:r>
      <w:proofErr w:type="gramStart"/>
      <w:r>
        <w:rPr>
          <w:rFonts w:ascii="Times New Roman" w:hAnsi="Times New Roman"/>
          <w:b/>
          <w:shd w:val="clear" w:color="auto" w:fill="FFFFFF"/>
        </w:rPr>
        <w:t xml:space="preserve"> «imidaclopride</w:t>
      </w:r>
      <w:proofErr w:type="gramEnd"/>
      <w:r>
        <w:rPr>
          <w:rFonts w:ascii="Times New Roman" w:hAnsi="Times New Roman"/>
          <w:b/>
          <w:shd w:val="clear" w:color="auto" w:fill="FFFFFF"/>
        </w:rPr>
        <w:t>» en ce qui concerne sa limite maximale de résidus dans les aliments d’origine animale</w:t>
      </w:r>
      <w:bookmarkEnd w:id="0"/>
    </w:p>
    <w:p w:rsidR="0077773A" w:rsidRDefault="0077773A" w:rsidP="0077773A">
      <w:pPr>
        <w:numPr>
          <w:ilvl w:val="0"/>
          <w:numId w:val="2"/>
        </w:numPr>
        <w:rPr>
          <w:rFonts w:ascii="Times New Roman" w:hAnsi="Times New Roman"/>
          <w:b/>
          <w:szCs w:val="24"/>
        </w:rPr>
      </w:pPr>
      <w:r>
        <w:rPr>
          <w:rFonts w:ascii="Times New Roman" w:hAnsi="Times New Roman"/>
          <w:b/>
          <w:szCs w:val="24"/>
        </w:rPr>
        <w:t>Résolution présentée conformément à l’article 112, paragraphes 2 et 3, du règlement intérieur du Parlement européen</w:t>
      </w:r>
    </w:p>
    <w:p w:rsidR="0077773A" w:rsidRPr="00004BAB" w:rsidRDefault="0077773A" w:rsidP="0077773A">
      <w:pPr>
        <w:numPr>
          <w:ilvl w:val="0"/>
          <w:numId w:val="2"/>
        </w:numPr>
        <w:rPr>
          <w:rFonts w:ascii="Times New Roman" w:hAnsi="Times New Roman"/>
          <w:b/>
          <w:szCs w:val="24"/>
        </w:rPr>
      </w:pPr>
      <w:r>
        <w:rPr>
          <w:rFonts w:ascii="Times New Roman" w:hAnsi="Times New Roman"/>
          <w:b/>
          <w:szCs w:val="24"/>
        </w:rPr>
        <w:t xml:space="preserve">Numéros de référence: </w:t>
      </w:r>
      <w:r>
        <w:rPr>
          <w:rFonts w:ascii="Times New Roman" w:hAnsi="Times New Roman"/>
          <w:szCs w:val="24"/>
        </w:rPr>
        <w:t>2021/2705 (RSP) / </w:t>
      </w:r>
      <w:bookmarkStart w:id="1" w:name="_GoBack"/>
      <w:r>
        <w:rPr>
          <w:rFonts w:ascii="Times New Roman" w:hAnsi="Times New Roman"/>
          <w:szCs w:val="24"/>
        </w:rPr>
        <w:t>B9-0313/2021 </w:t>
      </w:r>
      <w:bookmarkEnd w:id="1"/>
      <w:r>
        <w:rPr>
          <w:rFonts w:ascii="Times New Roman" w:hAnsi="Times New Roman"/>
          <w:szCs w:val="24"/>
        </w:rPr>
        <w:t>/ P9_TA-</w:t>
      </w:r>
      <w:proofErr w:type="gramStart"/>
      <w:r>
        <w:rPr>
          <w:rFonts w:ascii="Times New Roman" w:hAnsi="Times New Roman"/>
          <w:szCs w:val="24"/>
        </w:rPr>
        <w:t>PROV(</w:t>
      </w:r>
      <w:proofErr w:type="gramEnd"/>
      <w:r>
        <w:rPr>
          <w:rFonts w:ascii="Times New Roman" w:hAnsi="Times New Roman"/>
          <w:szCs w:val="24"/>
        </w:rPr>
        <w:t>2021)0284</w:t>
      </w:r>
    </w:p>
    <w:p w:rsidR="0077773A" w:rsidRPr="00BF0980" w:rsidRDefault="0077773A" w:rsidP="0077773A">
      <w:pPr>
        <w:numPr>
          <w:ilvl w:val="0"/>
          <w:numId w:val="2"/>
        </w:numPr>
        <w:rPr>
          <w:rFonts w:ascii="Times New Roman" w:hAnsi="Times New Roman"/>
          <w:szCs w:val="24"/>
        </w:rPr>
      </w:pPr>
      <w:r>
        <w:rPr>
          <w:rFonts w:ascii="Times New Roman" w:hAnsi="Times New Roman"/>
          <w:b/>
          <w:szCs w:val="24"/>
        </w:rPr>
        <w:t>Date d’adoption de la résolution:</w:t>
      </w:r>
      <w:r>
        <w:rPr>
          <w:rFonts w:ascii="Times New Roman" w:hAnsi="Times New Roman"/>
          <w:szCs w:val="24"/>
        </w:rPr>
        <w:t xml:space="preserve"> 10 juin 2021</w:t>
      </w:r>
    </w:p>
    <w:p w:rsidR="0077773A" w:rsidRPr="00BF0980" w:rsidRDefault="0077773A" w:rsidP="0077773A">
      <w:pPr>
        <w:pStyle w:val="ListParagraph"/>
        <w:numPr>
          <w:ilvl w:val="0"/>
          <w:numId w:val="2"/>
        </w:numPr>
        <w:spacing w:after="240"/>
        <w:jc w:val="both"/>
        <w:rPr>
          <w:rFonts w:ascii="Times New Roman" w:hAnsi="Times New Roman"/>
          <w:sz w:val="24"/>
          <w:szCs w:val="24"/>
        </w:rPr>
      </w:pPr>
      <w:r>
        <w:rPr>
          <w:rFonts w:ascii="Times New Roman" w:hAnsi="Times New Roman"/>
          <w:b/>
          <w:sz w:val="24"/>
          <w:szCs w:val="24"/>
        </w:rPr>
        <w:t>Commission parlementaire compétente:</w:t>
      </w:r>
      <w:r>
        <w:rPr>
          <w:rFonts w:ascii="Times New Roman" w:hAnsi="Times New Roman"/>
          <w:sz w:val="24"/>
          <w:szCs w:val="24"/>
        </w:rPr>
        <w:t xml:space="preserve"> commission de l’environnement, de la santé publique et de la sécurité alimentaire (ENVI)</w:t>
      </w:r>
    </w:p>
    <w:p w:rsidR="0077773A" w:rsidRPr="00EC7AC4" w:rsidRDefault="0077773A" w:rsidP="0077773A">
      <w:pPr>
        <w:widowControl w:val="0"/>
        <w:numPr>
          <w:ilvl w:val="0"/>
          <w:numId w:val="2"/>
        </w:numPr>
        <w:rPr>
          <w:rFonts w:ascii="Times New Roman" w:hAnsi="Times New Roman"/>
          <w:szCs w:val="24"/>
        </w:rPr>
      </w:pPr>
      <w:r>
        <w:rPr>
          <w:rFonts w:ascii="Times New Roman" w:hAnsi="Times New Roman"/>
          <w:b/>
          <w:szCs w:val="24"/>
        </w:rPr>
        <w:t>Analyse/évaluation succincte de la résolution et des demandes qu’elle contient:</w:t>
      </w:r>
    </w:p>
    <w:p w:rsidR="0077773A" w:rsidRDefault="0077773A" w:rsidP="0077773A">
      <w:pPr>
        <w:spacing w:after="120"/>
        <w:rPr>
          <w:rFonts w:ascii="Times New Roman" w:hAnsi="Times New Roman"/>
          <w:szCs w:val="24"/>
        </w:rPr>
      </w:pPr>
      <w:r>
        <w:rPr>
          <w:rFonts w:ascii="Times New Roman" w:hAnsi="Times New Roman"/>
          <w:szCs w:val="24"/>
        </w:rPr>
        <w:t>La résolution porte sur la fixation d’une limite maximale de résidus (LMR) pour la substance active</w:t>
      </w:r>
      <w:proofErr w:type="gramStart"/>
      <w:r>
        <w:rPr>
          <w:rFonts w:ascii="Times New Roman" w:hAnsi="Times New Roman"/>
          <w:szCs w:val="24"/>
        </w:rPr>
        <w:t xml:space="preserve"> «imidaclopride</w:t>
      </w:r>
      <w:proofErr w:type="gramEnd"/>
      <w:r>
        <w:rPr>
          <w:rFonts w:ascii="Times New Roman" w:hAnsi="Times New Roman"/>
          <w:szCs w:val="24"/>
        </w:rPr>
        <w:t>», à inclure dans les médicaments vétérinaires administrés aux animaux destinés à la consommation.</w:t>
      </w:r>
    </w:p>
    <w:p w:rsidR="0077773A" w:rsidRDefault="0077773A" w:rsidP="0077773A">
      <w:pPr>
        <w:spacing w:after="120"/>
        <w:rPr>
          <w:rFonts w:ascii="Times New Roman" w:hAnsi="Times New Roman"/>
          <w:szCs w:val="24"/>
        </w:rPr>
      </w:pPr>
      <w:r>
        <w:rPr>
          <w:rFonts w:ascii="Times New Roman" w:hAnsi="Times New Roman"/>
          <w:szCs w:val="24"/>
        </w:rPr>
        <w:t>Elle renvoie à la procédure d’établissement des LMR et à l’avis de l’Agence européenne des médicaments (EMA) sur la LMR pour l’imidaclopride (</w:t>
      </w:r>
      <w:r>
        <w:rPr>
          <w:rFonts w:ascii="Times New Roman" w:hAnsi="Times New Roman"/>
          <w:b/>
          <w:szCs w:val="24"/>
        </w:rPr>
        <w:t>considérants H, I, J</w:t>
      </w:r>
      <w:r>
        <w:rPr>
          <w:rFonts w:ascii="Times New Roman" w:hAnsi="Times New Roman"/>
          <w:szCs w:val="24"/>
        </w:rPr>
        <w:t xml:space="preserve"> et </w:t>
      </w:r>
      <w:r>
        <w:rPr>
          <w:rFonts w:ascii="Times New Roman" w:hAnsi="Times New Roman"/>
          <w:b/>
          <w:szCs w:val="24"/>
        </w:rPr>
        <w:t>K</w:t>
      </w:r>
      <w:r>
        <w:rPr>
          <w:rFonts w:ascii="Times New Roman" w:hAnsi="Times New Roman"/>
          <w:szCs w:val="24"/>
        </w:rPr>
        <w:t>), et fait observer que cet avis devrait être public et facilement accessible (</w:t>
      </w:r>
      <w:r>
        <w:rPr>
          <w:rFonts w:ascii="Times New Roman" w:hAnsi="Times New Roman"/>
          <w:b/>
          <w:szCs w:val="24"/>
        </w:rPr>
        <w:t>considérant L</w:t>
      </w:r>
      <w:r>
        <w:rPr>
          <w:rFonts w:ascii="Times New Roman" w:hAnsi="Times New Roman"/>
          <w:szCs w:val="24"/>
        </w:rPr>
        <w:t>). Le Parlement considère que le fait de garantir la transparence du processus d’évaluation des risques favorise la compréhension du public, contribue à conférer à l’EMA une plus grande légitimité aux yeux des consommateurs et du public et accroît la responsabilité à l’égard des citoyens de l’Union dans un système démocratique (</w:t>
      </w:r>
      <w:r>
        <w:rPr>
          <w:rFonts w:ascii="Times New Roman" w:hAnsi="Times New Roman"/>
          <w:b/>
          <w:szCs w:val="24"/>
        </w:rPr>
        <w:t>considérant M</w:t>
      </w:r>
      <w:r>
        <w:rPr>
          <w:rFonts w:ascii="Times New Roman" w:hAnsi="Times New Roman"/>
          <w:szCs w:val="24"/>
        </w:rPr>
        <w:t>).</w:t>
      </w:r>
    </w:p>
    <w:p w:rsidR="0077773A" w:rsidRPr="006825E1" w:rsidRDefault="0077773A" w:rsidP="0077773A">
      <w:pPr>
        <w:spacing w:after="120"/>
        <w:rPr>
          <w:rFonts w:ascii="Times New Roman" w:hAnsi="Times New Roman"/>
          <w:szCs w:val="24"/>
        </w:rPr>
      </w:pPr>
      <w:r>
        <w:rPr>
          <w:rFonts w:ascii="Times New Roman" w:hAnsi="Times New Roman"/>
          <w:szCs w:val="24"/>
        </w:rPr>
        <w:t>Il prend également acte du rapport d’évaluation du 18 février 2011 de l’Agence européenne des produits chimiques (ECHA) (</w:t>
      </w:r>
      <w:r>
        <w:rPr>
          <w:rFonts w:ascii="Times New Roman" w:hAnsi="Times New Roman"/>
          <w:b/>
          <w:szCs w:val="24"/>
        </w:rPr>
        <w:t>considérant C</w:t>
      </w:r>
      <w:r>
        <w:rPr>
          <w:rFonts w:ascii="Times New Roman" w:hAnsi="Times New Roman"/>
          <w:szCs w:val="24"/>
        </w:rPr>
        <w:t>) et des caractéristiques chimiques de l’imidaclopride (</w:t>
      </w:r>
      <w:r>
        <w:rPr>
          <w:rFonts w:ascii="Times New Roman" w:hAnsi="Times New Roman"/>
          <w:b/>
          <w:szCs w:val="24"/>
        </w:rPr>
        <w:t>considérant N</w:t>
      </w:r>
      <w:r>
        <w:rPr>
          <w:rFonts w:ascii="Times New Roman" w:hAnsi="Times New Roman"/>
          <w:szCs w:val="24"/>
        </w:rPr>
        <w:t>) et note que le règlement d’exécution (UE) 2018/783 de la Commission interdit toute utilisation de l’imidaclopride en extérieur en raison de ses effets néfastes sur les pollinisateurs (</w:t>
      </w:r>
      <w:r>
        <w:rPr>
          <w:rFonts w:ascii="Times New Roman" w:hAnsi="Times New Roman"/>
          <w:b/>
          <w:szCs w:val="24"/>
        </w:rPr>
        <w:t>considérant O</w:t>
      </w:r>
      <w:r>
        <w:rPr>
          <w:rFonts w:ascii="Times New Roman" w:hAnsi="Times New Roman"/>
          <w:szCs w:val="24"/>
        </w:rPr>
        <w:t>).</w:t>
      </w:r>
    </w:p>
    <w:p w:rsidR="0077773A" w:rsidRPr="007A7473" w:rsidRDefault="0077773A" w:rsidP="0077773A">
      <w:pPr>
        <w:spacing w:after="120"/>
        <w:rPr>
          <w:rFonts w:ascii="Times New Roman" w:hAnsi="Times New Roman"/>
          <w:szCs w:val="24"/>
        </w:rPr>
      </w:pPr>
      <w:r>
        <w:rPr>
          <w:rFonts w:ascii="Times New Roman" w:hAnsi="Times New Roman"/>
          <w:szCs w:val="24"/>
        </w:rPr>
        <w:t>Le Parlement y examine également les incidences défavorables potentielles de l’imidaclopride sur la biodiversité, le risque de contamination des eaux souterraines et de surface (</w:t>
      </w:r>
      <w:r>
        <w:rPr>
          <w:rFonts w:ascii="Times New Roman" w:hAnsi="Times New Roman"/>
          <w:b/>
          <w:szCs w:val="24"/>
        </w:rPr>
        <w:t>considérant P</w:t>
      </w:r>
      <w:r>
        <w:rPr>
          <w:rFonts w:ascii="Times New Roman" w:hAnsi="Times New Roman"/>
          <w:szCs w:val="24"/>
        </w:rPr>
        <w:t>), ainsi que les inquiétudes concernant les conséquences sur la qualité des sols (</w:t>
      </w:r>
      <w:r>
        <w:rPr>
          <w:rFonts w:ascii="Times New Roman" w:hAnsi="Times New Roman"/>
          <w:b/>
          <w:szCs w:val="24"/>
        </w:rPr>
        <w:t>considérant Q</w:t>
      </w:r>
      <w:r>
        <w:rPr>
          <w:rFonts w:ascii="Times New Roman" w:hAnsi="Times New Roman"/>
          <w:szCs w:val="24"/>
        </w:rPr>
        <w:t>).</w:t>
      </w:r>
    </w:p>
    <w:p w:rsidR="0077773A" w:rsidRPr="007A7473" w:rsidRDefault="0077773A" w:rsidP="0077773A">
      <w:pPr>
        <w:spacing w:after="120"/>
        <w:rPr>
          <w:rFonts w:ascii="Times New Roman" w:hAnsi="Times New Roman"/>
          <w:szCs w:val="24"/>
        </w:rPr>
      </w:pPr>
      <w:r>
        <w:rPr>
          <w:rFonts w:ascii="Times New Roman" w:hAnsi="Times New Roman"/>
          <w:szCs w:val="24"/>
        </w:rPr>
        <w:t>Il constate qu’on manque de connaissances sur les effets polluants de nombreux produits chimiques individuels et de nombreux mélanges chimiques sur l’environnement (</w:t>
      </w:r>
      <w:r>
        <w:rPr>
          <w:rFonts w:ascii="Times New Roman" w:hAnsi="Times New Roman"/>
          <w:b/>
          <w:szCs w:val="24"/>
        </w:rPr>
        <w:t>considérant Z</w:t>
      </w:r>
      <w:r>
        <w:rPr>
          <w:rFonts w:ascii="Times New Roman" w:hAnsi="Times New Roman"/>
          <w:szCs w:val="24"/>
        </w:rPr>
        <w:t>) et déplore le manque d’accès aux études scientifiques soumises à l’EMA ainsi que le manque d’informations sur la faisabilité des contrôles et sur la gestion des risques de rejet d’eaux usées dans le milieu aquatique (</w:t>
      </w:r>
      <w:r>
        <w:rPr>
          <w:rFonts w:ascii="Times New Roman" w:hAnsi="Times New Roman"/>
          <w:b/>
          <w:szCs w:val="24"/>
        </w:rPr>
        <w:t>considérant AB</w:t>
      </w:r>
      <w:r>
        <w:rPr>
          <w:rFonts w:ascii="Times New Roman" w:hAnsi="Times New Roman"/>
          <w:szCs w:val="24"/>
        </w:rPr>
        <w:t>).</w:t>
      </w:r>
    </w:p>
    <w:p w:rsidR="0077773A" w:rsidRPr="00292055" w:rsidRDefault="0077773A" w:rsidP="0077773A">
      <w:pPr>
        <w:spacing w:after="120"/>
        <w:rPr>
          <w:rFonts w:ascii="Times New Roman" w:hAnsi="Times New Roman"/>
          <w:szCs w:val="24"/>
        </w:rPr>
      </w:pPr>
      <w:r>
        <w:rPr>
          <w:rFonts w:ascii="Times New Roman" w:hAnsi="Times New Roman"/>
          <w:szCs w:val="24"/>
        </w:rPr>
        <w:t>Il prend acte des nouvelles dispositions du règlement (UE) 2019/6 relatif aux médicaments vétérinaires récemment adopté, selon lesquelles les décisions de gestion des risques devraient tenir compte</w:t>
      </w:r>
      <w:proofErr w:type="gramStart"/>
      <w:r>
        <w:rPr>
          <w:rFonts w:ascii="Times New Roman" w:hAnsi="Times New Roman"/>
          <w:szCs w:val="24"/>
        </w:rPr>
        <w:t xml:space="preserve"> «d’autres</w:t>
      </w:r>
      <w:proofErr w:type="gramEnd"/>
      <w:r>
        <w:rPr>
          <w:rFonts w:ascii="Times New Roman" w:hAnsi="Times New Roman"/>
          <w:szCs w:val="24"/>
        </w:rPr>
        <w:t xml:space="preserve"> facteurs pertinents, comme des facteurs sociétaux, économiques, éthiques, environnementaux et des critères liés au bien-être, ainsi que de la faisabilité des contrôles» (</w:t>
      </w:r>
      <w:r>
        <w:rPr>
          <w:rFonts w:ascii="Times New Roman" w:hAnsi="Times New Roman"/>
          <w:b/>
          <w:szCs w:val="24"/>
        </w:rPr>
        <w:t>considérant AA</w:t>
      </w:r>
      <w:r>
        <w:rPr>
          <w:rFonts w:ascii="Times New Roman" w:hAnsi="Times New Roman"/>
          <w:szCs w:val="24"/>
        </w:rPr>
        <w:t xml:space="preserve">). Il relève en outre que ce règlement envisage le refus éventuel </w:t>
      </w:r>
      <w:r>
        <w:rPr>
          <w:rFonts w:ascii="Times New Roman" w:hAnsi="Times New Roman"/>
          <w:szCs w:val="24"/>
        </w:rPr>
        <w:lastRenderedPageBreak/>
        <w:t>d’autorisations de mise sur le marché de médicaments vétérinaires si les risques pour la santé publique ou animale ou pour l’environnement ne sont pas suffisamment pris en compte (</w:t>
      </w:r>
      <w:r>
        <w:rPr>
          <w:rFonts w:ascii="Times New Roman" w:hAnsi="Times New Roman"/>
          <w:b/>
          <w:szCs w:val="24"/>
        </w:rPr>
        <w:t>considérant AE</w:t>
      </w:r>
      <w:r>
        <w:rPr>
          <w:rFonts w:ascii="Times New Roman" w:hAnsi="Times New Roman"/>
          <w:szCs w:val="24"/>
        </w:rPr>
        <w:t>).</w:t>
      </w:r>
    </w:p>
    <w:p w:rsidR="0077773A" w:rsidRDefault="0077773A" w:rsidP="0077773A">
      <w:pPr>
        <w:spacing w:after="120"/>
        <w:rPr>
          <w:rFonts w:ascii="Times New Roman" w:hAnsi="Times New Roman"/>
          <w:szCs w:val="24"/>
        </w:rPr>
      </w:pPr>
      <w:r>
        <w:rPr>
          <w:rFonts w:ascii="Times New Roman" w:hAnsi="Times New Roman"/>
          <w:szCs w:val="24"/>
        </w:rPr>
        <w:t>La résolution indique que le règlement d’exécution (UE) 2021/621 excède les compétences d’exécution prévues dans le règlement (CE) nº 470/2008 (</w:t>
      </w:r>
      <w:r>
        <w:rPr>
          <w:rFonts w:ascii="Times New Roman" w:hAnsi="Times New Roman"/>
          <w:b/>
          <w:szCs w:val="24"/>
        </w:rPr>
        <w:t>paragraphe 1</w:t>
      </w:r>
      <w:r>
        <w:rPr>
          <w:rFonts w:ascii="Times New Roman" w:hAnsi="Times New Roman"/>
          <w:szCs w:val="24"/>
        </w:rPr>
        <w:t>).</w:t>
      </w:r>
    </w:p>
    <w:p w:rsidR="0077773A" w:rsidRDefault="0077773A" w:rsidP="0077773A">
      <w:pPr>
        <w:spacing w:after="120"/>
        <w:rPr>
          <w:rFonts w:ascii="Times New Roman" w:hAnsi="Times New Roman"/>
          <w:szCs w:val="24"/>
        </w:rPr>
      </w:pPr>
      <w:r>
        <w:rPr>
          <w:rFonts w:ascii="Times New Roman" w:hAnsi="Times New Roman"/>
          <w:szCs w:val="24"/>
        </w:rPr>
        <w:t>Le Parlement affirme que le règlement d’exécution (UE) 2021/621 viole la liberté d’information et les principes fondamentaux de transparence, de contrôle démocratique et de responsabilité étant donné que l’avis du comité des médicaments à usage vétérinaire à ce propos n’a été mis à disposition que sous forme de résumé (</w:t>
      </w:r>
      <w:r>
        <w:rPr>
          <w:rFonts w:ascii="Times New Roman" w:hAnsi="Times New Roman"/>
          <w:b/>
          <w:szCs w:val="24"/>
        </w:rPr>
        <w:t>paragraphe 2</w:t>
      </w:r>
      <w:r>
        <w:rPr>
          <w:rFonts w:ascii="Times New Roman" w:hAnsi="Times New Roman"/>
          <w:szCs w:val="24"/>
        </w:rPr>
        <w:t>).</w:t>
      </w:r>
    </w:p>
    <w:p w:rsidR="0077773A" w:rsidRDefault="0077773A" w:rsidP="0077773A">
      <w:pPr>
        <w:spacing w:after="120"/>
        <w:rPr>
          <w:rFonts w:ascii="Times New Roman" w:hAnsi="Times New Roman"/>
          <w:szCs w:val="24"/>
        </w:rPr>
      </w:pPr>
      <w:r>
        <w:rPr>
          <w:rFonts w:ascii="Times New Roman" w:hAnsi="Times New Roman"/>
          <w:szCs w:val="24"/>
        </w:rPr>
        <w:t>Le Parlement européen demande à la Commission:</w:t>
      </w:r>
    </w:p>
    <w:p w:rsidR="0077773A" w:rsidRDefault="0077773A" w:rsidP="0077773A">
      <w:pPr>
        <w:numPr>
          <w:ilvl w:val="0"/>
          <w:numId w:val="1"/>
        </w:numPr>
        <w:spacing w:after="120"/>
        <w:ind w:left="641" w:hanging="357"/>
        <w:rPr>
          <w:rFonts w:ascii="Times New Roman" w:hAnsi="Times New Roman"/>
          <w:szCs w:val="24"/>
        </w:rPr>
      </w:pPr>
      <w:proofErr w:type="gramStart"/>
      <w:r>
        <w:rPr>
          <w:rFonts w:ascii="Times New Roman" w:hAnsi="Times New Roman"/>
          <w:szCs w:val="24"/>
        </w:rPr>
        <w:t>d’abroger</w:t>
      </w:r>
      <w:proofErr w:type="gramEnd"/>
      <w:r>
        <w:rPr>
          <w:rFonts w:ascii="Times New Roman" w:hAnsi="Times New Roman"/>
          <w:szCs w:val="24"/>
        </w:rPr>
        <w:t xml:space="preserve"> le règlement d’exécution (UE) 2021/621 et de présenter, à la commission, un nouveau projet inscrivant l’imidaclopride dans la liste des substances </w:t>
      </w:r>
      <w:proofErr w:type="spellStart"/>
      <w:r>
        <w:rPr>
          <w:rFonts w:ascii="Times New Roman" w:hAnsi="Times New Roman"/>
          <w:szCs w:val="24"/>
        </w:rPr>
        <w:t>pharmacologiquement</w:t>
      </w:r>
      <w:proofErr w:type="spellEnd"/>
      <w:r>
        <w:rPr>
          <w:rFonts w:ascii="Times New Roman" w:hAnsi="Times New Roman"/>
          <w:szCs w:val="24"/>
        </w:rPr>
        <w:t xml:space="preserve"> actives pour lesquelles aucune limite maximale ne peut être fixée pour l’usage aquatique, établie à l’annexe IV du règlement (CE) nº 396/2005 (</w:t>
      </w:r>
      <w:r>
        <w:rPr>
          <w:rFonts w:ascii="Times New Roman" w:hAnsi="Times New Roman"/>
          <w:b/>
          <w:szCs w:val="24"/>
        </w:rPr>
        <w:t>paragraphe 3</w:t>
      </w:r>
      <w:r>
        <w:rPr>
          <w:rFonts w:ascii="Times New Roman" w:hAnsi="Times New Roman"/>
          <w:szCs w:val="24"/>
        </w:rPr>
        <w:t>);</w:t>
      </w:r>
    </w:p>
    <w:p w:rsidR="0077773A" w:rsidRPr="006A2AA9" w:rsidRDefault="0077773A" w:rsidP="0077773A">
      <w:pPr>
        <w:numPr>
          <w:ilvl w:val="0"/>
          <w:numId w:val="1"/>
        </w:numPr>
        <w:spacing w:after="120"/>
        <w:ind w:left="641" w:hanging="357"/>
        <w:rPr>
          <w:rFonts w:ascii="Times New Roman" w:hAnsi="Times New Roman"/>
          <w:szCs w:val="24"/>
        </w:rPr>
      </w:pPr>
      <w:proofErr w:type="gramStart"/>
      <w:r>
        <w:rPr>
          <w:rFonts w:ascii="Times New Roman" w:hAnsi="Times New Roman"/>
          <w:szCs w:val="24"/>
        </w:rPr>
        <w:t>d’appliquer</w:t>
      </w:r>
      <w:proofErr w:type="gramEnd"/>
      <w:r>
        <w:rPr>
          <w:rFonts w:ascii="Times New Roman" w:hAnsi="Times New Roman"/>
          <w:szCs w:val="24"/>
        </w:rPr>
        <w:t xml:space="preserve"> le principe de précaution lorsqu’elle procède à une évaluation des informations disponibles, afin de quantifier les risques d’effets nocifs sur l’environnement, la biodiversité, le bien-être des animaux et la santé humaine (</w:t>
      </w:r>
      <w:r>
        <w:rPr>
          <w:rFonts w:ascii="Times New Roman" w:hAnsi="Times New Roman"/>
          <w:b/>
          <w:szCs w:val="24"/>
        </w:rPr>
        <w:t>paragraphe 10</w:t>
      </w:r>
      <w:r>
        <w:rPr>
          <w:rFonts w:ascii="Times New Roman" w:hAnsi="Times New Roman"/>
          <w:szCs w:val="24"/>
        </w:rPr>
        <w:t>);</w:t>
      </w:r>
    </w:p>
    <w:p w:rsidR="0077773A" w:rsidRPr="006A2AA9" w:rsidRDefault="0077773A" w:rsidP="0077773A">
      <w:pPr>
        <w:numPr>
          <w:ilvl w:val="0"/>
          <w:numId w:val="1"/>
        </w:numPr>
        <w:spacing w:after="120"/>
        <w:ind w:left="641" w:hanging="357"/>
        <w:rPr>
          <w:rFonts w:ascii="Times New Roman" w:hAnsi="Times New Roman"/>
          <w:szCs w:val="24"/>
        </w:rPr>
      </w:pPr>
      <w:proofErr w:type="gramStart"/>
      <w:r>
        <w:rPr>
          <w:rFonts w:ascii="Times New Roman" w:hAnsi="Times New Roman"/>
          <w:szCs w:val="24"/>
        </w:rPr>
        <w:t>de</w:t>
      </w:r>
      <w:proofErr w:type="gramEnd"/>
      <w:r>
        <w:rPr>
          <w:rFonts w:ascii="Times New Roman" w:hAnsi="Times New Roman"/>
          <w:szCs w:val="24"/>
        </w:rPr>
        <w:t xml:space="preserve"> communiquer systématiquement sur la manière dont les principes de précaution et de consentement éclairé sont pris en compte et sur la manière dont les conclusions de l’avis du comité des médicaments à usage vétérinaire sont tirées (</w:t>
      </w:r>
      <w:r>
        <w:rPr>
          <w:rFonts w:ascii="Times New Roman" w:hAnsi="Times New Roman"/>
          <w:b/>
          <w:szCs w:val="24"/>
        </w:rPr>
        <w:t>paragraphe 11</w:t>
      </w:r>
      <w:r>
        <w:rPr>
          <w:rFonts w:ascii="Times New Roman" w:hAnsi="Times New Roman"/>
          <w:szCs w:val="24"/>
        </w:rPr>
        <w:t>);</w:t>
      </w:r>
    </w:p>
    <w:p w:rsidR="0077773A" w:rsidRPr="006A2AA9" w:rsidRDefault="0077773A" w:rsidP="0077773A">
      <w:pPr>
        <w:numPr>
          <w:ilvl w:val="0"/>
          <w:numId w:val="1"/>
        </w:numPr>
        <w:spacing w:after="120"/>
        <w:ind w:left="641" w:hanging="357"/>
        <w:rPr>
          <w:rFonts w:ascii="Times New Roman" w:hAnsi="Times New Roman"/>
          <w:szCs w:val="24"/>
        </w:rPr>
      </w:pPr>
      <w:r>
        <w:rPr>
          <w:rFonts w:ascii="Times New Roman" w:hAnsi="Times New Roman"/>
          <w:szCs w:val="24"/>
        </w:rPr>
        <w:t>de respecter le principe démocratique du consentement éclairé et de réaliser un bilan de qualité du processus d’évaluation des risques afin d’établir des LMR pour les médicaments vétérinaires dans les aliments d’origine animale; le Parlement estime qu’il est essentiel que celui-ci soit pleinement cohérent quant aux objectifs mentionnés dans la communication de la Commission du 11 décembre 2019 intitulée «Le pacte vert pour l’Europe», la communication de la Commission du 20 mai 2020 intitulée «Une stratégie de la ferme à la table pour un système alimentaire équitable, sain et respectueux de l’environnement» et dans la stratégie de l’Union européenne en faveur de la biodiversité à l’horizon 2030 (</w:t>
      </w:r>
      <w:r>
        <w:rPr>
          <w:rFonts w:ascii="Times New Roman" w:hAnsi="Times New Roman"/>
          <w:b/>
          <w:szCs w:val="24"/>
        </w:rPr>
        <w:t>paragraphe 12</w:t>
      </w:r>
      <w:r>
        <w:rPr>
          <w:rFonts w:ascii="Times New Roman" w:hAnsi="Times New Roman"/>
          <w:szCs w:val="24"/>
        </w:rPr>
        <w:t>);</w:t>
      </w:r>
    </w:p>
    <w:p w:rsidR="0077773A" w:rsidRPr="006A2AA9" w:rsidRDefault="0077773A" w:rsidP="0077773A">
      <w:pPr>
        <w:numPr>
          <w:ilvl w:val="0"/>
          <w:numId w:val="1"/>
        </w:numPr>
        <w:spacing w:after="120"/>
        <w:ind w:left="641" w:hanging="357"/>
        <w:rPr>
          <w:rFonts w:ascii="Times New Roman" w:hAnsi="Times New Roman"/>
          <w:szCs w:val="24"/>
        </w:rPr>
      </w:pPr>
      <w:r>
        <w:rPr>
          <w:rFonts w:ascii="Times New Roman" w:hAnsi="Times New Roman"/>
          <w:szCs w:val="24"/>
        </w:rPr>
        <w:t xml:space="preserve">de veiller à ce que l’évaluation des risques comprenne des essais </w:t>
      </w:r>
      <w:proofErr w:type="spellStart"/>
      <w:r>
        <w:rPr>
          <w:rFonts w:ascii="Times New Roman" w:hAnsi="Times New Roman"/>
          <w:szCs w:val="24"/>
        </w:rPr>
        <w:t>écotoxicologiques</w:t>
      </w:r>
      <w:proofErr w:type="spellEnd"/>
      <w:r>
        <w:rPr>
          <w:rFonts w:ascii="Times New Roman" w:hAnsi="Times New Roman"/>
          <w:szCs w:val="24"/>
        </w:rPr>
        <w:t xml:space="preserve"> cumulatifs, actualisés, évalués par des pairs et portant sur des espèces non ciblées dans le sol et le milieu aquatique, à ce qu’elle couvre également les résidus environnementaux dans l’air, le sol et l’eau, y compris les effets toxiques cumulés à long terme, et à ce qu’elle précise les études scientifiques et les avis scientifiques indépendants et évalués par les pairs qui ont été pris en considération; le Parlement souligne que ces informations devraient être accessibles au public (</w:t>
      </w:r>
      <w:r>
        <w:rPr>
          <w:rFonts w:ascii="Times New Roman" w:hAnsi="Times New Roman"/>
          <w:b/>
          <w:szCs w:val="24"/>
        </w:rPr>
        <w:t>paragraphe 13</w:t>
      </w:r>
      <w:r>
        <w:rPr>
          <w:rFonts w:ascii="Times New Roman" w:hAnsi="Times New Roman"/>
          <w:szCs w:val="24"/>
        </w:rPr>
        <w:t>);</w:t>
      </w:r>
    </w:p>
    <w:p w:rsidR="0077773A" w:rsidRPr="006A2AA9" w:rsidRDefault="0077773A" w:rsidP="0077773A">
      <w:pPr>
        <w:numPr>
          <w:ilvl w:val="0"/>
          <w:numId w:val="1"/>
        </w:numPr>
        <w:spacing w:after="120"/>
        <w:ind w:left="641" w:hanging="357"/>
        <w:rPr>
          <w:rFonts w:ascii="Times New Roman" w:hAnsi="Times New Roman"/>
          <w:szCs w:val="24"/>
        </w:rPr>
      </w:pPr>
      <w:r>
        <w:rPr>
          <w:rFonts w:ascii="Times New Roman" w:hAnsi="Times New Roman"/>
          <w:szCs w:val="24"/>
        </w:rPr>
        <w:t>de présenter une proposition législative visant à garantir la cohérence avec les règlements (UE) 2019/6 et (UE) 2019/1381 et l’ensemble de la législation relative à l’alimentation si l’évaluation des risques aux fins de l’établissement des LMR est effectuée par des agences autres que l’Autorité européenne de sécurité des aliments (EFSA); le Parlement invite en outre la Commission à veiller à ce que cette évaluation soit transparente et serve à mieux protéger la biodiversité et les écosystèmes aquatiques, les insectes, les vers de terre et les micro-organismes présents dans le sol (</w:t>
      </w:r>
      <w:r>
        <w:rPr>
          <w:rFonts w:ascii="Times New Roman" w:hAnsi="Times New Roman"/>
          <w:b/>
          <w:szCs w:val="24"/>
        </w:rPr>
        <w:t>paragraphe 14</w:t>
      </w:r>
      <w:r>
        <w:rPr>
          <w:rFonts w:ascii="Times New Roman" w:hAnsi="Times New Roman"/>
          <w:szCs w:val="24"/>
        </w:rPr>
        <w:t>).</w:t>
      </w:r>
    </w:p>
    <w:p w:rsidR="0077773A" w:rsidRPr="00EC7AC4" w:rsidRDefault="0077773A" w:rsidP="0077773A">
      <w:pPr>
        <w:pStyle w:val="ListParagraph"/>
        <w:widowControl w:val="0"/>
        <w:numPr>
          <w:ilvl w:val="0"/>
          <w:numId w:val="2"/>
        </w:numPr>
        <w:spacing w:after="240" w:line="240" w:lineRule="auto"/>
        <w:jc w:val="both"/>
        <w:rPr>
          <w:rFonts w:ascii="Times New Roman" w:hAnsi="Times New Roman"/>
          <w:b/>
          <w:i/>
          <w:sz w:val="24"/>
          <w:szCs w:val="24"/>
        </w:rPr>
      </w:pPr>
      <w:r>
        <w:rPr>
          <w:rFonts w:ascii="Times New Roman" w:hAnsi="Times New Roman"/>
          <w:b/>
          <w:sz w:val="24"/>
          <w:szCs w:val="24"/>
        </w:rPr>
        <w:lastRenderedPageBreak/>
        <w:t>Réponse à ces demandes et aperçu des mesures que la Commission a prises ou envisage de prendre:</w:t>
      </w:r>
    </w:p>
    <w:p w:rsidR="0077773A" w:rsidRPr="0058179E" w:rsidRDefault="0077773A" w:rsidP="0077773A">
      <w:pPr>
        <w:spacing w:after="120"/>
        <w:rPr>
          <w:rFonts w:ascii="Times New Roman" w:hAnsi="Times New Roman"/>
          <w:szCs w:val="24"/>
        </w:rPr>
      </w:pPr>
      <w:r>
        <w:rPr>
          <w:rFonts w:ascii="Times New Roman" w:hAnsi="Times New Roman"/>
          <w:szCs w:val="24"/>
        </w:rPr>
        <w:t>La Commission a examiné attentivement les points de vue exprimés par le Parlement européen et souhaite formuler les observations suivantes.</w:t>
      </w:r>
    </w:p>
    <w:p w:rsidR="0077773A" w:rsidRPr="000754A9" w:rsidRDefault="0077773A" w:rsidP="0077773A">
      <w:pPr>
        <w:spacing w:after="120"/>
        <w:rPr>
          <w:rFonts w:ascii="Times New Roman" w:hAnsi="Times New Roman"/>
          <w:szCs w:val="24"/>
        </w:rPr>
      </w:pPr>
      <w:r>
        <w:rPr>
          <w:rFonts w:ascii="Times New Roman" w:hAnsi="Times New Roman"/>
          <w:szCs w:val="24"/>
        </w:rPr>
        <w:t xml:space="preserve">La Commission tient tout d’abord à faire observer, en réponse aux </w:t>
      </w:r>
      <w:r>
        <w:rPr>
          <w:rFonts w:ascii="Times New Roman" w:hAnsi="Times New Roman"/>
          <w:b/>
          <w:szCs w:val="24"/>
        </w:rPr>
        <w:t>paragraphes 1, 2</w:t>
      </w:r>
      <w:r>
        <w:rPr>
          <w:rFonts w:ascii="Times New Roman" w:hAnsi="Times New Roman"/>
          <w:szCs w:val="24"/>
        </w:rPr>
        <w:t xml:space="preserve"> et </w:t>
      </w:r>
      <w:r>
        <w:rPr>
          <w:rFonts w:ascii="Times New Roman" w:hAnsi="Times New Roman"/>
          <w:b/>
          <w:szCs w:val="24"/>
        </w:rPr>
        <w:t>3</w:t>
      </w:r>
      <w:r>
        <w:rPr>
          <w:rFonts w:ascii="Times New Roman" w:hAnsi="Times New Roman"/>
          <w:szCs w:val="24"/>
        </w:rPr>
        <w:t xml:space="preserve">, que la procédure de fixation des LMR est définie aux articles 8, 12, 14 et 17 du règlement (CE) nº 470/2009 sur la fixation des limites de résidus des substances </w:t>
      </w:r>
      <w:proofErr w:type="spellStart"/>
      <w:r>
        <w:rPr>
          <w:rFonts w:ascii="Times New Roman" w:hAnsi="Times New Roman"/>
          <w:szCs w:val="24"/>
        </w:rPr>
        <w:t>pharmacologiquement</w:t>
      </w:r>
      <w:proofErr w:type="spellEnd"/>
      <w:r>
        <w:rPr>
          <w:rFonts w:ascii="Times New Roman" w:hAnsi="Times New Roman"/>
          <w:szCs w:val="24"/>
        </w:rPr>
        <w:t xml:space="preserve"> actives dans les aliments d’origine animale. Ce règlement fixe les LMR des substances </w:t>
      </w:r>
      <w:proofErr w:type="spellStart"/>
      <w:r>
        <w:rPr>
          <w:rFonts w:ascii="Times New Roman" w:hAnsi="Times New Roman"/>
          <w:szCs w:val="24"/>
        </w:rPr>
        <w:t>pharmacologiquement</w:t>
      </w:r>
      <w:proofErr w:type="spellEnd"/>
      <w:r>
        <w:rPr>
          <w:rFonts w:ascii="Times New Roman" w:hAnsi="Times New Roman"/>
          <w:szCs w:val="24"/>
        </w:rPr>
        <w:t xml:space="preserve"> actives dans les aliments d’origine animale.</w:t>
      </w:r>
    </w:p>
    <w:p w:rsidR="0077773A" w:rsidRPr="000754A9" w:rsidRDefault="0077773A" w:rsidP="0077773A">
      <w:pPr>
        <w:spacing w:after="120"/>
        <w:rPr>
          <w:rFonts w:ascii="Times New Roman" w:hAnsi="Times New Roman"/>
          <w:szCs w:val="24"/>
        </w:rPr>
      </w:pPr>
      <w:r>
        <w:rPr>
          <w:rFonts w:ascii="Times New Roman" w:hAnsi="Times New Roman"/>
          <w:szCs w:val="24"/>
        </w:rPr>
        <w:t xml:space="preserve">Ce règlement d’exécution de la Commission est pleinement conforme aux compétences d’exécution prévues dans l’acte de base. La Commission considère donc qu’en adoptant un règlement qui respecte pleinement les phases de procédure et les exigences légales définies par les </w:t>
      </w:r>
      <w:proofErr w:type="spellStart"/>
      <w:r>
        <w:rPr>
          <w:rFonts w:ascii="Times New Roman" w:hAnsi="Times New Roman"/>
          <w:szCs w:val="24"/>
        </w:rPr>
        <w:t>colégislateurs</w:t>
      </w:r>
      <w:proofErr w:type="spellEnd"/>
      <w:r>
        <w:rPr>
          <w:rFonts w:ascii="Times New Roman" w:hAnsi="Times New Roman"/>
          <w:szCs w:val="24"/>
        </w:rPr>
        <w:t xml:space="preserve"> dans la législation sur les LMR, elle n’outrepasse pas ses compétences d’exécution. Par conséquent, il n’y a aucune raison d’abroger le règlement.</w:t>
      </w:r>
    </w:p>
    <w:p w:rsidR="0077773A" w:rsidRDefault="0077773A" w:rsidP="0077773A">
      <w:pPr>
        <w:spacing w:after="120"/>
        <w:rPr>
          <w:rFonts w:ascii="Times New Roman" w:hAnsi="Times New Roman"/>
          <w:szCs w:val="24"/>
        </w:rPr>
      </w:pPr>
      <w:r>
        <w:rPr>
          <w:rFonts w:ascii="Times New Roman" w:hAnsi="Times New Roman"/>
          <w:szCs w:val="24"/>
        </w:rPr>
        <w:t xml:space="preserve">En ce qui concerne les </w:t>
      </w:r>
      <w:r>
        <w:rPr>
          <w:rFonts w:ascii="Times New Roman" w:hAnsi="Times New Roman"/>
          <w:b/>
          <w:szCs w:val="24"/>
        </w:rPr>
        <w:t>paragraphes 10</w:t>
      </w:r>
      <w:r>
        <w:rPr>
          <w:rFonts w:ascii="Times New Roman" w:hAnsi="Times New Roman"/>
          <w:szCs w:val="24"/>
        </w:rPr>
        <w:t xml:space="preserve"> et </w:t>
      </w:r>
      <w:r>
        <w:rPr>
          <w:rFonts w:ascii="Times New Roman" w:hAnsi="Times New Roman"/>
          <w:b/>
          <w:szCs w:val="24"/>
        </w:rPr>
        <w:t>13</w:t>
      </w:r>
      <w:r>
        <w:rPr>
          <w:rFonts w:ascii="Times New Roman" w:hAnsi="Times New Roman"/>
          <w:szCs w:val="24"/>
        </w:rPr>
        <w:t>, la Commission tient à souligner que le règlement (UE) 2018/782 de la Commission établissant les principes applicables à l’évaluation du risque et aux recommandations pour la gestion du risque, adopté en vertu du règlement (CE) nº 470/2009, définit la méthode à utiliser pour l’évaluation scientifique des risques et l’établissement de recommandations pour la gestion du risque concernant les demandes de LMR.</w:t>
      </w:r>
    </w:p>
    <w:p w:rsidR="0077773A" w:rsidRDefault="0077773A" w:rsidP="0077773A">
      <w:pPr>
        <w:spacing w:after="120"/>
        <w:rPr>
          <w:rFonts w:ascii="Times New Roman" w:hAnsi="Times New Roman"/>
          <w:szCs w:val="24"/>
        </w:rPr>
      </w:pPr>
      <w:r>
        <w:rPr>
          <w:rFonts w:ascii="Times New Roman" w:hAnsi="Times New Roman"/>
          <w:szCs w:val="24"/>
        </w:rPr>
        <w:t>Lors de l’élaboration d’un avis relatif à une LMR, l’évaluation de l’EMA se focalise sur la sécurité du consommateur vis-à-vis des résidus d’une substance restant après traitement dans les aliments d’origine animale. À cette fin, l’EMA a examiné de manière approfondie les risques que les résidus d’imidaclopride pourraient potentiellement présenter pour la santé humaine et a conclu que les valeurs de LMR proposées préservaient suffisamment la santé publique. Dans son évaluation, l’EMA a dûment tenu compte de l’évaluation de l’imidaclopride réalisée par la réunion conjointe FAO/OMS sur les résidus de pesticides (JMPR) ainsi que par l’EFSA et l’ECHA.</w:t>
      </w:r>
    </w:p>
    <w:p w:rsidR="0077773A" w:rsidRPr="009A377E" w:rsidRDefault="0077773A" w:rsidP="0077773A">
      <w:pPr>
        <w:spacing w:after="120"/>
        <w:rPr>
          <w:rFonts w:ascii="Times New Roman" w:hAnsi="Times New Roman"/>
          <w:szCs w:val="24"/>
        </w:rPr>
      </w:pPr>
      <w:r>
        <w:rPr>
          <w:rFonts w:ascii="Times New Roman" w:hAnsi="Times New Roman"/>
          <w:szCs w:val="24"/>
        </w:rPr>
        <w:t>La Commission tient à rappeler qu’une LMR fixée constitue une condition préalable à la demande d’autorisation de mise sur le marché d’un médicament vétérinaire destiné aux animaux producteurs d’aliments. Pour un médicament vétérinaire, la substance active ne peut pas être utilisée chez les animaux destinés à la consommation tant que l’autorisation de mise sur le marché n’a pas été accordée. Lors de l’évaluation de la demande d’autorisation de mise sur le marché de tout médicament vétérinaire, l’EMA et la Commission examinent, dans le cadre de la procédure centralisée, la sécurité du produit pour la santé humaine, la santé animale et l’environnement.</w:t>
      </w:r>
    </w:p>
    <w:p w:rsidR="0077773A" w:rsidRPr="006A2AA9" w:rsidRDefault="0077773A" w:rsidP="0077773A">
      <w:pPr>
        <w:spacing w:after="120"/>
        <w:rPr>
          <w:rFonts w:ascii="Times New Roman" w:hAnsi="Times New Roman"/>
          <w:szCs w:val="24"/>
        </w:rPr>
      </w:pPr>
      <w:r>
        <w:rPr>
          <w:rFonts w:ascii="Times New Roman" w:hAnsi="Times New Roman"/>
          <w:szCs w:val="24"/>
        </w:rPr>
        <w:t xml:space="preserve">En ce qui concerne les </w:t>
      </w:r>
      <w:r>
        <w:rPr>
          <w:rFonts w:ascii="Times New Roman" w:hAnsi="Times New Roman"/>
          <w:b/>
          <w:szCs w:val="24"/>
        </w:rPr>
        <w:t>paragraphes 11</w:t>
      </w:r>
      <w:r>
        <w:rPr>
          <w:rFonts w:ascii="Times New Roman" w:hAnsi="Times New Roman"/>
          <w:szCs w:val="24"/>
        </w:rPr>
        <w:t xml:space="preserve"> et </w:t>
      </w:r>
      <w:r>
        <w:rPr>
          <w:rFonts w:ascii="Times New Roman" w:hAnsi="Times New Roman"/>
          <w:b/>
          <w:szCs w:val="24"/>
        </w:rPr>
        <w:t>14</w:t>
      </w:r>
      <w:r>
        <w:rPr>
          <w:rFonts w:ascii="Times New Roman" w:hAnsi="Times New Roman"/>
          <w:szCs w:val="24"/>
        </w:rPr>
        <w:t xml:space="preserve">, la Commission tient à souligner que l’EMA et la Commission sont pleinement attachées à la transparence des travaux de l’EMA, y compris en ce qui concerne les avis sur les LMR dans les aliments d’origine animale de substances actives contenues dans des médicaments vétérinaires. Immédiatement après l’adoption de l’avis de l’EMA, un résumé est publié sur le site web de l’EMA. Une fois que la Commission a publié le règlement LMR au </w:t>
      </w:r>
      <w:r>
        <w:rPr>
          <w:rFonts w:ascii="Times New Roman" w:hAnsi="Times New Roman"/>
          <w:i/>
          <w:iCs/>
          <w:szCs w:val="24"/>
        </w:rPr>
        <w:t>Journal officiel de l’Union européenne</w:t>
      </w:r>
      <w:r>
        <w:rPr>
          <w:rFonts w:ascii="Times New Roman" w:hAnsi="Times New Roman"/>
          <w:szCs w:val="24"/>
        </w:rPr>
        <w:t>, l’avis complet de l’EMA et le rapport public européen d’évaluation des LMR (EPMAR) sont publiés sur le site web de l’EMA.</w:t>
      </w:r>
    </w:p>
    <w:p w:rsidR="0077773A" w:rsidRPr="00E81956" w:rsidRDefault="0077773A" w:rsidP="0077773A">
      <w:pPr>
        <w:spacing w:after="120"/>
        <w:rPr>
          <w:rFonts w:ascii="Times New Roman" w:hAnsi="Times New Roman"/>
          <w:szCs w:val="24"/>
        </w:rPr>
      </w:pPr>
      <w:r>
        <w:rPr>
          <w:rFonts w:ascii="Times New Roman" w:hAnsi="Times New Roman"/>
          <w:szCs w:val="24"/>
        </w:rPr>
        <w:lastRenderedPageBreak/>
        <w:t>Lors de l’élaboration de son avis concernant la fixation des LMR, l’EMA examine de manière approfondie les risques que des résidus de substances actives pourraient présenter pour la santé humaine et propose des valeurs de LMR qui préservent suffisamment la santé publique.</w:t>
      </w:r>
    </w:p>
    <w:p w:rsidR="0077773A" w:rsidRDefault="0077773A" w:rsidP="0077773A">
      <w:pPr>
        <w:spacing w:after="120"/>
        <w:rPr>
          <w:rFonts w:ascii="Times New Roman" w:hAnsi="Times New Roman"/>
          <w:szCs w:val="24"/>
        </w:rPr>
      </w:pPr>
      <w:r>
        <w:rPr>
          <w:rFonts w:ascii="Times New Roman" w:hAnsi="Times New Roman"/>
          <w:szCs w:val="24"/>
        </w:rPr>
        <w:t xml:space="preserve">En ce qui concerne le </w:t>
      </w:r>
      <w:r>
        <w:rPr>
          <w:rFonts w:ascii="Times New Roman" w:hAnsi="Times New Roman"/>
          <w:b/>
          <w:szCs w:val="24"/>
        </w:rPr>
        <w:t>paragraphe 12</w:t>
      </w:r>
      <w:r>
        <w:rPr>
          <w:rFonts w:ascii="Times New Roman" w:hAnsi="Times New Roman"/>
          <w:szCs w:val="24"/>
        </w:rPr>
        <w:t>, la Commission tient à souligner que le règlement (UE) 2019/6 (régissant les médicaments vétérinaires), qui entrera en vigueur le 28 janvier 2022 et remplacera le cadre actuel (directive 2001/82/CE), consolide les exigences en matière de protection de l’environnement et met particulièrement l’accent sur la lutte contre la résistance aux antimicrobiens.</w:t>
      </w:r>
    </w:p>
    <w:p w:rsidR="0077773A" w:rsidRDefault="0077773A" w:rsidP="0077773A">
      <w:pPr>
        <w:spacing w:after="120"/>
        <w:rPr>
          <w:rFonts w:ascii="Times New Roman" w:hAnsi="Times New Roman"/>
          <w:szCs w:val="24"/>
        </w:rPr>
      </w:pPr>
      <w:r>
        <w:rPr>
          <w:rFonts w:ascii="Times New Roman" w:hAnsi="Times New Roman"/>
          <w:szCs w:val="24"/>
        </w:rPr>
        <w:t xml:space="preserve">Le règlement (UE) 2019/6 maintient l’exigence relative à l’évaluation des risques pour l’environnement, qui doit continuer à figurer dans les documents d’autorisation. En outre, les incidents environnementaux observés à la suite de l’administration d’un médicament vétérinaire sont considérés comme des événements indésirables, qui sont pris en considération dans le rapport bénéfice/risque des médicaments vétérinaires. L’article 37, paragraphe 2, point j), prévoit également la possibilité de refuser l’autorisation de mise sur le marché d’un médicament vétérinaire lorsque la substance active est considérée comme persistante, </w:t>
      </w:r>
      <w:proofErr w:type="spellStart"/>
      <w:r>
        <w:rPr>
          <w:rFonts w:ascii="Times New Roman" w:hAnsi="Times New Roman"/>
          <w:szCs w:val="24"/>
        </w:rPr>
        <w:t>bioaccumulable</w:t>
      </w:r>
      <w:proofErr w:type="spellEnd"/>
      <w:r>
        <w:rPr>
          <w:rFonts w:ascii="Times New Roman" w:hAnsi="Times New Roman"/>
          <w:szCs w:val="24"/>
        </w:rPr>
        <w:t xml:space="preserve"> et toxique ou très persistante, très </w:t>
      </w:r>
      <w:proofErr w:type="spellStart"/>
      <w:r>
        <w:rPr>
          <w:rFonts w:ascii="Times New Roman" w:hAnsi="Times New Roman"/>
          <w:szCs w:val="24"/>
        </w:rPr>
        <w:t>bioaccumulable</w:t>
      </w:r>
      <w:proofErr w:type="spellEnd"/>
      <w:r>
        <w:rPr>
          <w:rFonts w:ascii="Times New Roman" w:hAnsi="Times New Roman"/>
          <w:szCs w:val="24"/>
        </w:rPr>
        <w:t xml:space="preserve"> et très toxique, et qu’elle est destinée aux animaux producteurs d’aliments. De plus, l’article 72 de ce règlement prévoit une procédure de rattrapage pour les médicaments vétérinaires autorisés avant le 1</w:t>
      </w:r>
      <w:r>
        <w:rPr>
          <w:rFonts w:ascii="Times New Roman" w:hAnsi="Times New Roman"/>
          <w:szCs w:val="24"/>
          <w:vertAlign w:val="superscript"/>
        </w:rPr>
        <w:t>er</w:t>
      </w:r>
      <w:r>
        <w:rPr>
          <w:rFonts w:ascii="Times New Roman" w:hAnsi="Times New Roman"/>
          <w:szCs w:val="24"/>
        </w:rPr>
        <w:t> octobre 2005, qualifiés de potentiellement nocifs pour l’environnement et n’ayant pas fait l’objet d’une évaluation des risques pour l’environnement.</w:t>
      </w:r>
    </w:p>
    <w:p w:rsidR="0077773A" w:rsidRPr="0058179E" w:rsidRDefault="0077773A" w:rsidP="0077773A">
      <w:pPr>
        <w:spacing w:after="120"/>
        <w:rPr>
          <w:rFonts w:ascii="Times New Roman" w:hAnsi="Times New Roman"/>
          <w:szCs w:val="24"/>
        </w:rPr>
      </w:pPr>
      <w:r>
        <w:rPr>
          <w:rFonts w:ascii="Times New Roman" w:hAnsi="Times New Roman"/>
          <w:szCs w:val="24"/>
        </w:rPr>
        <w:t>Les dispositions susmentionnées sont conformes aux objectifs du</w:t>
      </w:r>
      <w:proofErr w:type="gramStart"/>
      <w:r>
        <w:rPr>
          <w:rFonts w:ascii="Times New Roman" w:hAnsi="Times New Roman"/>
          <w:szCs w:val="24"/>
        </w:rPr>
        <w:t xml:space="preserve"> «pacte</w:t>
      </w:r>
      <w:proofErr w:type="gramEnd"/>
      <w:r>
        <w:rPr>
          <w:rFonts w:ascii="Times New Roman" w:hAnsi="Times New Roman"/>
          <w:szCs w:val="24"/>
        </w:rPr>
        <w:t xml:space="preserve"> vert pour l’Europe» et de la stratégie «De la ferme à la table» pour un système alimentaire équitable, sain et respectueux de l’environnement.</w:t>
      </w:r>
    </w:p>
    <w:p w:rsidR="00841B62" w:rsidRDefault="0077773A" w:rsidP="0077773A">
      <w:r>
        <w:rPr>
          <w:rFonts w:ascii="Times New Roman" w:hAnsi="Times New Roman"/>
          <w:szCs w:val="24"/>
        </w:rPr>
        <w:t xml:space="preserve">En conclusion, la Commission estime qu’elle met en œuvre le cadre réglementaire approuvé par les </w:t>
      </w:r>
      <w:proofErr w:type="spellStart"/>
      <w:r>
        <w:rPr>
          <w:rFonts w:ascii="Times New Roman" w:hAnsi="Times New Roman"/>
          <w:szCs w:val="24"/>
        </w:rPr>
        <w:t>colégislateurs</w:t>
      </w:r>
      <w:proofErr w:type="spellEnd"/>
      <w:r>
        <w:rPr>
          <w:rFonts w:ascii="Times New Roman" w:hAnsi="Times New Roman"/>
          <w:szCs w:val="24"/>
        </w:rPr>
        <w:t>, lequel la contraint à adopter le règlement dès lors que les conditions énoncées dans le règlement (CE) nº 470/2009 sont remplies. Elle n’a donc pas outrepassé ses compétences d’exécution.</w:t>
      </w:r>
    </w:p>
    <w:sectPr w:rsidR="00841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C0298"/>
    <w:multiLevelType w:val="hybridMultilevel"/>
    <w:tmpl w:val="7494E44A"/>
    <w:lvl w:ilvl="0" w:tplc="3C4813B0">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16F1C5A"/>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3A"/>
    <w:rsid w:val="0077773A"/>
    <w:rsid w:val="00841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40043-5F23-4668-AAA5-9A87FE55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73A"/>
    <w:pPr>
      <w:spacing w:after="240" w:line="240" w:lineRule="auto"/>
      <w:jc w:val="both"/>
    </w:pPr>
    <w:rPr>
      <w:rFonts w:ascii="Courier New" w:eastAsia="Times New Roman" w:hAnsi="Courier New"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ist Paragraph compact"/>
    <w:basedOn w:val="Normal"/>
    <w:link w:val="ListParagraphChar"/>
    <w:uiPriority w:val="34"/>
    <w:qFormat/>
    <w:rsid w:val="0077773A"/>
    <w:pPr>
      <w:spacing w:after="200" w:line="276" w:lineRule="auto"/>
      <w:ind w:left="720"/>
      <w:contextualSpacing/>
      <w:jc w:val="left"/>
    </w:pPr>
    <w:rPr>
      <w:rFonts w:ascii="Calibri" w:eastAsia="Calibri" w:hAnsi="Calibri"/>
      <w:sz w:val="22"/>
      <w:szCs w:val="22"/>
      <w:lang w:eastAsia="en-U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77773A"/>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10472</Characters>
  <Application>Microsoft Office Word</Application>
  <DocSecurity>0</DocSecurity>
  <Lines>151</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2021-09-21T15:06:00Z</dcterms:created>
  <dcterms:modified xsi:type="dcterms:W3CDTF">2021-09-21T15:07:00Z</dcterms:modified>
</cp:coreProperties>
</file>