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850DF" w14:textId="2119FDA3" w:rsidR="0062493E" w:rsidRPr="0062493E" w:rsidRDefault="0062493E" w:rsidP="0062493E">
      <w:pPr>
        <w:spacing w:after="720"/>
        <w:jc w:val="center"/>
        <w:rPr>
          <w:rFonts w:ascii="Times New Roman" w:hAnsi="Times New Roman"/>
          <w:b/>
        </w:rPr>
      </w:pPr>
      <w:bookmarkStart w:id="0" w:name="CoI"/>
      <w:bookmarkStart w:id="1" w:name="_GoBack"/>
      <w:bookmarkEnd w:id="1"/>
      <w:r w:rsidRPr="0062493E">
        <w:rPr>
          <w:rFonts w:ascii="Times New Roman" w:hAnsi="Times New Roman"/>
          <w:b/>
          <w:bCs/>
        </w:rPr>
        <w:t xml:space="preserve">Follow-up to the </w:t>
      </w:r>
      <w:r w:rsidRPr="0062493E">
        <w:rPr>
          <w:rFonts w:ascii="Times New Roman" w:hAnsi="Times New Roman"/>
          <w:b/>
        </w:rPr>
        <w:t xml:space="preserve">European </w:t>
      </w:r>
      <w:r w:rsidRPr="0062493E">
        <w:rPr>
          <w:rFonts w:ascii="Times New Roman" w:hAnsi="Times New Roman"/>
          <w:b/>
          <w:szCs w:val="24"/>
        </w:rPr>
        <w:t>Parliament non-legislative resolution on the</w:t>
      </w:r>
      <w:r w:rsidR="009D370D">
        <w:rPr>
          <w:rFonts w:ascii="Times New Roman" w:hAnsi="Times New Roman"/>
          <w:b/>
          <w:szCs w:val="24"/>
        </w:rPr>
        <w:t xml:space="preserve"> </w:t>
      </w:r>
      <w:r w:rsidRPr="0062493E">
        <w:rPr>
          <w:rFonts w:ascii="Times New Roman" w:hAnsi="Times New Roman"/>
          <w:b/>
          <w:szCs w:val="24"/>
        </w:rPr>
        <w:t>conflict of interest of the Prime Minister of the Czech Republic</w:t>
      </w:r>
    </w:p>
    <w:bookmarkEnd w:id="0"/>
    <w:p w14:paraId="0A136125" w14:textId="77777777" w:rsidR="0062493E" w:rsidRPr="0062493E" w:rsidRDefault="0062493E" w:rsidP="006F0520">
      <w:pPr>
        <w:numPr>
          <w:ilvl w:val="0"/>
          <w:numId w:val="4"/>
        </w:numPr>
        <w:ind w:left="567" w:hanging="567"/>
        <w:rPr>
          <w:rFonts w:ascii="Times New Roman" w:hAnsi="Times New Roman"/>
          <w:i/>
          <w:szCs w:val="24"/>
        </w:rPr>
      </w:pPr>
      <w:r w:rsidRPr="0062493E">
        <w:rPr>
          <w:rFonts w:ascii="Times New Roman" w:hAnsi="Times New Roman"/>
          <w:b/>
          <w:szCs w:val="24"/>
        </w:rPr>
        <w:t>Resolution tabled pursuant to Rule 132(2) of the European Parliament's Rules of procedure</w:t>
      </w:r>
    </w:p>
    <w:p w14:paraId="24826BBC" w14:textId="0A39724B" w:rsidR="0062493E" w:rsidRPr="0062493E" w:rsidRDefault="0062493E" w:rsidP="006F0520">
      <w:pPr>
        <w:numPr>
          <w:ilvl w:val="0"/>
          <w:numId w:val="4"/>
        </w:numPr>
        <w:ind w:left="567" w:hanging="567"/>
        <w:rPr>
          <w:rFonts w:ascii="Times New Roman" w:hAnsi="Times New Roman"/>
          <w:i/>
          <w:szCs w:val="24"/>
        </w:rPr>
      </w:pPr>
      <w:r w:rsidRPr="0062493E">
        <w:rPr>
          <w:rFonts w:ascii="Times New Roman" w:hAnsi="Times New Roman"/>
          <w:b/>
          <w:szCs w:val="24"/>
        </w:rPr>
        <w:t xml:space="preserve">Reference numbers: </w:t>
      </w:r>
      <w:r w:rsidRPr="0062493E">
        <w:rPr>
          <w:rFonts w:ascii="Times New Roman" w:hAnsi="Times New Roman"/>
          <w:szCs w:val="24"/>
        </w:rPr>
        <w:t>2021/2671</w:t>
      </w:r>
      <w:r w:rsidR="006B0F1F">
        <w:rPr>
          <w:rFonts w:ascii="Times New Roman" w:hAnsi="Times New Roman"/>
          <w:szCs w:val="24"/>
        </w:rPr>
        <w:t xml:space="preserve"> </w:t>
      </w:r>
      <w:r w:rsidRPr="0062493E">
        <w:rPr>
          <w:rFonts w:ascii="Times New Roman" w:hAnsi="Times New Roman"/>
          <w:szCs w:val="24"/>
        </w:rPr>
        <w:t>(RSP) / B9-0303/2021 / P9_TA</w:t>
      </w:r>
      <w:r w:rsidR="002B6992" w:rsidRPr="005C1C79">
        <w:rPr>
          <w:rFonts w:ascii="Times New Roman" w:hAnsi="Times New Roman"/>
          <w:szCs w:val="24"/>
        </w:rPr>
        <w:t>-PROV</w:t>
      </w:r>
      <w:r w:rsidRPr="0062493E">
        <w:rPr>
          <w:rFonts w:ascii="Times New Roman" w:hAnsi="Times New Roman"/>
          <w:szCs w:val="24"/>
        </w:rPr>
        <w:t>(2021)0282</w:t>
      </w:r>
    </w:p>
    <w:p w14:paraId="3A6BD3FA" w14:textId="77777777" w:rsidR="0062493E" w:rsidRPr="0062493E" w:rsidRDefault="0062493E" w:rsidP="006F0520">
      <w:pPr>
        <w:numPr>
          <w:ilvl w:val="0"/>
          <w:numId w:val="4"/>
        </w:numPr>
        <w:ind w:left="567" w:hanging="567"/>
        <w:rPr>
          <w:rFonts w:ascii="Times New Roman" w:hAnsi="Times New Roman"/>
          <w:szCs w:val="24"/>
        </w:rPr>
      </w:pPr>
      <w:r w:rsidRPr="0062493E">
        <w:rPr>
          <w:rFonts w:ascii="Times New Roman" w:hAnsi="Times New Roman"/>
          <w:b/>
          <w:szCs w:val="24"/>
        </w:rPr>
        <w:t xml:space="preserve">Date of adoption of the resolution: </w:t>
      </w:r>
      <w:r w:rsidRPr="0062493E">
        <w:rPr>
          <w:rFonts w:ascii="Times New Roman" w:hAnsi="Times New Roman"/>
          <w:szCs w:val="24"/>
        </w:rPr>
        <w:t>10</w:t>
      </w:r>
      <w:r w:rsidR="00463486">
        <w:rPr>
          <w:rFonts w:ascii="Times New Roman" w:hAnsi="Times New Roman"/>
          <w:szCs w:val="24"/>
        </w:rPr>
        <w:t xml:space="preserve"> June </w:t>
      </w:r>
      <w:r w:rsidRPr="0062493E">
        <w:rPr>
          <w:rFonts w:ascii="Times New Roman" w:hAnsi="Times New Roman"/>
          <w:szCs w:val="24"/>
        </w:rPr>
        <w:t>2021</w:t>
      </w:r>
    </w:p>
    <w:p w14:paraId="55AFFF00" w14:textId="77777777" w:rsidR="0062493E" w:rsidRPr="0062493E" w:rsidRDefault="0062493E" w:rsidP="006F0520">
      <w:pPr>
        <w:numPr>
          <w:ilvl w:val="0"/>
          <w:numId w:val="4"/>
        </w:numPr>
        <w:ind w:left="567" w:hanging="567"/>
        <w:rPr>
          <w:rFonts w:ascii="Times New Roman" w:hAnsi="Times New Roman"/>
          <w:szCs w:val="24"/>
        </w:rPr>
      </w:pPr>
      <w:r w:rsidRPr="0062493E">
        <w:rPr>
          <w:rFonts w:ascii="Times New Roman" w:hAnsi="Times New Roman"/>
          <w:b/>
        </w:rPr>
        <w:t>Competent Parliamentary Committee</w:t>
      </w:r>
      <w:r w:rsidRPr="0062493E">
        <w:rPr>
          <w:b/>
        </w:rPr>
        <w:t>:</w:t>
      </w:r>
      <w:r w:rsidRPr="0062493E">
        <w:t xml:space="preserve"> </w:t>
      </w:r>
      <w:r w:rsidRPr="0062493E">
        <w:rPr>
          <w:rFonts w:ascii="Times New Roman" w:hAnsi="Times New Roman"/>
        </w:rPr>
        <w:t>Committee on Budgetary Control (CONT)</w:t>
      </w:r>
    </w:p>
    <w:p w14:paraId="5BD69364" w14:textId="77777777" w:rsidR="0062493E" w:rsidRPr="0062493E" w:rsidRDefault="0062493E" w:rsidP="006F0520">
      <w:pPr>
        <w:widowControl w:val="0"/>
        <w:numPr>
          <w:ilvl w:val="0"/>
          <w:numId w:val="4"/>
        </w:numPr>
        <w:ind w:left="567" w:hanging="567"/>
        <w:rPr>
          <w:rFonts w:ascii="Times New Roman" w:hAnsi="Times New Roman"/>
          <w:szCs w:val="24"/>
        </w:rPr>
      </w:pPr>
      <w:r w:rsidRPr="0062493E">
        <w:rPr>
          <w:rFonts w:ascii="Times New Roman" w:hAnsi="Times New Roman"/>
          <w:b/>
          <w:szCs w:val="24"/>
        </w:rPr>
        <w:t>Brief analysis/ assessment of the resolution and requests made in it:</w:t>
      </w:r>
      <w:r w:rsidRPr="0062493E">
        <w:rPr>
          <w:rFonts w:ascii="Times New Roman" w:hAnsi="Times New Roman"/>
          <w:szCs w:val="24"/>
        </w:rPr>
        <w:t xml:space="preserve"> </w:t>
      </w:r>
    </w:p>
    <w:p w14:paraId="508B028D" w14:textId="5BB26F5D" w:rsidR="00F567E7" w:rsidRDefault="00F567E7" w:rsidP="00F567E7">
      <w:pPr>
        <w:widowControl w:val="0"/>
        <w:spacing w:after="120"/>
        <w:rPr>
          <w:rFonts w:ascii="Times New Roman" w:hAnsi="Times New Roman"/>
          <w:szCs w:val="24"/>
        </w:rPr>
      </w:pPr>
      <w:r>
        <w:rPr>
          <w:rFonts w:ascii="Times New Roman" w:hAnsi="Times New Roman"/>
          <w:szCs w:val="24"/>
        </w:rPr>
        <w:t xml:space="preserve">The European Parliament adopted the resolution on 10 June 2021 with a large majority (505 in favour, 30 against and 155 abstentions). It comes in the context of increased European Parliament scrutiny and strong public interest in the use and </w:t>
      </w:r>
      <w:r w:rsidRPr="00C761B3">
        <w:rPr>
          <w:rFonts w:ascii="Times New Roman" w:hAnsi="Times New Roman"/>
          <w:szCs w:val="24"/>
        </w:rPr>
        <w:t>possible misuse of EU funds in shared management</w:t>
      </w:r>
      <w:r>
        <w:rPr>
          <w:rFonts w:ascii="Times New Roman" w:hAnsi="Times New Roman"/>
          <w:szCs w:val="24"/>
        </w:rPr>
        <w:t xml:space="preserve">, particularly in relation to individual recipients receiving </w:t>
      </w:r>
      <w:r w:rsidRPr="00C761B3">
        <w:rPr>
          <w:rFonts w:ascii="Times New Roman" w:hAnsi="Times New Roman"/>
          <w:szCs w:val="24"/>
        </w:rPr>
        <w:t>large amounts</w:t>
      </w:r>
      <w:r>
        <w:rPr>
          <w:rFonts w:ascii="Times New Roman" w:hAnsi="Times New Roman"/>
          <w:szCs w:val="24"/>
        </w:rPr>
        <w:t xml:space="preserve"> of Union support, individuals being the effective beneficial owners of entities entitled to Union support, and politicians in situations of conflict of interest </w:t>
      </w:r>
      <w:r w:rsidR="009D370D">
        <w:rPr>
          <w:rFonts w:ascii="Times New Roman" w:hAnsi="Times New Roman"/>
          <w:szCs w:val="24"/>
        </w:rPr>
        <w:t>benefitting from Union support.</w:t>
      </w:r>
    </w:p>
    <w:p w14:paraId="7FEDC82A" w14:textId="77777777" w:rsidR="00F567E7" w:rsidRDefault="00F567E7" w:rsidP="00F567E7">
      <w:pPr>
        <w:widowControl w:val="0"/>
        <w:spacing w:after="120"/>
        <w:rPr>
          <w:rFonts w:ascii="Times New Roman" w:hAnsi="Times New Roman"/>
          <w:szCs w:val="24"/>
        </w:rPr>
      </w:pPr>
      <w:r>
        <w:rPr>
          <w:rFonts w:ascii="Times New Roman" w:hAnsi="Times New Roman"/>
          <w:szCs w:val="24"/>
        </w:rPr>
        <w:t>The resolution calls on the Council and the European Council to take measures to prevent conflicts of interest and expresses concerns that the Czech Prime Minister has been actively taking part in the negotiations on the EU budget and EU programmes under shared management while being in a situation of conflict of interest.</w:t>
      </w:r>
    </w:p>
    <w:p w14:paraId="6024F781" w14:textId="31593E2E" w:rsidR="00F567E7" w:rsidRDefault="00F567E7" w:rsidP="00F567E7">
      <w:pPr>
        <w:widowControl w:val="0"/>
        <w:spacing w:after="120"/>
        <w:rPr>
          <w:rFonts w:ascii="Times New Roman" w:hAnsi="Times New Roman"/>
          <w:szCs w:val="24"/>
        </w:rPr>
      </w:pPr>
      <w:r w:rsidRPr="006F308E">
        <w:rPr>
          <w:rFonts w:ascii="Times New Roman" w:hAnsi="Times New Roman"/>
          <w:szCs w:val="24"/>
        </w:rPr>
        <w:t>The resolution</w:t>
      </w:r>
      <w:r>
        <w:rPr>
          <w:rFonts w:ascii="Times New Roman" w:hAnsi="Times New Roman"/>
          <w:szCs w:val="24"/>
        </w:rPr>
        <w:t xml:space="preserve"> states that</w:t>
      </w:r>
      <w:r w:rsidRPr="006F308E">
        <w:rPr>
          <w:rFonts w:ascii="Times New Roman" w:hAnsi="Times New Roman"/>
          <w:szCs w:val="24"/>
        </w:rPr>
        <w:t xml:space="preserve"> </w:t>
      </w:r>
      <w:r>
        <w:rPr>
          <w:rFonts w:ascii="Times New Roman" w:hAnsi="Times New Roman"/>
          <w:szCs w:val="24"/>
        </w:rPr>
        <w:t xml:space="preserve">the </w:t>
      </w:r>
      <w:r w:rsidRPr="00556248">
        <w:rPr>
          <w:rFonts w:ascii="Times New Roman" w:hAnsi="Times New Roman"/>
          <w:szCs w:val="24"/>
        </w:rPr>
        <w:t xml:space="preserve">Commission has still not provided a comprehensive reply to </w:t>
      </w:r>
      <w:r w:rsidR="009D370D">
        <w:rPr>
          <w:rFonts w:ascii="Times New Roman" w:hAnsi="Times New Roman"/>
          <w:szCs w:val="24"/>
        </w:rPr>
        <w:t xml:space="preserve">the </w:t>
      </w:r>
      <w:r w:rsidRPr="00556248">
        <w:rPr>
          <w:rFonts w:ascii="Times New Roman" w:hAnsi="Times New Roman"/>
          <w:szCs w:val="24"/>
        </w:rPr>
        <w:t>Parliament’s request to quantify the total amount of subsidies received by entities of the Agrofert group</w:t>
      </w:r>
      <w:r>
        <w:rPr>
          <w:rFonts w:ascii="Times New Roman" w:hAnsi="Times New Roman"/>
          <w:szCs w:val="24"/>
        </w:rPr>
        <w:t xml:space="preserve"> and requests </w:t>
      </w:r>
      <w:r w:rsidRPr="00C001D6">
        <w:rPr>
          <w:rFonts w:ascii="Times New Roman" w:hAnsi="Times New Roman"/>
          <w:szCs w:val="24"/>
        </w:rPr>
        <w:t xml:space="preserve">attention </w:t>
      </w:r>
      <w:r>
        <w:rPr>
          <w:rFonts w:ascii="Times New Roman" w:hAnsi="Times New Roman"/>
          <w:szCs w:val="24"/>
        </w:rPr>
        <w:t xml:space="preserve">to </w:t>
      </w:r>
      <w:r w:rsidRPr="00C001D6">
        <w:rPr>
          <w:rFonts w:ascii="Times New Roman" w:hAnsi="Times New Roman"/>
          <w:szCs w:val="24"/>
        </w:rPr>
        <w:t>be given to payments made to companies directly and indirectly owned by Prime Minister Babiš or other members of the Czech Government</w:t>
      </w:r>
      <w:r>
        <w:rPr>
          <w:rFonts w:ascii="Times New Roman" w:hAnsi="Times New Roman"/>
          <w:szCs w:val="24"/>
        </w:rPr>
        <w:t xml:space="preserve">. It </w:t>
      </w:r>
      <w:r w:rsidRPr="00C001D6">
        <w:rPr>
          <w:rFonts w:ascii="Times New Roman" w:hAnsi="Times New Roman"/>
          <w:szCs w:val="24"/>
        </w:rPr>
        <w:t>calls on the Commission to publish all documents related to the case of the Czech Prime Minister’s conflict of interest</w:t>
      </w:r>
      <w:r>
        <w:rPr>
          <w:rFonts w:ascii="Times New Roman" w:hAnsi="Times New Roman"/>
          <w:szCs w:val="24"/>
        </w:rPr>
        <w:t xml:space="preserve">. It considers an </w:t>
      </w:r>
      <w:r w:rsidRPr="005709D6">
        <w:rPr>
          <w:rFonts w:ascii="Times New Roman" w:hAnsi="Times New Roman"/>
          <w:szCs w:val="24"/>
        </w:rPr>
        <w:t xml:space="preserve">urgent need for the Commission, in cooperation with national agencies, to come up with a standardised and publicly accessible format to disclose the end beneficiaries of </w:t>
      </w:r>
      <w:r w:rsidR="009D370D">
        <w:rPr>
          <w:rFonts w:ascii="Times New Roman" w:hAnsi="Times New Roman"/>
          <w:szCs w:val="24"/>
        </w:rPr>
        <w:t>Common Agric</w:t>
      </w:r>
      <w:r w:rsidR="006B0F1F">
        <w:rPr>
          <w:rFonts w:ascii="Times New Roman" w:hAnsi="Times New Roman"/>
          <w:szCs w:val="24"/>
        </w:rPr>
        <w:t>ultural</w:t>
      </w:r>
      <w:r w:rsidR="009D370D">
        <w:rPr>
          <w:rFonts w:ascii="Times New Roman" w:hAnsi="Times New Roman"/>
          <w:szCs w:val="24"/>
        </w:rPr>
        <w:t xml:space="preserve"> Policy (</w:t>
      </w:r>
      <w:r w:rsidRPr="005709D6">
        <w:rPr>
          <w:rFonts w:ascii="Times New Roman" w:hAnsi="Times New Roman"/>
          <w:szCs w:val="24"/>
        </w:rPr>
        <w:t>CAP</w:t>
      </w:r>
      <w:r w:rsidR="009D370D">
        <w:rPr>
          <w:rFonts w:ascii="Times New Roman" w:hAnsi="Times New Roman"/>
          <w:szCs w:val="24"/>
        </w:rPr>
        <w:t>)</w:t>
      </w:r>
      <w:r w:rsidRPr="005709D6">
        <w:rPr>
          <w:rFonts w:ascii="Times New Roman" w:hAnsi="Times New Roman"/>
          <w:szCs w:val="24"/>
        </w:rPr>
        <w:t xml:space="preserve"> disbursement</w:t>
      </w:r>
      <w:r>
        <w:rPr>
          <w:rFonts w:ascii="Times New Roman" w:hAnsi="Times New Roman"/>
          <w:szCs w:val="24"/>
        </w:rPr>
        <w:t>.</w:t>
      </w:r>
    </w:p>
    <w:p w14:paraId="053800A2" w14:textId="77777777" w:rsidR="00F567E7" w:rsidRDefault="00F567E7" w:rsidP="00F567E7">
      <w:pPr>
        <w:widowControl w:val="0"/>
        <w:spacing w:after="120"/>
        <w:rPr>
          <w:rFonts w:ascii="Times New Roman" w:hAnsi="Times New Roman"/>
          <w:szCs w:val="24"/>
        </w:rPr>
      </w:pPr>
      <w:r>
        <w:rPr>
          <w:rFonts w:ascii="Times New Roman" w:hAnsi="Times New Roman"/>
          <w:szCs w:val="24"/>
        </w:rPr>
        <w:t xml:space="preserve">The resolution </w:t>
      </w:r>
      <w:r w:rsidRPr="00C001D6">
        <w:rPr>
          <w:rFonts w:ascii="Times New Roman" w:hAnsi="Times New Roman"/>
          <w:szCs w:val="24"/>
        </w:rPr>
        <w:t xml:space="preserve">urges the Commission to revise the rules of audit and financial correction procedures </w:t>
      </w:r>
      <w:r>
        <w:rPr>
          <w:rFonts w:ascii="Times New Roman" w:hAnsi="Times New Roman"/>
          <w:szCs w:val="24"/>
        </w:rPr>
        <w:t xml:space="preserve">and to </w:t>
      </w:r>
      <w:r w:rsidRPr="00C001D6">
        <w:rPr>
          <w:rFonts w:ascii="Times New Roman" w:hAnsi="Times New Roman"/>
          <w:szCs w:val="24"/>
        </w:rPr>
        <w:t>assess the effectiveness of Article 61 of the Financial Regulation</w:t>
      </w:r>
      <w:r>
        <w:rPr>
          <w:rFonts w:ascii="Times New Roman" w:hAnsi="Times New Roman"/>
          <w:szCs w:val="24"/>
        </w:rPr>
        <w:t>. It a</w:t>
      </w:r>
      <w:r w:rsidRPr="00C001D6">
        <w:rPr>
          <w:rFonts w:ascii="Times New Roman" w:hAnsi="Times New Roman"/>
          <w:szCs w:val="24"/>
        </w:rPr>
        <w:t>sks the Commission to look into vulnerabilities of the Czech judicial system</w:t>
      </w:r>
      <w:r>
        <w:rPr>
          <w:rFonts w:ascii="Times New Roman" w:hAnsi="Times New Roman"/>
          <w:szCs w:val="24"/>
        </w:rPr>
        <w:t>, to explore</w:t>
      </w:r>
      <w:r w:rsidRPr="00C001D6">
        <w:rPr>
          <w:rFonts w:ascii="Times New Roman" w:hAnsi="Times New Roman"/>
          <w:szCs w:val="24"/>
        </w:rPr>
        <w:t xml:space="preserve"> potential violations of State aid rules</w:t>
      </w:r>
      <w:r>
        <w:rPr>
          <w:rFonts w:ascii="Times New Roman" w:hAnsi="Times New Roman"/>
          <w:szCs w:val="24"/>
        </w:rPr>
        <w:t xml:space="preserve"> and to</w:t>
      </w:r>
      <w:r w:rsidRPr="00210860">
        <w:rPr>
          <w:rFonts w:ascii="Times New Roman" w:hAnsi="Times New Roman"/>
          <w:szCs w:val="24"/>
        </w:rPr>
        <w:t xml:space="preserve"> further scrutinise </w:t>
      </w:r>
      <w:r>
        <w:rPr>
          <w:rFonts w:ascii="Times New Roman" w:hAnsi="Times New Roman"/>
          <w:szCs w:val="24"/>
        </w:rPr>
        <w:t>the national recovery plans in this regard.</w:t>
      </w:r>
    </w:p>
    <w:p w14:paraId="77FA16E2" w14:textId="77777777" w:rsidR="0062493E" w:rsidRPr="0062493E" w:rsidRDefault="0062493E" w:rsidP="006F0520">
      <w:pPr>
        <w:widowControl w:val="0"/>
        <w:numPr>
          <w:ilvl w:val="0"/>
          <w:numId w:val="4"/>
        </w:numPr>
        <w:ind w:left="567" w:hanging="567"/>
        <w:rPr>
          <w:rFonts w:ascii="Times New Roman" w:hAnsi="Times New Roman"/>
          <w:b/>
          <w:i/>
          <w:szCs w:val="24"/>
        </w:rPr>
      </w:pPr>
      <w:r w:rsidRPr="0062493E">
        <w:rPr>
          <w:rFonts w:ascii="Times New Roman" w:hAnsi="Times New Roman"/>
          <w:b/>
          <w:szCs w:val="24"/>
        </w:rPr>
        <w:t>Response to the requests in the resolution and overview of the action taken, or intended to be taken, by the Commission:</w:t>
      </w:r>
      <w:r w:rsidRPr="0062493E">
        <w:rPr>
          <w:rFonts w:ascii="Times New Roman" w:hAnsi="Times New Roman"/>
          <w:szCs w:val="24"/>
        </w:rPr>
        <w:t xml:space="preserve"> </w:t>
      </w:r>
    </w:p>
    <w:p w14:paraId="10F025EC" w14:textId="77777777" w:rsidR="00F567E7" w:rsidRDefault="00F567E7" w:rsidP="00F567E7">
      <w:pPr>
        <w:widowControl w:val="0"/>
        <w:rPr>
          <w:rFonts w:ascii="Times New Roman" w:hAnsi="Times New Roman"/>
          <w:b/>
          <w:szCs w:val="24"/>
        </w:rPr>
      </w:pPr>
      <w:r w:rsidRPr="006F308E">
        <w:rPr>
          <w:rFonts w:ascii="Times New Roman" w:hAnsi="Times New Roman"/>
          <w:b/>
          <w:szCs w:val="24"/>
        </w:rPr>
        <w:t>Response to paragraphs</w:t>
      </w:r>
      <w:r>
        <w:rPr>
          <w:rFonts w:ascii="Times New Roman" w:hAnsi="Times New Roman"/>
          <w:b/>
          <w:szCs w:val="24"/>
        </w:rPr>
        <w:t xml:space="preserve"> 2, 13, 23 and 43 </w:t>
      </w:r>
    </w:p>
    <w:p w14:paraId="67EB85BB" w14:textId="77777777" w:rsidR="00F567E7" w:rsidRDefault="00F567E7" w:rsidP="00F567E7">
      <w:pPr>
        <w:widowControl w:val="0"/>
        <w:numPr>
          <w:ilvl w:val="0"/>
          <w:numId w:val="10"/>
        </w:numPr>
        <w:spacing w:after="120"/>
        <w:rPr>
          <w:rFonts w:ascii="Times New Roman" w:hAnsi="Times New Roman"/>
          <w:szCs w:val="24"/>
        </w:rPr>
      </w:pPr>
      <w:r w:rsidRPr="006F308E">
        <w:rPr>
          <w:rFonts w:ascii="Times New Roman" w:hAnsi="Times New Roman"/>
          <w:szCs w:val="24"/>
        </w:rPr>
        <w:t>The implementation of the EU budget in full legality and regularity is crucial for the trust of EU citizens in the proper management of the EU taxpayers’ money. This includes compliance with the rules on conflict of interest</w:t>
      </w:r>
      <w:r>
        <w:rPr>
          <w:rFonts w:ascii="Times New Roman" w:hAnsi="Times New Roman"/>
          <w:szCs w:val="24"/>
        </w:rPr>
        <w:t>s</w:t>
      </w:r>
      <w:r w:rsidRPr="006F308E">
        <w:rPr>
          <w:rFonts w:ascii="Times New Roman" w:hAnsi="Times New Roman"/>
          <w:szCs w:val="24"/>
        </w:rPr>
        <w:t xml:space="preserve"> set out in the Financial Regulation</w:t>
      </w:r>
      <w:r>
        <w:rPr>
          <w:rFonts w:ascii="Times New Roman" w:hAnsi="Times New Roman"/>
          <w:szCs w:val="24"/>
        </w:rPr>
        <w:t>, in the sectorial legislation and, where required (see for instance Article 6 of the Common Provisions Regulation (EU) No 1303/2013), in national legislation.</w:t>
      </w:r>
      <w:r w:rsidRPr="006F308E">
        <w:rPr>
          <w:rFonts w:ascii="Times New Roman" w:hAnsi="Times New Roman"/>
          <w:szCs w:val="24"/>
        </w:rPr>
        <w:t xml:space="preserve"> </w:t>
      </w:r>
    </w:p>
    <w:p w14:paraId="51763D36" w14:textId="1DAD9FEC" w:rsidR="00F567E7" w:rsidRDefault="00F567E7" w:rsidP="00F567E7">
      <w:pPr>
        <w:widowControl w:val="0"/>
        <w:numPr>
          <w:ilvl w:val="0"/>
          <w:numId w:val="10"/>
        </w:numPr>
        <w:spacing w:after="120"/>
        <w:rPr>
          <w:rFonts w:ascii="Times New Roman" w:hAnsi="Times New Roman"/>
          <w:szCs w:val="24"/>
        </w:rPr>
      </w:pPr>
      <w:r w:rsidRPr="006F308E">
        <w:rPr>
          <w:rFonts w:ascii="Times New Roman" w:hAnsi="Times New Roman"/>
          <w:szCs w:val="24"/>
        </w:rPr>
        <w:lastRenderedPageBreak/>
        <w:t>Non-respect of EU rules on conflict of interests</w:t>
      </w:r>
      <w:r>
        <w:rPr>
          <w:rFonts w:ascii="Times New Roman" w:hAnsi="Times New Roman"/>
          <w:szCs w:val="24"/>
        </w:rPr>
        <w:t>,</w:t>
      </w:r>
      <w:r w:rsidRPr="006F308E">
        <w:rPr>
          <w:rFonts w:ascii="Times New Roman" w:hAnsi="Times New Roman"/>
          <w:szCs w:val="24"/>
        </w:rPr>
        <w:t xml:space="preserve"> </w:t>
      </w:r>
      <w:r>
        <w:rPr>
          <w:rFonts w:ascii="Times New Roman" w:hAnsi="Times New Roman"/>
          <w:szCs w:val="24"/>
        </w:rPr>
        <w:t xml:space="preserve">and in particular Article 61 of the Financial Regulation, which is applicable to all management modes, </w:t>
      </w:r>
      <w:r w:rsidRPr="006F308E">
        <w:rPr>
          <w:rFonts w:ascii="Times New Roman" w:hAnsi="Times New Roman"/>
          <w:szCs w:val="24"/>
        </w:rPr>
        <w:t>by a person involved in the implementation of the EU budget</w:t>
      </w:r>
      <w:r>
        <w:rPr>
          <w:rFonts w:ascii="Times New Roman" w:hAnsi="Times New Roman"/>
          <w:szCs w:val="24"/>
        </w:rPr>
        <w:t>,</w:t>
      </w:r>
      <w:r w:rsidRPr="006F308E">
        <w:rPr>
          <w:rFonts w:ascii="Times New Roman" w:hAnsi="Times New Roman"/>
          <w:szCs w:val="24"/>
        </w:rPr>
        <w:t xml:space="preserve"> is an irregularity. </w:t>
      </w:r>
      <w:r>
        <w:rPr>
          <w:rFonts w:ascii="Times New Roman" w:hAnsi="Times New Roman"/>
          <w:szCs w:val="24"/>
        </w:rPr>
        <w:t>Whenever the Commission is made aware or finds situations, which could amount to a conflict of interests under the Financial Regulation, it acts to protect the EU budget. Moreover, t</w:t>
      </w:r>
      <w:r w:rsidRPr="006F308E">
        <w:rPr>
          <w:rFonts w:ascii="Times New Roman" w:hAnsi="Times New Roman"/>
          <w:szCs w:val="24"/>
        </w:rPr>
        <w:t xml:space="preserve">he Commission has zero tolerance for fraud and acts whenever it learns about possible </w:t>
      </w:r>
      <w:r>
        <w:rPr>
          <w:rFonts w:ascii="Times New Roman" w:hAnsi="Times New Roman"/>
          <w:szCs w:val="24"/>
        </w:rPr>
        <w:t xml:space="preserve">fraud </w:t>
      </w:r>
      <w:r w:rsidRPr="006F308E">
        <w:rPr>
          <w:rFonts w:ascii="Times New Roman" w:hAnsi="Times New Roman"/>
          <w:szCs w:val="24"/>
        </w:rPr>
        <w:t>cases. The Commission has the power to interrupt or suspend payments to recipients or to Member States, impose financial corrections and recover EU funds unduly paid.</w:t>
      </w:r>
    </w:p>
    <w:p w14:paraId="40171822" w14:textId="4FCDA67E" w:rsidR="00F567E7" w:rsidRDefault="00F567E7" w:rsidP="00F567E7">
      <w:pPr>
        <w:widowControl w:val="0"/>
        <w:numPr>
          <w:ilvl w:val="0"/>
          <w:numId w:val="10"/>
        </w:numPr>
        <w:spacing w:after="120"/>
        <w:rPr>
          <w:rFonts w:ascii="Times New Roman" w:hAnsi="Times New Roman"/>
          <w:szCs w:val="24"/>
        </w:rPr>
      </w:pPr>
      <w:r>
        <w:rPr>
          <w:rFonts w:ascii="Times New Roman" w:hAnsi="Times New Roman"/>
          <w:szCs w:val="24"/>
        </w:rPr>
        <w:t xml:space="preserve">With respect to shared management, </w:t>
      </w:r>
      <w:r w:rsidRPr="00B74E05">
        <w:rPr>
          <w:rFonts w:ascii="Times New Roman" w:hAnsi="Times New Roman"/>
          <w:szCs w:val="24"/>
        </w:rPr>
        <w:t>Article 61</w:t>
      </w:r>
      <w:r w:rsidRPr="00826430">
        <w:rPr>
          <w:rFonts w:ascii="Times New Roman" w:hAnsi="Times New Roman"/>
          <w:szCs w:val="24"/>
        </w:rPr>
        <w:t xml:space="preserve"> </w:t>
      </w:r>
      <w:r>
        <w:rPr>
          <w:rFonts w:ascii="Times New Roman" w:hAnsi="Times New Roman"/>
          <w:szCs w:val="24"/>
        </w:rPr>
        <w:t>of the Financial Regulation</w:t>
      </w:r>
      <w:r w:rsidRPr="00B74E05">
        <w:rPr>
          <w:rFonts w:ascii="Times New Roman" w:hAnsi="Times New Roman"/>
          <w:szCs w:val="24"/>
        </w:rPr>
        <w:t xml:space="preserve"> </w:t>
      </w:r>
      <w:r>
        <w:rPr>
          <w:rFonts w:ascii="Times New Roman" w:hAnsi="Times New Roman"/>
          <w:szCs w:val="24"/>
        </w:rPr>
        <w:t>entails that appropriate action is taken in the implementation of EU funds</w:t>
      </w:r>
      <w:r w:rsidRPr="00B74E05">
        <w:rPr>
          <w:rFonts w:ascii="Times New Roman" w:hAnsi="Times New Roman"/>
          <w:szCs w:val="24"/>
        </w:rPr>
        <w:t>, including decisions taken at any Member State level on preparation, audit and control</w:t>
      </w:r>
      <w:r>
        <w:rPr>
          <w:rFonts w:ascii="Times New Roman" w:hAnsi="Times New Roman"/>
          <w:szCs w:val="24"/>
        </w:rPr>
        <w:t>, to deal with conflicts of interest</w:t>
      </w:r>
      <w:r w:rsidRPr="00B74E05">
        <w:rPr>
          <w:rFonts w:ascii="Times New Roman" w:hAnsi="Times New Roman"/>
          <w:szCs w:val="24"/>
        </w:rPr>
        <w:t>. National authorities shall ensure appropriate measures are taken to avoid conflict of interests. Non-respect can lead to financial corrections in line with applicable rules.</w:t>
      </w:r>
      <w:r>
        <w:rPr>
          <w:rFonts w:ascii="Times New Roman" w:hAnsi="Times New Roman"/>
          <w:szCs w:val="24"/>
        </w:rPr>
        <w:t xml:space="preserve"> I</w:t>
      </w:r>
      <w:r w:rsidRPr="00B74E05">
        <w:rPr>
          <w:rFonts w:ascii="Times New Roman" w:hAnsi="Times New Roman"/>
          <w:szCs w:val="24"/>
        </w:rPr>
        <w:t xml:space="preserve">n shared management, the functioning of the different funds must be taken into account: the level of Member States’ discretion when implementing the EU budget is different for project-based expenditure (e.g. </w:t>
      </w:r>
      <w:r w:rsidR="006B0F1F" w:rsidRPr="00525F3A">
        <w:rPr>
          <w:rFonts w:ascii="Times New Roman" w:hAnsi="Times New Roman"/>
          <w:szCs w:val="24"/>
        </w:rPr>
        <w:t>European Agricultural Fund for Rural Development</w:t>
      </w:r>
      <w:r w:rsidRPr="00B74E05">
        <w:rPr>
          <w:rFonts w:ascii="Times New Roman" w:hAnsi="Times New Roman"/>
          <w:szCs w:val="24"/>
        </w:rPr>
        <w:t xml:space="preserve">, </w:t>
      </w:r>
      <w:r w:rsidR="006B0F1F" w:rsidRPr="009F0857">
        <w:rPr>
          <w:rFonts w:ascii="Times New Roman" w:hAnsi="Times New Roman"/>
          <w:szCs w:val="24"/>
        </w:rPr>
        <w:t>European Social Fund</w:t>
      </w:r>
      <w:r w:rsidRPr="00B74E05">
        <w:rPr>
          <w:rFonts w:ascii="Times New Roman" w:hAnsi="Times New Roman"/>
          <w:szCs w:val="24"/>
        </w:rPr>
        <w:t xml:space="preserve"> and </w:t>
      </w:r>
      <w:r w:rsidR="006B0F1F" w:rsidRPr="009F0857">
        <w:rPr>
          <w:rFonts w:ascii="Times New Roman" w:hAnsi="Times New Roman"/>
          <w:szCs w:val="24"/>
        </w:rPr>
        <w:t>Eur</w:t>
      </w:r>
      <w:r w:rsidR="006B0F1F">
        <w:rPr>
          <w:rFonts w:ascii="Times New Roman" w:hAnsi="Times New Roman"/>
          <w:szCs w:val="24"/>
        </w:rPr>
        <w:t>opean Regional Development Fund</w:t>
      </w:r>
      <w:r w:rsidRPr="00B74E05">
        <w:rPr>
          <w:rFonts w:ascii="Times New Roman" w:hAnsi="Times New Roman"/>
          <w:szCs w:val="24"/>
        </w:rPr>
        <w:t>)</w:t>
      </w:r>
      <w:r>
        <w:rPr>
          <w:rFonts w:ascii="Times New Roman" w:hAnsi="Times New Roman"/>
          <w:szCs w:val="24"/>
        </w:rPr>
        <w:t>,</w:t>
      </w:r>
      <w:r w:rsidRPr="00B74E05">
        <w:rPr>
          <w:rFonts w:ascii="Times New Roman" w:hAnsi="Times New Roman"/>
          <w:szCs w:val="24"/>
        </w:rPr>
        <w:t xml:space="preserve"> where support is awarded by </w:t>
      </w:r>
      <w:r w:rsidR="006B0F1F">
        <w:rPr>
          <w:rFonts w:ascii="Times New Roman" w:hAnsi="Times New Roman"/>
          <w:szCs w:val="24"/>
        </w:rPr>
        <w:t xml:space="preserve">the </w:t>
      </w:r>
      <w:r w:rsidRPr="00B74E05">
        <w:rPr>
          <w:rFonts w:ascii="Times New Roman" w:hAnsi="Times New Roman"/>
          <w:szCs w:val="24"/>
        </w:rPr>
        <w:t xml:space="preserve">Member States following a selection process </w:t>
      </w:r>
      <w:r>
        <w:rPr>
          <w:rFonts w:ascii="Times New Roman" w:hAnsi="Times New Roman"/>
          <w:szCs w:val="24"/>
        </w:rPr>
        <w:t xml:space="preserve">entailing </w:t>
      </w:r>
      <w:r w:rsidRPr="00B74E05">
        <w:rPr>
          <w:rFonts w:ascii="Times New Roman" w:hAnsi="Times New Roman"/>
          <w:szCs w:val="24"/>
        </w:rPr>
        <w:t>a margin of appreciation/discretion</w:t>
      </w:r>
      <w:r>
        <w:rPr>
          <w:rFonts w:ascii="Times New Roman" w:hAnsi="Times New Roman"/>
          <w:szCs w:val="24"/>
        </w:rPr>
        <w:t>,</w:t>
      </w:r>
      <w:r w:rsidRPr="00B74E05">
        <w:rPr>
          <w:rFonts w:ascii="Times New Roman" w:hAnsi="Times New Roman"/>
          <w:szCs w:val="24"/>
        </w:rPr>
        <w:t xml:space="preserve"> and </w:t>
      </w:r>
      <w:r>
        <w:rPr>
          <w:rFonts w:ascii="Times New Roman" w:hAnsi="Times New Roman"/>
          <w:szCs w:val="24"/>
        </w:rPr>
        <w:t xml:space="preserve">for </w:t>
      </w:r>
      <w:r w:rsidRPr="00B74E05">
        <w:rPr>
          <w:rFonts w:ascii="Times New Roman" w:hAnsi="Times New Roman"/>
          <w:szCs w:val="24"/>
        </w:rPr>
        <w:t xml:space="preserve">entitlement-based expenditure (e.g. </w:t>
      </w:r>
      <w:r w:rsidR="006B0F1F" w:rsidRPr="00525F3A">
        <w:rPr>
          <w:rFonts w:ascii="Times New Roman" w:hAnsi="Times New Roman"/>
          <w:szCs w:val="24"/>
        </w:rPr>
        <w:t>European Agricultural Guarantee Fund</w:t>
      </w:r>
      <w:r w:rsidRPr="00B74E05">
        <w:rPr>
          <w:rFonts w:ascii="Times New Roman" w:hAnsi="Times New Roman"/>
          <w:szCs w:val="24"/>
        </w:rPr>
        <w:t xml:space="preserve"> direct payments), where support is paid by </w:t>
      </w:r>
      <w:r w:rsidR="006B0F1F">
        <w:rPr>
          <w:rFonts w:ascii="Times New Roman" w:hAnsi="Times New Roman"/>
          <w:szCs w:val="24"/>
        </w:rPr>
        <w:t xml:space="preserve">the </w:t>
      </w:r>
      <w:r w:rsidRPr="00B74E05">
        <w:rPr>
          <w:rFonts w:ascii="Times New Roman" w:hAnsi="Times New Roman"/>
          <w:szCs w:val="24"/>
        </w:rPr>
        <w:t xml:space="preserve">Member States </w:t>
      </w:r>
      <w:r>
        <w:rPr>
          <w:rFonts w:ascii="Times New Roman" w:hAnsi="Times New Roman"/>
          <w:szCs w:val="24"/>
        </w:rPr>
        <w:t xml:space="preserve">to all eligible applicants </w:t>
      </w:r>
      <w:r w:rsidRPr="00B74E05">
        <w:rPr>
          <w:rFonts w:ascii="Times New Roman" w:hAnsi="Times New Roman"/>
          <w:szCs w:val="24"/>
        </w:rPr>
        <w:t xml:space="preserve">without </w:t>
      </w:r>
      <w:r>
        <w:rPr>
          <w:rFonts w:ascii="Times New Roman" w:hAnsi="Times New Roman"/>
          <w:szCs w:val="24"/>
        </w:rPr>
        <w:t>a</w:t>
      </w:r>
      <w:r w:rsidRPr="00B74E05">
        <w:rPr>
          <w:rFonts w:ascii="Times New Roman" w:hAnsi="Times New Roman"/>
          <w:szCs w:val="24"/>
        </w:rPr>
        <w:t xml:space="preserve"> selection</w:t>
      </w:r>
      <w:r>
        <w:rPr>
          <w:rFonts w:ascii="Times New Roman" w:hAnsi="Times New Roman"/>
          <w:szCs w:val="24"/>
        </w:rPr>
        <w:t xml:space="preserve"> procedure</w:t>
      </w:r>
      <w:r w:rsidRPr="00B74E05">
        <w:rPr>
          <w:rFonts w:ascii="Times New Roman" w:hAnsi="Times New Roman"/>
          <w:szCs w:val="24"/>
        </w:rPr>
        <w:t xml:space="preserve"> and thus </w:t>
      </w:r>
      <w:r>
        <w:rPr>
          <w:rFonts w:ascii="Times New Roman" w:hAnsi="Times New Roman"/>
          <w:szCs w:val="24"/>
        </w:rPr>
        <w:t>exercising</w:t>
      </w:r>
      <w:r w:rsidRPr="00B74E05">
        <w:rPr>
          <w:rFonts w:ascii="Times New Roman" w:hAnsi="Times New Roman"/>
          <w:szCs w:val="24"/>
        </w:rPr>
        <w:t xml:space="preserve"> a very limited margin of appreciation/discretion, as </w:t>
      </w:r>
      <w:r>
        <w:rPr>
          <w:rFonts w:ascii="Times New Roman" w:hAnsi="Times New Roman"/>
          <w:szCs w:val="24"/>
        </w:rPr>
        <w:t>eligibility</w:t>
      </w:r>
      <w:r w:rsidRPr="00B74E05">
        <w:rPr>
          <w:rFonts w:ascii="Times New Roman" w:hAnsi="Times New Roman"/>
          <w:szCs w:val="24"/>
        </w:rPr>
        <w:t xml:space="preserve"> criteria are set out in EU law.</w:t>
      </w:r>
    </w:p>
    <w:p w14:paraId="5105B02F" w14:textId="2AAA948E" w:rsidR="00F567E7" w:rsidRPr="009F0857" w:rsidRDefault="00F567E7" w:rsidP="00F567E7">
      <w:pPr>
        <w:widowControl w:val="0"/>
        <w:numPr>
          <w:ilvl w:val="0"/>
          <w:numId w:val="10"/>
        </w:numPr>
        <w:spacing w:after="120"/>
        <w:rPr>
          <w:rFonts w:ascii="Times New Roman" w:hAnsi="Times New Roman"/>
          <w:szCs w:val="24"/>
        </w:rPr>
      </w:pPr>
      <w:r w:rsidRPr="009F0857">
        <w:rPr>
          <w:rFonts w:ascii="Times New Roman" w:hAnsi="Times New Roman"/>
          <w:szCs w:val="24"/>
        </w:rPr>
        <w:t xml:space="preserve">On 4 December 2020, the Commission provided the European Parliament with information on the largest recipients of EU funding under programmes co-funded by the European Regional Development Fund (ERDF), the Cohesion Fund (CF) and the European Social Fund (ESF), as provided by </w:t>
      </w:r>
      <w:r w:rsidR="006B0F1F">
        <w:rPr>
          <w:rFonts w:ascii="Times New Roman" w:hAnsi="Times New Roman"/>
          <w:szCs w:val="24"/>
        </w:rPr>
        <w:t xml:space="preserve">the </w:t>
      </w:r>
      <w:r w:rsidRPr="009F0857">
        <w:rPr>
          <w:rFonts w:ascii="Times New Roman" w:hAnsi="Times New Roman"/>
          <w:szCs w:val="24"/>
        </w:rPr>
        <w:t xml:space="preserve">Member States. </w:t>
      </w:r>
      <w:r w:rsidR="006B0F1F">
        <w:rPr>
          <w:rFonts w:ascii="Times New Roman" w:hAnsi="Times New Roman"/>
          <w:szCs w:val="24"/>
        </w:rPr>
        <w:t xml:space="preserve">The </w:t>
      </w:r>
      <w:r w:rsidRPr="009F0857">
        <w:rPr>
          <w:rFonts w:ascii="Times New Roman" w:hAnsi="Times New Roman"/>
          <w:szCs w:val="24"/>
        </w:rPr>
        <w:t>Member States that were not in a position to supply the 50 largest beneficial owners, recipients of ERDF and CF funding, brought several considerations to the Commission’s attention: Managing Authorities do not collect information on beneficial owners of ERDF/CF funds recipients in their information systems, as this information does not fall into the categories of data listed in Annex XII of the Common Provisions Regulation (EU) No 1303/2013</w:t>
      </w:r>
      <w:r>
        <w:rPr>
          <w:rFonts w:ascii="Times New Roman" w:hAnsi="Times New Roman"/>
          <w:szCs w:val="24"/>
        </w:rPr>
        <w:t xml:space="preserve"> </w:t>
      </w:r>
      <w:r w:rsidRPr="009F0857">
        <w:rPr>
          <w:rFonts w:ascii="Times New Roman" w:hAnsi="Times New Roman"/>
          <w:szCs w:val="24"/>
        </w:rPr>
        <w:t>or in Annex III of the Commission Delegated Regulation (EU) No 480/2014.</w:t>
      </w:r>
      <w:r>
        <w:rPr>
          <w:rFonts w:ascii="Times New Roman" w:hAnsi="Times New Roman"/>
          <w:szCs w:val="24"/>
        </w:rPr>
        <w:t xml:space="preserve"> </w:t>
      </w:r>
      <w:r w:rsidRPr="009F0857">
        <w:rPr>
          <w:rFonts w:ascii="Times New Roman" w:hAnsi="Times New Roman"/>
          <w:szCs w:val="24"/>
        </w:rPr>
        <w:t>There have been no payments to Agrofert declared to the Commission for 2020. Each payment request includes a specific disclaimer with regard to this subject</w:t>
      </w:r>
      <w:r>
        <w:rPr>
          <w:rFonts w:ascii="Times New Roman" w:hAnsi="Times New Roman"/>
          <w:szCs w:val="24"/>
        </w:rPr>
        <w:t>. The situation is similar for CAP</w:t>
      </w:r>
      <w:r w:rsidR="00F313C5">
        <w:rPr>
          <w:rFonts w:ascii="Times New Roman" w:hAnsi="Times New Roman"/>
          <w:szCs w:val="24"/>
        </w:rPr>
        <w:t>:</w:t>
      </w:r>
      <w:r>
        <w:rPr>
          <w:rFonts w:ascii="Times New Roman" w:hAnsi="Times New Roman"/>
          <w:szCs w:val="24"/>
        </w:rPr>
        <w:t xml:space="preserve"> the Commission provided the European Parliament with information on the largest beneficiaries of CAP funds. There have been no reimbursements of Rural development Funds for</w:t>
      </w:r>
      <w:r w:rsidRPr="000C1524">
        <w:rPr>
          <w:rFonts w:ascii="Times New Roman" w:hAnsi="Times New Roman"/>
          <w:szCs w:val="24"/>
        </w:rPr>
        <w:t xml:space="preserve"> relevant projects that could be potentially affected by conflict of interests</w:t>
      </w:r>
      <w:r>
        <w:rPr>
          <w:rFonts w:ascii="Times New Roman" w:hAnsi="Times New Roman"/>
          <w:szCs w:val="24"/>
        </w:rPr>
        <w:t>.</w:t>
      </w:r>
    </w:p>
    <w:p w14:paraId="6244E120" w14:textId="797F27AF" w:rsidR="00F567E7" w:rsidRPr="00F1390E" w:rsidRDefault="00F567E7" w:rsidP="00F567E7">
      <w:pPr>
        <w:widowControl w:val="0"/>
        <w:numPr>
          <w:ilvl w:val="0"/>
          <w:numId w:val="10"/>
        </w:numPr>
        <w:spacing w:after="120"/>
        <w:rPr>
          <w:rFonts w:ascii="Times New Roman" w:hAnsi="Times New Roman"/>
          <w:szCs w:val="24"/>
        </w:rPr>
      </w:pPr>
      <w:r w:rsidRPr="00F1390E">
        <w:rPr>
          <w:rFonts w:ascii="Times New Roman" w:hAnsi="Times New Roman"/>
          <w:szCs w:val="24"/>
        </w:rPr>
        <w:t xml:space="preserve">For the type of information which has to be collected and stored by </w:t>
      </w:r>
      <w:r w:rsidR="00F313C5">
        <w:rPr>
          <w:rFonts w:ascii="Times New Roman" w:hAnsi="Times New Roman"/>
          <w:szCs w:val="24"/>
        </w:rPr>
        <w:t xml:space="preserve">the </w:t>
      </w:r>
      <w:r w:rsidRPr="00F1390E">
        <w:rPr>
          <w:rFonts w:ascii="Times New Roman" w:hAnsi="Times New Roman"/>
          <w:szCs w:val="24"/>
        </w:rPr>
        <w:t>Member States, including beneficial ownership data, important progress was achieved in the legislative framework</w:t>
      </w:r>
      <w:r>
        <w:rPr>
          <w:rFonts w:ascii="Times New Roman" w:hAnsi="Times New Roman"/>
          <w:szCs w:val="24"/>
        </w:rPr>
        <w:t xml:space="preserve"> for implementing the MFF</w:t>
      </w:r>
      <w:r w:rsidR="00F313C5">
        <w:rPr>
          <w:rFonts w:ascii="Times New Roman" w:hAnsi="Times New Roman"/>
          <w:szCs w:val="24"/>
        </w:rPr>
        <w:t xml:space="preserve"> (</w:t>
      </w:r>
      <w:r w:rsidR="00F313C5" w:rsidRPr="00F313C5">
        <w:rPr>
          <w:rFonts w:ascii="Times New Roman" w:hAnsi="Times New Roman"/>
          <w:szCs w:val="24"/>
        </w:rPr>
        <w:t>multiannual financial framework</w:t>
      </w:r>
      <w:r w:rsidR="00F313C5">
        <w:rPr>
          <w:rFonts w:ascii="Times New Roman" w:hAnsi="Times New Roman"/>
          <w:szCs w:val="24"/>
        </w:rPr>
        <w:t>)</w:t>
      </w:r>
      <w:r>
        <w:rPr>
          <w:rFonts w:ascii="Times New Roman" w:hAnsi="Times New Roman"/>
          <w:szCs w:val="24"/>
        </w:rPr>
        <w:t xml:space="preserve"> 2021-2027</w:t>
      </w:r>
      <w:r w:rsidRPr="00F1390E">
        <w:rPr>
          <w:rFonts w:ascii="Times New Roman" w:hAnsi="Times New Roman"/>
          <w:szCs w:val="24"/>
        </w:rPr>
        <w:t xml:space="preserve">. This concerns the </w:t>
      </w:r>
      <w:r>
        <w:rPr>
          <w:rFonts w:ascii="Times New Roman" w:hAnsi="Times New Roman"/>
          <w:szCs w:val="24"/>
        </w:rPr>
        <w:t xml:space="preserve">2021 </w:t>
      </w:r>
      <w:r w:rsidRPr="00F1390E">
        <w:rPr>
          <w:rFonts w:ascii="Times New Roman" w:hAnsi="Times New Roman"/>
          <w:szCs w:val="24"/>
        </w:rPr>
        <w:t>Common Provisions Regulation, the Europea</w:t>
      </w:r>
      <w:r>
        <w:rPr>
          <w:rFonts w:ascii="Times New Roman" w:hAnsi="Times New Roman"/>
          <w:szCs w:val="24"/>
        </w:rPr>
        <w:t xml:space="preserve">n Globalisation Adjustment Fund, </w:t>
      </w:r>
      <w:r w:rsidRPr="00F1390E">
        <w:rPr>
          <w:rFonts w:ascii="Times New Roman" w:hAnsi="Times New Roman"/>
          <w:szCs w:val="24"/>
        </w:rPr>
        <w:t>the Recovery and Resilience Facility</w:t>
      </w:r>
      <w:r>
        <w:rPr>
          <w:rFonts w:ascii="Times New Roman" w:hAnsi="Times New Roman"/>
          <w:szCs w:val="24"/>
        </w:rPr>
        <w:t xml:space="preserve">, </w:t>
      </w:r>
      <w:r w:rsidRPr="00F1390E">
        <w:rPr>
          <w:rFonts w:ascii="Times New Roman" w:hAnsi="Times New Roman"/>
          <w:szCs w:val="24"/>
        </w:rPr>
        <w:t>the Common Agricultural Policy and the Brexit Adjustment Reserve. Member States will have to collect and store this data for control and audit purposes, which should allow for strengthening controls and audits.</w:t>
      </w:r>
      <w:r>
        <w:rPr>
          <w:rFonts w:ascii="Times New Roman" w:hAnsi="Times New Roman"/>
          <w:szCs w:val="24"/>
        </w:rPr>
        <w:t xml:space="preserve"> In addition, for CAP, it was agreed that the beneficiaries will have to inform to which group they belong to, if the case, at the moment of requesting the aid and that this information will be made public along with the information of the payments to beneficiary.</w:t>
      </w:r>
    </w:p>
    <w:p w14:paraId="077D719A" w14:textId="6EACC4A4" w:rsidR="00F567E7" w:rsidRPr="00F1390E" w:rsidRDefault="00F567E7" w:rsidP="00F567E7">
      <w:pPr>
        <w:widowControl w:val="0"/>
        <w:numPr>
          <w:ilvl w:val="0"/>
          <w:numId w:val="10"/>
        </w:numPr>
        <w:spacing w:after="120"/>
        <w:rPr>
          <w:rFonts w:ascii="Times New Roman" w:hAnsi="Times New Roman"/>
          <w:szCs w:val="24"/>
        </w:rPr>
      </w:pPr>
      <w:r w:rsidRPr="00F1390E">
        <w:rPr>
          <w:rFonts w:ascii="Times New Roman" w:hAnsi="Times New Roman"/>
          <w:szCs w:val="24"/>
        </w:rPr>
        <w:lastRenderedPageBreak/>
        <w:t xml:space="preserve">The Commission had also proposed the mandatory use, by </w:t>
      </w:r>
      <w:r w:rsidR="00F313C5">
        <w:rPr>
          <w:rFonts w:ascii="Times New Roman" w:hAnsi="Times New Roman"/>
          <w:szCs w:val="24"/>
        </w:rPr>
        <w:t xml:space="preserve">the </w:t>
      </w:r>
      <w:r w:rsidRPr="00F1390E">
        <w:rPr>
          <w:rFonts w:ascii="Times New Roman" w:hAnsi="Times New Roman"/>
          <w:szCs w:val="24"/>
        </w:rPr>
        <w:t>Member States, of a single data-mining and risk-scoring tool that the Commission would provide.</w:t>
      </w:r>
    </w:p>
    <w:p w14:paraId="727BE6C7" w14:textId="19823189" w:rsidR="00F567E7" w:rsidRPr="0048612D" w:rsidRDefault="00F567E7" w:rsidP="00F567E7">
      <w:pPr>
        <w:numPr>
          <w:ilvl w:val="0"/>
          <w:numId w:val="10"/>
        </w:numPr>
        <w:spacing w:after="120"/>
        <w:rPr>
          <w:rFonts w:ascii="Times New Roman" w:hAnsi="Times New Roman"/>
          <w:szCs w:val="24"/>
        </w:rPr>
      </w:pPr>
      <w:r w:rsidRPr="00F1390E">
        <w:rPr>
          <w:rFonts w:ascii="Times New Roman" w:hAnsi="Times New Roman"/>
          <w:szCs w:val="24"/>
        </w:rPr>
        <w:t xml:space="preserve">The legislation as </w:t>
      </w:r>
      <w:r>
        <w:rPr>
          <w:rFonts w:ascii="Times New Roman" w:hAnsi="Times New Roman"/>
          <w:szCs w:val="24"/>
        </w:rPr>
        <w:t xml:space="preserve">adopted </w:t>
      </w:r>
      <w:r w:rsidRPr="00F1390E">
        <w:rPr>
          <w:rFonts w:ascii="Times New Roman" w:hAnsi="Times New Roman"/>
          <w:szCs w:val="24"/>
        </w:rPr>
        <w:t xml:space="preserve">does not make the use by </w:t>
      </w:r>
      <w:r w:rsidR="00F313C5">
        <w:rPr>
          <w:rFonts w:ascii="Times New Roman" w:hAnsi="Times New Roman"/>
          <w:szCs w:val="24"/>
        </w:rPr>
        <w:t xml:space="preserve">the </w:t>
      </w:r>
      <w:r w:rsidRPr="00F1390E">
        <w:rPr>
          <w:rFonts w:ascii="Times New Roman" w:hAnsi="Times New Roman"/>
          <w:szCs w:val="24"/>
        </w:rPr>
        <w:t xml:space="preserve">Member States of a single data-mining and risk-scoring tool obligatory. </w:t>
      </w:r>
      <w:r>
        <w:rPr>
          <w:rFonts w:ascii="Times New Roman" w:hAnsi="Times New Roman"/>
          <w:szCs w:val="24"/>
        </w:rPr>
        <w:t>The Commission made a number of statements</w:t>
      </w:r>
      <w:r>
        <w:rPr>
          <w:rStyle w:val="FootnoteReference"/>
          <w:rFonts w:ascii="Times New Roman" w:hAnsi="Times New Roman"/>
          <w:szCs w:val="24"/>
        </w:rPr>
        <w:footnoteReference w:id="1"/>
      </w:r>
      <w:r>
        <w:rPr>
          <w:rFonts w:ascii="Times New Roman" w:hAnsi="Times New Roman"/>
          <w:szCs w:val="24"/>
        </w:rPr>
        <w:t xml:space="preserve"> considering that this outcome </w:t>
      </w:r>
      <w:r w:rsidRPr="0048612D">
        <w:rPr>
          <w:rFonts w:ascii="Times New Roman" w:hAnsi="Times New Roman"/>
          <w:szCs w:val="24"/>
        </w:rPr>
        <w:t xml:space="preserve">is not sufficient to enhance the protection of the Union budget and NextGenerationEU against fraud and irregularities and to ensure efficient checks on conflicts of interests, irregularities, issues of double funding, and criminal misuse of the funds. The Commission will do its best to encourage </w:t>
      </w:r>
      <w:r w:rsidR="00F313C5">
        <w:rPr>
          <w:rFonts w:ascii="Times New Roman" w:hAnsi="Times New Roman"/>
          <w:szCs w:val="24"/>
        </w:rPr>
        <w:t xml:space="preserve">the </w:t>
      </w:r>
      <w:r w:rsidRPr="0048612D">
        <w:rPr>
          <w:rFonts w:ascii="Times New Roman" w:hAnsi="Times New Roman"/>
          <w:szCs w:val="24"/>
        </w:rPr>
        <w:t xml:space="preserve">Member States to use a single date-mining and risk-scoring tool. </w:t>
      </w:r>
      <w:r>
        <w:rPr>
          <w:rFonts w:ascii="Times New Roman" w:hAnsi="Times New Roman"/>
          <w:szCs w:val="24"/>
        </w:rPr>
        <w:t xml:space="preserve">For CAP, a revision clause was agreed by the co-legislators, with a report by the Commission on the use by the Member States and the interoperability of the tool (see also paragraph 10 below). </w:t>
      </w:r>
      <w:r w:rsidRPr="0048612D">
        <w:rPr>
          <w:rFonts w:ascii="Times New Roman" w:hAnsi="Times New Roman"/>
          <w:szCs w:val="24"/>
        </w:rPr>
        <w:t>The Commission is also reflecting on further actions to enhance the quality and interoperability of data on beneficiaries and final r</w:t>
      </w:r>
      <w:r w:rsidR="00F313C5">
        <w:rPr>
          <w:rFonts w:ascii="Times New Roman" w:hAnsi="Times New Roman"/>
          <w:szCs w:val="24"/>
        </w:rPr>
        <w:t>ecipients of EU funding.</w:t>
      </w:r>
    </w:p>
    <w:p w14:paraId="16514539" w14:textId="77777777" w:rsidR="00F567E7" w:rsidRPr="0014507B" w:rsidRDefault="00F567E7" w:rsidP="00F567E7">
      <w:pPr>
        <w:spacing w:after="120"/>
        <w:rPr>
          <w:rFonts w:ascii="Times New Roman" w:hAnsi="Times New Roman"/>
          <w:b/>
          <w:szCs w:val="24"/>
        </w:rPr>
      </w:pPr>
      <w:r w:rsidRPr="0014507B">
        <w:rPr>
          <w:rFonts w:ascii="Times New Roman" w:hAnsi="Times New Roman"/>
          <w:b/>
          <w:szCs w:val="24"/>
        </w:rPr>
        <w:t xml:space="preserve">Response to paragraphs 36 and 44 </w:t>
      </w:r>
    </w:p>
    <w:p w14:paraId="46D968F5" w14:textId="21FF3254" w:rsidR="00F567E7" w:rsidRDefault="00F567E7" w:rsidP="00F567E7">
      <w:pPr>
        <w:widowControl w:val="0"/>
        <w:numPr>
          <w:ilvl w:val="0"/>
          <w:numId w:val="10"/>
        </w:numPr>
        <w:spacing w:after="120"/>
        <w:rPr>
          <w:rFonts w:ascii="Times New Roman" w:hAnsi="Times New Roman"/>
          <w:szCs w:val="24"/>
        </w:rPr>
      </w:pPr>
      <w:r w:rsidRPr="0048612D">
        <w:rPr>
          <w:rFonts w:ascii="Times New Roman" w:hAnsi="Times New Roman"/>
          <w:szCs w:val="24"/>
        </w:rPr>
        <w:t xml:space="preserve">In its proposals for the CAP 2021-2027, the </w:t>
      </w:r>
      <w:r w:rsidRPr="00BD0231">
        <w:rPr>
          <w:rFonts w:ascii="Times New Roman" w:hAnsi="Times New Roman"/>
          <w:szCs w:val="24"/>
        </w:rPr>
        <w:t>Commission proposed compulsory capping of direct payments. However, the legislator has turned this into a voluntary measure</w:t>
      </w:r>
      <w:r w:rsidRPr="001A13DD">
        <w:rPr>
          <w:rFonts w:ascii="Times New Roman" w:hAnsi="Times New Roman"/>
          <w:szCs w:val="24"/>
        </w:rPr>
        <w:t>.</w:t>
      </w:r>
    </w:p>
    <w:p w14:paraId="1D9C6343" w14:textId="607701D3" w:rsidR="00F567E7" w:rsidRDefault="00F567E7" w:rsidP="00F567E7">
      <w:pPr>
        <w:widowControl w:val="0"/>
        <w:numPr>
          <w:ilvl w:val="0"/>
          <w:numId w:val="10"/>
        </w:numPr>
        <w:spacing w:after="120"/>
        <w:rPr>
          <w:rFonts w:ascii="Times New Roman" w:hAnsi="Times New Roman"/>
          <w:szCs w:val="24"/>
        </w:rPr>
      </w:pPr>
      <w:r w:rsidRPr="00793491">
        <w:rPr>
          <w:rFonts w:ascii="Times New Roman" w:hAnsi="Times New Roman"/>
          <w:szCs w:val="24"/>
        </w:rPr>
        <w:t>In points 30 to 33</w:t>
      </w:r>
      <w:r>
        <w:rPr>
          <w:rFonts w:ascii="Times New Roman" w:hAnsi="Times New Roman"/>
          <w:szCs w:val="24"/>
        </w:rPr>
        <w:t xml:space="preserve"> of</w:t>
      </w:r>
      <w:r w:rsidRPr="00793491">
        <w:rPr>
          <w:rFonts w:ascii="Times New Roman" w:hAnsi="Times New Roman"/>
          <w:szCs w:val="24"/>
        </w:rPr>
        <w:t xml:space="preserve"> the Inter-institutional Agreement between the European Parliament, the Council and the Commission on budgetary </w:t>
      </w:r>
      <w:r>
        <w:rPr>
          <w:rFonts w:ascii="Times New Roman" w:hAnsi="Times New Roman"/>
          <w:szCs w:val="24"/>
        </w:rPr>
        <w:t>matters (</w:t>
      </w:r>
      <w:r w:rsidRPr="00A93743">
        <w:rPr>
          <w:rFonts w:ascii="Times New Roman" w:hAnsi="Times New Roman"/>
          <w:szCs w:val="24"/>
        </w:rPr>
        <w:t>OJ L 433I, 22.12.2020, p. 28–46</w:t>
      </w:r>
      <w:r>
        <w:rPr>
          <w:rFonts w:ascii="Times New Roman" w:hAnsi="Times New Roman"/>
          <w:szCs w:val="24"/>
        </w:rPr>
        <w:t>)</w:t>
      </w:r>
      <w:r w:rsidRPr="00793491">
        <w:rPr>
          <w:rFonts w:ascii="Times New Roman" w:hAnsi="Times New Roman"/>
          <w:szCs w:val="24"/>
        </w:rPr>
        <w:t xml:space="preserve">, the three institutions </w:t>
      </w:r>
      <w:r>
        <w:rPr>
          <w:rFonts w:ascii="Times New Roman" w:hAnsi="Times New Roman"/>
          <w:szCs w:val="24"/>
        </w:rPr>
        <w:t xml:space="preserve">agreed </w:t>
      </w:r>
      <w:r w:rsidRPr="00793491">
        <w:rPr>
          <w:rFonts w:ascii="Times New Roman" w:hAnsi="Times New Roman"/>
          <w:szCs w:val="24"/>
        </w:rPr>
        <w:t>that collecting “data on those ultimately benefitting, directly or indirectly, from Union funding under shared management (…), including data on beneficial owners of the recipients of the funding, is necessary to ensure effective controls and audits” (point 31). Moreover, the Commission is required to “make available an integrated and interoperable information and monitoring system, including a single data-mining and risk-scoring tool, to access and analyse the data referred to in point 31 with a view to a generalised application by Member States” (point 32).</w:t>
      </w:r>
      <w:r w:rsidRPr="00463DFE">
        <w:t xml:space="preserve"> </w:t>
      </w:r>
      <w:r>
        <w:rPr>
          <w:rFonts w:ascii="Times New Roman" w:hAnsi="Times New Roman"/>
          <w:szCs w:val="24"/>
        </w:rPr>
        <w:t>The Commission</w:t>
      </w:r>
      <w:r w:rsidRPr="00463DFE">
        <w:rPr>
          <w:rFonts w:ascii="Times New Roman" w:hAnsi="Times New Roman"/>
          <w:szCs w:val="24"/>
        </w:rPr>
        <w:t xml:space="preserve"> </w:t>
      </w:r>
      <w:r>
        <w:rPr>
          <w:rFonts w:ascii="Times New Roman" w:hAnsi="Times New Roman"/>
          <w:szCs w:val="24"/>
        </w:rPr>
        <w:t xml:space="preserve">continues to </w:t>
      </w:r>
      <w:r w:rsidRPr="00463DFE">
        <w:rPr>
          <w:rFonts w:ascii="Times New Roman" w:hAnsi="Times New Roman"/>
          <w:szCs w:val="24"/>
        </w:rPr>
        <w:t xml:space="preserve">investigate possible actions to </w:t>
      </w:r>
      <w:r>
        <w:rPr>
          <w:rFonts w:ascii="Times New Roman" w:hAnsi="Times New Roman"/>
          <w:szCs w:val="24"/>
        </w:rPr>
        <w:t>fully reflect</w:t>
      </w:r>
      <w:r w:rsidRPr="00616F2D">
        <w:rPr>
          <w:rFonts w:ascii="Times New Roman" w:hAnsi="Times New Roman"/>
          <w:szCs w:val="24"/>
        </w:rPr>
        <w:t xml:space="preserve"> the desired ambition and spirit </w:t>
      </w:r>
      <w:r>
        <w:rPr>
          <w:rFonts w:ascii="Times New Roman" w:hAnsi="Times New Roman"/>
          <w:szCs w:val="24"/>
        </w:rPr>
        <w:t xml:space="preserve">of </w:t>
      </w:r>
      <w:r w:rsidRPr="00463DFE">
        <w:rPr>
          <w:rFonts w:ascii="Times New Roman" w:hAnsi="Times New Roman"/>
          <w:szCs w:val="24"/>
        </w:rPr>
        <w:t>the</w:t>
      </w:r>
      <w:r>
        <w:rPr>
          <w:rFonts w:ascii="Times New Roman" w:hAnsi="Times New Roman"/>
          <w:szCs w:val="24"/>
        </w:rPr>
        <w:t xml:space="preserve"> Inter-institutional Agreement.</w:t>
      </w:r>
    </w:p>
    <w:p w14:paraId="1398B62B" w14:textId="27F0841D" w:rsidR="00F567E7" w:rsidRPr="00793491" w:rsidRDefault="00F567E7" w:rsidP="00F567E7">
      <w:pPr>
        <w:widowControl w:val="0"/>
        <w:numPr>
          <w:ilvl w:val="0"/>
          <w:numId w:val="10"/>
        </w:numPr>
        <w:spacing w:after="120"/>
        <w:rPr>
          <w:rFonts w:ascii="Times New Roman" w:hAnsi="Times New Roman"/>
          <w:szCs w:val="24"/>
        </w:rPr>
      </w:pPr>
      <w:r w:rsidRPr="00793491">
        <w:rPr>
          <w:rFonts w:ascii="Times New Roman" w:hAnsi="Times New Roman"/>
          <w:szCs w:val="24"/>
        </w:rPr>
        <w:t xml:space="preserve">For the CAP there will be an obligation for the Commission to provide </w:t>
      </w:r>
      <w:r>
        <w:rPr>
          <w:rFonts w:ascii="Times New Roman" w:hAnsi="Times New Roman"/>
          <w:szCs w:val="24"/>
        </w:rPr>
        <w:t>such</w:t>
      </w:r>
      <w:r w:rsidRPr="00793491">
        <w:rPr>
          <w:rFonts w:ascii="Times New Roman" w:hAnsi="Times New Roman"/>
          <w:szCs w:val="24"/>
        </w:rPr>
        <w:t xml:space="preserve"> </w:t>
      </w:r>
      <w:r>
        <w:rPr>
          <w:rFonts w:ascii="Times New Roman" w:hAnsi="Times New Roman"/>
          <w:szCs w:val="24"/>
        </w:rPr>
        <w:t xml:space="preserve">a </w:t>
      </w:r>
      <w:r w:rsidRPr="00793491">
        <w:rPr>
          <w:rFonts w:ascii="Times New Roman" w:hAnsi="Times New Roman"/>
          <w:szCs w:val="24"/>
        </w:rPr>
        <w:t xml:space="preserve">tool to the Member States </w:t>
      </w:r>
      <w:r>
        <w:rPr>
          <w:rFonts w:ascii="Times New Roman" w:hAnsi="Times New Roman"/>
          <w:szCs w:val="24"/>
        </w:rPr>
        <w:t>at the latest in 2023</w:t>
      </w:r>
      <w:r w:rsidRPr="00793491">
        <w:rPr>
          <w:rFonts w:ascii="Times New Roman" w:hAnsi="Times New Roman"/>
          <w:szCs w:val="24"/>
        </w:rPr>
        <w:t>. There will be an obligation for the Commission to do a report</w:t>
      </w:r>
      <w:r>
        <w:rPr>
          <w:rFonts w:ascii="Times New Roman" w:hAnsi="Times New Roman"/>
          <w:szCs w:val="24"/>
        </w:rPr>
        <w:t xml:space="preserve"> at the latest</w:t>
      </w:r>
      <w:r w:rsidRPr="00793491">
        <w:rPr>
          <w:rFonts w:ascii="Times New Roman" w:hAnsi="Times New Roman"/>
          <w:szCs w:val="24"/>
        </w:rPr>
        <w:t xml:space="preserve"> in 2025, assessing the use of the single data-mining tool and its interoperability with a review clause with possible legislative proposals. Furthermore, there will also be an obligation for </w:t>
      </w:r>
      <w:r w:rsidR="00F313C5">
        <w:rPr>
          <w:rFonts w:ascii="Times New Roman" w:hAnsi="Times New Roman"/>
          <w:szCs w:val="24"/>
        </w:rPr>
        <w:t xml:space="preserve">the </w:t>
      </w:r>
      <w:r w:rsidRPr="00793491">
        <w:rPr>
          <w:rFonts w:ascii="Times New Roman" w:hAnsi="Times New Roman"/>
          <w:szCs w:val="24"/>
        </w:rPr>
        <w:t>Member States to collect the information about the group a beneficiary is a member of and to publish this information in line with the transparency requi</w:t>
      </w:r>
      <w:r w:rsidR="00F313C5">
        <w:rPr>
          <w:rFonts w:ascii="Times New Roman" w:hAnsi="Times New Roman"/>
          <w:szCs w:val="24"/>
        </w:rPr>
        <w:t>rements in the CAP legislation.</w:t>
      </w:r>
    </w:p>
    <w:p w14:paraId="64914545" w14:textId="77777777" w:rsidR="00F567E7" w:rsidRDefault="00F567E7" w:rsidP="00F567E7">
      <w:pPr>
        <w:widowControl w:val="0"/>
        <w:numPr>
          <w:ilvl w:val="0"/>
          <w:numId w:val="10"/>
        </w:numPr>
        <w:spacing w:after="120"/>
        <w:rPr>
          <w:rFonts w:ascii="Times New Roman" w:hAnsi="Times New Roman"/>
          <w:szCs w:val="24"/>
        </w:rPr>
      </w:pPr>
      <w:r w:rsidRPr="00525F3A">
        <w:rPr>
          <w:rFonts w:ascii="Times New Roman" w:hAnsi="Times New Roman"/>
          <w:szCs w:val="24"/>
        </w:rPr>
        <w:t xml:space="preserve">As explained in the Commission proposal laying down certain transitional provisions for the support by the European Agricultural Fund for Rural Development (EAFRD) and by the European Agricultural Guarantee Fund (EAGF) in the year 2021, with respect to farm income, both the level and the distribution of support matter. Securing an adequate level of support and thus farm income remains a key element for the future, in order to ensure food security, environmental and climate ambition, as well as rural vitality. Better targeting of support to small and medium sized farms and areas with natural constraints can help keeping more jobs on farms and farming activity on the whole territory, hence strengthening the socio-economic fabric of rural areas. Capping and convergence can </w:t>
      </w:r>
      <w:r>
        <w:rPr>
          <w:rFonts w:ascii="Times New Roman" w:hAnsi="Times New Roman"/>
          <w:szCs w:val="24"/>
        </w:rPr>
        <w:t xml:space="preserve">also </w:t>
      </w:r>
      <w:r w:rsidRPr="00525F3A">
        <w:rPr>
          <w:rFonts w:ascii="Times New Roman" w:hAnsi="Times New Roman"/>
          <w:szCs w:val="24"/>
        </w:rPr>
        <w:t>improve the distribution of direct payments.</w:t>
      </w:r>
    </w:p>
    <w:p w14:paraId="341B4401" w14:textId="0D89371D" w:rsidR="00F567E7" w:rsidRDefault="00F567E7" w:rsidP="00F567E7">
      <w:pPr>
        <w:widowControl w:val="0"/>
        <w:numPr>
          <w:ilvl w:val="0"/>
          <w:numId w:val="10"/>
        </w:numPr>
        <w:spacing w:after="120"/>
        <w:rPr>
          <w:rFonts w:ascii="Times New Roman" w:hAnsi="Times New Roman"/>
          <w:szCs w:val="24"/>
        </w:rPr>
      </w:pPr>
      <w:r>
        <w:rPr>
          <w:rFonts w:ascii="Times New Roman" w:hAnsi="Times New Roman"/>
          <w:szCs w:val="24"/>
        </w:rPr>
        <w:lastRenderedPageBreak/>
        <w:t>When assessing the Recovery and Resilience Plans, the Commission is evaluating the internal control systems of the Member States for the management of the facility and the protection of the financial interests of the Union allowing to prevent, detect and correct conflict of interests, fraud,</w:t>
      </w:r>
      <w:r w:rsidR="00F313C5">
        <w:rPr>
          <w:rFonts w:ascii="Times New Roman" w:hAnsi="Times New Roman"/>
          <w:szCs w:val="24"/>
        </w:rPr>
        <w:t xml:space="preserve"> corruption and double-funding.</w:t>
      </w:r>
    </w:p>
    <w:p w14:paraId="150CAF56" w14:textId="37F018AC" w:rsidR="00F567E7" w:rsidRPr="007E3A63" w:rsidRDefault="00F567E7" w:rsidP="00F567E7">
      <w:pPr>
        <w:widowControl w:val="0"/>
        <w:numPr>
          <w:ilvl w:val="0"/>
          <w:numId w:val="10"/>
        </w:numPr>
        <w:spacing w:after="120"/>
        <w:rPr>
          <w:rFonts w:ascii="Times New Roman" w:hAnsi="Times New Roman"/>
          <w:szCs w:val="24"/>
        </w:rPr>
      </w:pPr>
      <w:r w:rsidRPr="007E3A63">
        <w:rPr>
          <w:rFonts w:ascii="Times New Roman" w:hAnsi="Times New Roman"/>
          <w:szCs w:val="24"/>
        </w:rPr>
        <w:t xml:space="preserve"> During </w:t>
      </w:r>
      <w:r>
        <w:rPr>
          <w:rFonts w:ascii="Times New Roman" w:hAnsi="Times New Roman"/>
          <w:szCs w:val="24"/>
        </w:rPr>
        <w:t xml:space="preserve">the </w:t>
      </w:r>
      <w:r w:rsidRPr="007E3A63">
        <w:rPr>
          <w:rFonts w:ascii="Times New Roman" w:hAnsi="Times New Roman"/>
          <w:szCs w:val="24"/>
        </w:rPr>
        <w:t xml:space="preserve">implementation of the Facility, </w:t>
      </w:r>
      <w:r w:rsidR="00F313C5">
        <w:rPr>
          <w:rFonts w:ascii="Times New Roman" w:hAnsi="Times New Roman"/>
          <w:szCs w:val="24"/>
        </w:rPr>
        <w:t xml:space="preserve">the </w:t>
      </w:r>
      <w:r w:rsidRPr="007E3A63">
        <w:rPr>
          <w:rFonts w:ascii="Times New Roman" w:hAnsi="Times New Roman"/>
          <w:szCs w:val="24"/>
        </w:rPr>
        <w:t>Member States must ensure sound financial management and recover amounts unduly spent. For the purpose of audit and control,</w:t>
      </w:r>
      <w:r w:rsidR="00F313C5">
        <w:rPr>
          <w:rFonts w:ascii="Times New Roman" w:hAnsi="Times New Roman"/>
          <w:szCs w:val="24"/>
        </w:rPr>
        <w:t xml:space="preserve"> the</w:t>
      </w:r>
      <w:r w:rsidRPr="007E3A63">
        <w:rPr>
          <w:rFonts w:ascii="Times New Roman" w:hAnsi="Times New Roman"/>
          <w:szCs w:val="24"/>
        </w:rPr>
        <w:t xml:space="preserve"> Member States are required to collect data on the recipients ultimately benefiting, directly or indirectly, from support under the Facility. The Commission, </w:t>
      </w:r>
      <w:r w:rsidR="00F313C5">
        <w:rPr>
          <w:rFonts w:ascii="Times New Roman" w:hAnsi="Times New Roman"/>
          <w:szCs w:val="24"/>
        </w:rPr>
        <w:t xml:space="preserve">the </w:t>
      </w:r>
      <w:r w:rsidR="00F313C5" w:rsidRPr="00F313C5">
        <w:rPr>
          <w:rFonts w:ascii="Times New Roman" w:hAnsi="Times New Roman"/>
          <w:szCs w:val="24"/>
        </w:rPr>
        <w:t xml:space="preserve">European Anti-Fraud Office </w:t>
      </w:r>
      <w:r w:rsidR="00F313C5">
        <w:rPr>
          <w:rFonts w:ascii="Times New Roman" w:hAnsi="Times New Roman"/>
          <w:szCs w:val="24"/>
        </w:rPr>
        <w:t>(</w:t>
      </w:r>
      <w:r w:rsidRPr="007E3A63">
        <w:rPr>
          <w:rFonts w:ascii="Times New Roman" w:hAnsi="Times New Roman"/>
          <w:szCs w:val="24"/>
        </w:rPr>
        <w:t>OLAF</w:t>
      </w:r>
      <w:r w:rsidR="00F313C5">
        <w:rPr>
          <w:rFonts w:ascii="Times New Roman" w:hAnsi="Times New Roman"/>
          <w:szCs w:val="24"/>
        </w:rPr>
        <w:t>)</w:t>
      </w:r>
      <w:r w:rsidRPr="007E3A63">
        <w:rPr>
          <w:rFonts w:ascii="Times New Roman" w:hAnsi="Times New Roman"/>
          <w:szCs w:val="24"/>
        </w:rPr>
        <w:t xml:space="preserve">, </w:t>
      </w:r>
      <w:r w:rsidR="00F313C5" w:rsidRPr="00F313C5">
        <w:rPr>
          <w:rFonts w:ascii="Times New Roman" w:hAnsi="Times New Roman"/>
          <w:szCs w:val="24"/>
        </w:rPr>
        <w:t xml:space="preserve">the European Public Prosecutor’s Office </w:t>
      </w:r>
      <w:r w:rsidR="00F313C5">
        <w:rPr>
          <w:rFonts w:ascii="Times New Roman" w:hAnsi="Times New Roman"/>
          <w:szCs w:val="24"/>
        </w:rPr>
        <w:t>(</w:t>
      </w:r>
      <w:r w:rsidRPr="007E3A63">
        <w:rPr>
          <w:rFonts w:ascii="Times New Roman" w:hAnsi="Times New Roman"/>
          <w:szCs w:val="24"/>
        </w:rPr>
        <w:t>EPPO</w:t>
      </w:r>
      <w:r w:rsidR="00F313C5">
        <w:rPr>
          <w:rFonts w:ascii="Times New Roman" w:hAnsi="Times New Roman"/>
          <w:szCs w:val="24"/>
        </w:rPr>
        <w:t>)</w:t>
      </w:r>
      <w:r>
        <w:rPr>
          <w:rFonts w:ascii="Times New Roman" w:hAnsi="Times New Roman"/>
          <w:szCs w:val="24"/>
        </w:rPr>
        <w:t xml:space="preserve"> (where applicable)</w:t>
      </w:r>
      <w:r w:rsidRPr="007E3A63">
        <w:rPr>
          <w:rFonts w:ascii="Times New Roman" w:hAnsi="Times New Roman"/>
          <w:szCs w:val="24"/>
        </w:rPr>
        <w:t xml:space="preserve">, </w:t>
      </w:r>
      <w:r w:rsidR="00062B59">
        <w:rPr>
          <w:rFonts w:ascii="Times New Roman" w:hAnsi="Times New Roman"/>
          <w:szCs w:val="24"/>
        </w:rPr>
        <w:t>the European Court of Auditors (</w:t>
      </w:r>
      <w:r w:rsidRPr="007E3A63">
        <w:rPr>
          <w:rFonts w:ascii="Times New Roman" w:hAnsi="Times New Roman"/>
          <w:szCs w:val="24"/>
        </w:rPr>
        <w:t>ECA</w:t>
      </w:r>
      <w:r w:rsidR="00062B59">
        <w:rPr>
          <w:rFonts w:ascii="Times New Roman" w:hAnsi="Times New Roman"/>
          <w:szCs w:val="24"/>
        </w:rPr>
        <w:t>)</w:t>
      </w:r>
      <w:r w:rsidRPr="007E3A63">
        <w:rPr>
          <w:rFonts w:ascii="Times New Roman" w:hAnsi="Times New Roman"/>
          <w:szCs w:val="24"/>
        </w:rPr>
        <w:t xml:space="preserve"> must be granted access to such data upon request.</w:t>
      </w:r>
      <w:r>
        <w:rPr>
          <w:rFonts w:ascii="Times New Roman" w:hAnsi="Times New Roman"/>
          <w:szCs w:val="24"/>
        </w:rPr>
        <w:t xml:space="preserve"> The Commission will also make available</w:t>
      </w:r>
      <w:r w:rsidRPr="00733B7C">
        <w:rPr>
          <w:rFonts w:ascii="Times New Roman" w:hAnsi="Times New Roman"/>
          <w:szCs w:val="24"/>
        </w:rPr>
        <w:t xml:space="preserve"> </w:t>
      </w:r>
      <w:r w:rsidRPr="00F1390E">
        <w:rPr>
          <w:rFonts w:ascii="Times New Roman" w:hAnsi="Times New Roman"/>
          <w:szCs w:val="24"/>
        </w:rPr>
        <w:t>a single data-mining and risk-scoring tool</w:t>
      </w:r>
      <w:r>
        <w:rPr>
          <w:rFonts w:ascii="Times New Roman" w:hAnsi="Times New Roman"/>
          <w:szCs w:val="24"/>
        </w:rPr>
        <w:t xml:space="preserve"> </w:t>
      </w:r>
      <w:r w:rsidRPr="00733B7C">
        <w:rPr>
          <w:rFonts w:ascii="Times New Roman" w:hAnsi="Times New Roman"/>
          <w:szCs w:val="24"/>
        </w:rPr>
        <w:t>to access and analyse the data</w:t>
      </w:r>
      <w:r>
        <w:rPr>
          <w:rFonts w:ascii="Times New Roman" w:hAnsi="Times New Roman"/>
          <w:szCs w:val="24"/>
        </w:rPr>
        <w:t>.</w:t>
      </w:r>
    </w:p>
    <w:p w14:paraId="22AF28F9" w14:textId="4DE4FC0E" w:rsidR="00F567E7" w:rsidRPr="004F50B8" w:rsidRDefault="00F567E7" w:rsidP="00F567E7">
      <w:pPr>
        <w:widowControl w:val="0"/>
        <w:numPr>
          <w:ilvl w:val="0"/>
          <w:numId w:val="10"/>
        </w:numPr>
        <w:spacing w:after="120"/>
        <w:rPr>
          <w:rFonts w:ascii="Times New Roman" w:hAnsi="Times New Roman"/>
          <w:szCs w:val="24"/>
        </w:rPr>
      </w:pPr>
      <w:r w:rsidRPr="004F50B8">
        <w:rPr>
          <w:rFonts w:ascii="Times New Roman" w:hAnsi="Times New Roman"/>
          <w:szCs w:val="24"/>
        </w:rPr>
        <w:t xml:space="preserve">Before disbursing the funds, the Commission will assess the fulfilment of milestones and targets based on </w:t>
      </w:r>
      <w:r>
        <w:rPr>
          <w:rFonts w:ascii="Times New Roman" w:hAnsi="Times New Roman"/>
          <w:szCs w:val="24"/>
        </w:rPr>
        <w:t xml:space="preserve">payment request that will be accompanied by </w:t>
      </w:r>
      <w:r w:rsidRPr="004F50B8">
        <w:rPr>
          <w:rFonts w:ascii="Times New Roman" w:hAnsi="Times New Roman"/>
          <w:szCs w:val="24"/>
        </w:rPr>
        <w:t>a management declaration by the Member State concerned. The management declaration, among other things, certifies that the control systems put in place give the necessary assurances that the funds were managed in accordance with all applicable rules, in particular rules on avoidance of conflicts of interests, fraud prevention, corruption and double funding.</w:t>
      </w:r>
      <w:r>
        <w:rPr>
          <w:rFonts w:ascii="Times New Roman" w:hAnsi="Times New Roman"/>
          <w:szCs w:val="24"/>
        </w:rPr>
        <w:t xml:space="preserve"> In particular, t</w:t>
      </w:r>
      <w:r w:rsidRPr="004F50B8">
        <w:rPr>
          <w:rFonts w:ascii="Times New Roman" w:hAnsi="Times New Roman"/>
          <w:szCs w:val="24"/>
        </w:rPr>
        <w:t>he management declaration</w:t>
      </w:r>
      <w:r>
        <w:rPr>
          <w:rFonts w:ascii="Times New Roman" w:hAnsi="Times New Roman"/>
          <w:szCs w:val="24"/>
        </w:rPr>
        <w:t xml:space="preserve"> needs to specify that </w:t>
      </w:r>
      <w:r w:rsidRPr="004F50B8">
        <w:rPr>
          <w:rFonts w:ascii="Times New Roman" w:hAnsi="Times New Roman"/>
          <w:szCs w:val="24"/>
        </w:rPr>
        <w:t>controls have been carried out</w:t>
      </w:r>
      <w:r>
        <w:rPr>
          <w:rFonts w:ascii="Times New Roman" w:hAnsi="Times New Roman"/>
          <w:szCs w:val="24"/>
        </w:rPr>
        <w:t>, including</w:t>
      </w:r>
      <w:r w:rsidRPr="004F50B8">
        <w:rPr>
          <w:rFonts w:ascii="Times New Roman" w:hAnsi="Times New Roman"/>
          <w:szCs w:val="24"/>
        </w:rPr>
        <w:t xml:space="preserve"> as regards potential conflict of interests when trust funds are involved</w:t>
      </w:r>
      <w:r>
        <w:rPr>
          <w:rFonts w:ascii="Times New Roman" w:hAnsi="Times New Roman"/>
          <w:szCs w:val="24"/>
        </w:rPr>
        <w:t xml:space="preserve">. For the purposes of the related </w:t>
      </w:r>
      <w:r w:rsidRPr="00982366">
        <w:rPr>
          <w:rFonts w:ascii="Times New Roman" w:hAnsi="Times New Roman"/>
          <w:szCs w:val="24"/>
        </w:rPr>
        <w:t>milestones on control and audit</w:t>
      </w:r>
      <w:r>
        <w:rPr>
          <w:rFonts w:ascii="Times New Roman" w:hAnsi="Times New Roman"/>
          <w:szCs w:val="24"/>
        </w:rPr>
        <w:t>,</w:t>
      </w:r>
      <w:r w:rsidRPr="00982366">
        <w:rPr>
          <w:rFonts w:ascii="Times New Roman" w:hAnsi="Times New Roman"/>
          <w:szCs w:val="24"/>
        </w:rPr>
        <w:t xml:space="preserve"> </w:t>
      </w:r>
      <w:r w:rsidRPr="004F50B8">
        <w:rPr>
          <w:rFonts w:ascii="Times New Roman" w:hAnsi="Times New Roman"/>
          <w:szCs w:val="24"/>
        </w:rPr>
        <w:t>the definition of beneficial owner as per Article 3(6) of Directive (EU) 2015/849 on the prevention of the use of the financial system for the purposes of money laundering or terrorist financing</w:t>
      </w:r>
      <w:r>
        <w:rPr>
          <w:rFonts w:ascii="Times New Roman" w:hAnsi="Times New Roman"/>
          <w:szCs w:val="24"/>
        </w:rPr>
        <w:t xml:space="preserve"> is applicable. Moreover, the declaration </w:t>
      </w:r>
      <w:r w:rsidRPr="004F50B8">
        <w:rPr>
          <w:rFonts w:ascii="Times New Roman" w:hAnsi="Times New Roman"/>
          <w:szCs w:val="24"/>
        </w:rPr>
        <w:t xml:space="preserve">must also be accompanied by a summary of the audits carried out, including weaknesses identified and any corrective actions taken. In case of doubts, the Commission will undertake </w:t>
      </w:r>
      <w:r>
        <w:rPr>
          <w:rFonts w:ascii="Times New Roman" w:hAnsi="Times New Roman"/>
          <w:szCs w:val="24"/>
        </w:rPr>
        <w:t>audits,</w:t>
      </w:r>
      <w:r w:rsidRPr="004F50B8">
        <w:rPr>
          <w:rFonts w:ascii="Times New Roman" w:hAnsi="Times New Roman"/>
          <w:szCs w:val="24"/>
        </w:rPr>
        <w:t xml:space="preserve"> which can lead to suspension of payments. </w:t>
      </w:r>
      <w:r>
        <w:rPr>
          <w:rFonts w:ascii="Times New Roman" w:hAnsi="Times New Roman"/>
          <w:szCs w:val="24"/>
        </w:rPr>
        <w:t xml:space="preserve">The Commission will also perform risk-based ex-post controls. </w:t>
      </w:r>
      <w:r w:rsidRPr="004F50B8">
        <w:rPr>
          <w:rFonts w:ascii="Times New Roman" w:hAnsi="Times New Roman"/>
          <w:szCs w:val="24"/>
        </w:rPr>
        <w:t xml:space="preserve">The Commission </w:t>
      </w:r>
      <w:r>
        <w:rPr>
          <w:rFonts w:ascii="Times New Roman" w:hAnsi="Times New Roman"/>
          <w:szCs w:val="24"/>
        </w:rPr>
        <w:t>can</w:t>
      </w:r>
      <w:r w:rsidRPr="004F50B8">
        <w:rPr>
          <w:rFonts w:ascii="Times New Roman" w:hAnsi="Times New Roman"/>
          <w:szCs w:val="24"/>
        </w:rPr>
        <w:t xml:space="preserve"> reduce the </w:t>
      </w:r>
      <w:r>
        <w:rPr>
          <w:rFonts w:ascii="Times New Roman" w:hAnsi="Times New Roman"/>
          <w:szCs w:val="24"/>
        </w:rPr>
        <w:t xml:space="preserve">contribution </w:t>
      </w:r>
      <w:r w:rsidRPr="004F50B8">
        <w:rPr>
          <w:rFonts w:ascii="Times New Roman" w:hAnsi="Times New Roman"/>
          <w:szCs w:val="24"/>
        </w:rPr>
        <w:t xml:space="preserve">under the Facility if it finds fraud, corruption, conflict of interests, double funding and serious breaches of the financing </w:t>
      </w:r>
      <w:r>
        <w:rPr>
          <w:rFonts w:ascii="Times New Roman" w:hAnsi="Times New Roman"/>
          <w:szCs w:val="24"/>
        </w:rPr>
        <w:t>and loan</w:t>
      </w:r>
      <w:r w:rsidRPr="004F50B8">
        <w:rPr>
          <w:rFonts w:ascii="Times New Roman" w:hAnsi="Times New Roman"/>
          <w:szCs w:val="24"/>
        </w:rPr>
        <w:t xml:space="preserve"> agreements signed with a Member State and the Member State has not recovered</w:t>
      </w:r>
      <w:r>
        <w:rPr>
          <w:rFonts w:ascii="Times New Roman" w:hAnsi="Times New Roman"/>
          <w:szCs w:val="24"/>
        </w:rPr>
        <w:t xml:space="preserve"> the funds at stake</w:t>
      </w:r>
      <w:r w:rsidRPr="004F50B8">
        <w:rPr>
          <w:rFonts w:ascii="Times New Roman" w:hAnsi="Times New Roman"/>
          <w:szCs w:val="24"/>
        </w:rPr>
        <w:t>.</w:t>
      </w:r>
    </w:p>
    <w:p w14:paraId="34C38ACF" w14:textId="1EE52E6F" w:rsidR="00F567E7" w:rsidRPr="00D218DB" w:rsidRDefault="00F567E7" w:rsidP="00F567E7">
      <w:pPr>
        <w:widowControl w:val="0"/>
        <w:spacing w:after="120"/>
        <w:rPr>
          <w:rFonts w:ascii="Times New Roman" w:hAnsi="Times New Roman"/>
          <w:i/>
          <w:szCs w:val="24"/>
        </w:rPr>
      </w:pPr>
      <w:r w:rsidRPr="006F308E">
        <w:rPr>
          <w:rFonts w:ascii="Times New Roman" w:hAnsi="Times New Roman"/>
          <w:b/>
          <w:szCs w:val="24"/>
        </w:rPr>
        <w:t>Response to paragraphs</w:t>
      </w:r>
      <w:r>
        <w:rPr>
          <w:rFonts w:ascii="Times New Roman" w:hAnsi="Times New Roman"/>
          <w:b/>
          <w:szCs w:val="24"/>
        </w:rPr>
        <w:t xml:space="preserve"> 2, 3, 4, 12</w:t>
      </w:r>
      <w:r w:rsidR="00D218DB">
        <w:rPr>
          <w:rFonts w:ascii="Times New Roman" w:hAnsi="Times New Roman"/>
          <w:b/>
          <w:szCs w:val="24"/>
        </w:rPr>
        <w:t>, 17, 18, 20, 21, 28, 29 and 30</w:t>
      </w:r>
    </w:p>
    <w:p w14:paraId="4CB1036F" w14:textId="77777777" w:rsidR="00F567E7" w:rsidRPr="000C1524" w:rsidRDefault="00F567E7" w:rsidP="00F567E7">
      <w:pPr>
        <w:widowControl w:val="0"/>
        <w:numPr>
          <w:ilvl w:val="0"/>
          <w:numId w:val="10"/>
        </w:numPr>
        <w:spacing w:after="120"/>
        <w:rPr>
          <w:rFonts w:ascii="Times New Roman" w:hAnsi="Times New Roman"/>
          <w:szCs w:val="24"/>
        </w:rPr>
      </w:pPr>
      <w:r w:rsidRPr="000C1524">
        <w:rPr>
          <w:rFonts w:ascii="Times New Roman" w:hAnsi="Times New Roman"/>
          <w:szCs w:val="24"/>
        </w:rPr>
        <w:t xml:space="preserve">Coordinated </w:t>
      </w:r>
      <w:r>
        <w:rPr>
          <w:rFonts w:ascii="Times New Roman" w:hAnsi="Times New Roman"/>
          <w:szCs w:val="24"/>
        </w:rPr>
        <w:t>Commission’s</w:t>
      </w:r>
      <w:r w:rsidRPr="000C1524">
        <w:rPr>
          <w:rFonts w:ascii="Times New Roman" w:hAnsi="Times New Roman"/>
          <w:szCs w:val="24"/>
        </w:rPr>
        <w:t xml:space="preserve"> audits have been carried out in the Czech Republic, which, among other issues, also relate to </w:t>
      </w:r>
      <w:r>
        <w:rPr>
          <w:rFonts w:ascii="Times New Roman" w:hAnsi="Times New Roman"/>
          <w:szCs w:val="24"/>
        </w:rPr>
        <w:t xml:space="preserve">situations of </w:t>
      </w:r>
      <w:r w:rsidRPr="000C1524">
        <w:rPr>
          <w:rFonts w:ascii="Times New Roman" w:hAnsi="Times New Roman"/>
          <w:szCs w:val="24"/>
        </w:rPr>
        <w:t xml:space="preserve">conflict of interests. </w:t>
      </w:r>
      <w:r>
        <w:rPr>
          <w:rFonts w:ascii="Times New Roman" w:hAnsi="Times New Roman"/>
          <w:szCs w:val="24"/>
        </w:rPr>
        <w:t>A</w:t>
      </w:r>
      <w:r w:rsidRPr="000C1524">
        <w:rPr>
          <w:rFonts w:ascii="Times New Roman" w:hAnsi="Times New Roman"/>
          <w:szCs w:val="24"/>
        </w:rPr>
        <w:t xml:space="preserve">ccess to the draft and final reports were provided on a regular basis to the CONT Committee under confidentiality procedures. It is important to recall that no payments from the EU budget under the European Structural and Investment Funds were made to operations affected by the </w:t>
      </w:r>
      <w:r>
        <w:rPr>
          <w:rFonts w:ascii="Times New Roman" w:hAnsi="Times New Roman"/>
          <w:szCs w:val="24"/>
        </w:rPr>
        <w:t xml:space="preserve">ongoing </w:t>
      </w:r>
      <w:r w:rsidRPr="000C1524">
        <w:rPr>
          <w:rFonts w:ascii="Times New Roman" w:hAnsi="Times New Roman"/>
          <w:szCs w:val="24"/>
        </w:rPr>
        <w:t xml:space="preserve">audit and therefore to companies directly and indirectly owned by Prime Minister </w:t>
      </w:r>
      <w:r>
        <w:rPr>
          <w:rFonts w:ascii="Times New Roman" w:hAnsi="Times New Roman"/>
          <w:szCs w:val="24"/>
        </w:rPr>
        <w:t xml:space="preserve">Babiš </w:t>
      </w:r>
      <w:r w:rsidRPr="000C1524">
        <w:rPr>
          <w:rFonts w:ascii="Times New Roman" w:hAnsi="Times New Roman"/>
          <w:szCs w:val="24"/>
        </w:rPr>
        <w:t>that could potentially be affected by the alleged conflict of interests.</w:t>
      </w:r>
      <w:r w:rsidRPr="000C1524">
        <w:t xml:space="preserve"> </w:t>
      </w:r>
      <w:r w:rsidRPr="000C1524">
        <w:rPr>
          <w:rFonts w:ascii="Times New Roman" w:hAnsi="Times New Roman"/>
          <w:szCs w:val="24"/>
        </w:rPr>
        <w:t xml:space="preserve">No reimbursements </w:t>
      </w:r>
      <w:r>
        <w:rPr>
          <w:rFonts w:ascii="Times New Roman" w:hAnsi="Times New Roman"/>
          <w:szCs w:val="24"/>
        </w:rPr>
        <w:t xml:space="preserve">of national payments under </w:t>
      </w:r>
      <w:r w:rsidRPr="000C1524">
        <w:rPr>
          <w:rFonts w:ascii="Times New Roman" w:hAnsi="Times New Roman"/>
          <w:szCs w:val="24"/>
        </w:rPr>
        <w:t xml:space="preserve">the European Agricultural Fund for Rural Development </w:t>
      </w:r>
      <w:r>
        <w:rPr>
          <w:rFonts w:ascii="Times New Roman" w:hAnsi="Times New Roman"/>
          <w:szCs w:val="24"/>
        </w:rPr>
        <w:t xml:space="preserve">(EAFRD) </w:t>
      </w:r>
      <w:r w:rsidRPr="000C1524">
        <w:rPr>
          <w:rFonts w:ascii="Times New Roman" w:hAnsi="Times New Roman"/>
          <w:szCs w:val="24"/>
        </w:rPr>
        <w:t>are being made for relevant projects that could be potentially affected by conflict of interests.</w:t>
      </w:r>
      <w:r w:rsidRPr="0014507B">
        <w:rPr>
          <w:rFonts w:ascii="Times New Roman" w:hAnsi="Times New Roman"/>
          <w:szCs w:val="24"/>
        </w:rPr>
        <w:t xml:space="preserve"> </w:t>
      </w:r>
      <w:r>
        <w:rPr>
          <w:rFonts w:ascii="Times New Roman" w:hAnsi="Times New Roman"/>
          <w:szCs w:val="24"/>
        </w:rPr>
        <w:t>The audit on EAFRD is still on-going.</w:t>
      </w:r>
    </w:p>
    <w:p w14:paraId="3DDDAA2B" w14:textId="77777777" w:rsidR="00F567E7" w:rsidRDefault="00F567E7" w:rsidP="00F567E7">
      <w:pPr>
        <w:widowControl w:val="0"/>
        <w:numPr>
          <w:ilvl w:val="0"/>
          <w:numId w:val="10"/>
        </w:numPr>
        <w:spacing w:after="120"/>
        <w:rPr>
          <w:rFonts w:ascii="Times New Roman" w:hAnsi="Times New Roman"/>
          <w:szCs w:val="24"/>
        </w:rPr>
      </w:pPr>
      <w:r w:rsidRPr="00572C38">
        <w:rPr>
          <w:rFonts w:ascii="Times New Roman" w:hAnsi="Times New Roman"/>
          <w:szCs w:val="24"/>
        </w:rPr>
        <w:t xml:space="preserve">The audit procedures are conducted in compliance with the applicable EU legislation, international auditing standards and in full respect of the auditees’ rights. </w:t>
      </w:r>
      <w:r>
        <w:rPr>
          <w:rFonts w:ascii="Times New Roman" w:hAnsi="Times New Roman"/>
          <w:szCs w:val="24"/>
        </w:rPr>
        <w:t xml:space="preserve">The audit procedures have respected all deadlines set out in legislation. </w:t>
      </w:r>
      <w:r w:rsidRPr="00572C38">
        <w:rPr>
          <w:rFonts w:ascii="Times New Roman" w:hAnsi="Times New Roman"/>
          <w:szCs w:val="24"/>
        </w:rPr>
        <w:t>Commission auditors are independent and should work free of pressure and influence.</w:t>
      </w:r>
      <w:r>
        <w:rPr>
          <w:rFonts w:ascii="Times New Roman" w:hAnsi="Times New Roman"/>
          <w:szCs w:val="24"/>
        </w:rPr>
        <w:t xml:space="preserve"> The protection of the EU financial interests is ensured in an adversarial system, allowing auditees to exercise their rights of defence against findings.</w:t>
      </w:r>
    </w:p>
    <w:p w14:paraId="7BD5FC39" w14:textId="77777777" w:rsidR="00F567E7" w:rsidRDefault="00F567E7" w:rsidP="00F567E7">
      <w:pPr>
        <w:widowControl w:val="0"/>
        <w:numPr>
          <w:ilvl w:val="0"/>
          <w:numId w:val="10"/>
        </w:numPr>
        <w:spacing w:after="120"/>
        <w:rPr>
          <w:rFonts w:ascii="Times New Roman" w:hAnsi="Times New Roman"/>
          <w:szCs w:val="24"/>
        </w:rPr>
      </w:pPr>
      <w:r w:rsidRPr="00572C38">
        <w:rPr>
          <w:rFonts w:ascii="Times New Roman" w:hAnsi="Times New Roman"/>
          <w:szCs w:val="24"/>
        </w:rPr>
        <w:lastRenderedPageBreak/>
        <w:t xml:space="preserve">The Commission services have published the final audit report for the European Regional Development Fund and the European Social Fund. This </w:t>
      </w:r>
      <w:r>
        <w:rPr>
          <w:rFonts w:ascii="Times New Roman" w:hAnsi="Times New Roman"/>
          <w:szCs w:val="24"/>
        </w:rPr>
        <w:t>was</w:t>
      </w:r>
      <w:r w:rsidRPr="00572C38">
        <w:rPr>
          <w:rFonts w:ascii="Times New Roman" w:hAnsi="Times New Roman"/>
          <w:szCs w:val="24"/>
        </w:rPr>
        <w:t xml:space="preserve"> exceptional</w:t>
      </w:r>
      <w:r>
        <w:rPr>
          <w:rFonts w:ascii="Times New Roman" w:hAnsi="Times New Roman"/>
          <w:szCs w:val="24"/>
        </w:rPr>
        <w:t xml:space="preserve"> since the</w:t>
      </w:r>
      <w:r w:rsidRPr="00572C38">
        <w:rPr>
          <w:rFonts w:ascii="Times New Roman" w:hAnsi="Times New Roman"/>
          <w:szCs w:val="24"/>
        </w:rPr>
        <w:t xml:space="preserve"> audit rules and administrative practice do not require such publication. The Commission services took into account the great public interest in these audits, including a request by the European Parliament’s CONT committee and a European Ombudsman recommendation to make this report public once finalised.</w:t>
      </w:r>
    </w:p>
    <w:p w14:paraId="5B3A1748" w14:textId="77777777" w:rsidR="00F567E7" w:rsidRDefault="00F567E7" w:rsidP="00F567E7">
      <w:pPr>
        <w:widowControl w:val="0"/>
        <w:numPr>
          <w:ilvl w:val="0"/>
          <w:numId w:val="10"/>
        </w:numPr>
        <w:spacing w:after="120"/>
        <w:rPr>
          <w:rFonts w:ascii="Times New Roman" w:hAnsi="Times New Roman"/>
          <w:szCs w:val="24"/>
        </w:rPr>
      </w:pPr>
      <w:r w:rsidRPr="0009371D">
        <w:rPr>
          <w:rFonts w:ascii="Times New Roman" w:hAnsi="Times New Roman"/>
          <w:szCs w:val="24"/>
        </w:rPr>
        <w:t>The Commission is fully aware of the general interest and expectation and is doing its utmost to finalise the audit procedure</w:t>
      </w:r>
      <w:r>
        <w:rPr>
          <w:rFonts w:ascii="Times New Roman" w:hAnsi="Times New Roman"/>
          <w:szCs w:val="24"/>
        </w:rPr>
        <w:t xml:space="preserve"> with respect to the EAFRD</w:t>
      </w:r>
      <w:r w:rsidRPr="0009371D">
        <w:rPr>
          <w:rFonts w:ascii="Times New Roman" w:hAnsi="Times New Roman"/>
          <w:szCs w:val="24"/>
        </w:rPr>
        <w:t xml:space="preserve">. </w:t>
      </w:r>
    </w:p>
    <w:p w14:paraId="5E9C19AB" w14:textId="2312EAB8" w:rsidR="00F567E7" w:rsidRPr="00366CA8" w:rsidRDefault="00F567E7" w:rsidP="00F567E7">
      <w:pPr>
        <w:widowControl w:val="0"/>
        <w:numPr>
          <w:ilvl w:val="0"/>
          <w:numId w:val="10"/>
        </w:numPr>
        <w:spacing w:after="120"/>
        <w:rPr>
          <w:rFonts w:ascii="Times New Roman" w:hAnsi="Times New Roman"/>
          <w:szCs w:val="24"/>
        </w:rPr>
      </w:pPr>
      <w:r w:rsidRPr="00366CA8">
        <w:rPr>
          <w:rFonts w:ascii="Times New Roman" w:hAnsi="Times New Roman"/>
          <w:szCs w:val="24"/>
        </w:rPr>
        <w:t xml:space="preserve">Exchanges between the Commission auditors and the Czech authorities continue in order to close remaining open issues with respect to the EFRD and the ESF. This is the follow-up phase. The next steps of the follow-up depend on progress on the remaining open recommendations. If the Commission auditors conclude that sufficient action was taken to effectively address the recommendations in the audit report, the audit is closed. If the Commission auditors conclude that insufficient action was taken, further exchanges with the Member State may be necessary. Otherwise, the audit procedure per se can be brought to an end. If necessary, the Commission would launch any further procedures it considers appropriate. The Commission will continue informing </w:t>
      </w:r>
      <w:r>
        <w:rPr>
          <w:rFonts w:ascii="Times New Roman" w:hAnsi="Times New Roman"/>
          <w:szCs w:val="24"/>
        </w:rPr>
        <w:t xml:space="preserve">the </w:t>
      </w:r>
      <w:r w:rsidRPr="000C1524">
        <w:rPr>
          <w:rFonts w:ascii="Times New Roman" w:hAnsi="Times New Roman"/>
          <w:szCs w:val="24"/>
        </w:rPr>
        <w:t xml:space="preserve">CONT Committee </w:t>
      </w:r>
      <w:r w:rsidRPr="00CA4CA0">
        <w:rPr>
          <w:rFonts w:ascii="Times New Roman" w:hAnsi="Times New Roman"/>
          <w:szCs w:val="24"/>
        </w:rPr>
        <w:t>about the implementation of the audit’s recommendations by the Czech Government</w:t>
      </w:r>
      <w:r>
        <w:rPr>
          <w:rFonts w:ascii="Times New Roman" w:hAnsi="Times New Roman"/>
          <w:szCs w:val="24"/>
        </w:rPr>
        <w:t>,</w:t>
      </w:r>
      <w:r w:rsidRPr="00CA4CA0">
        <w:rPr>
          <w:rFonts w:ascii="Times New Roman" w:hAnsi="Times New Roman"/>
          <w:szCs w:val="24"/>
        </w:rPr>
        <w:t xml:space="preserve"> </w:t>
      </w:r>
      <w:r>
        <w:rPr>
          <w:rFonts w:ascii="Times New Roman" w:hAnsi="Times New Roman"/>
          <w:szCs w:val="24"/>
        </w:rPr>
        <w:t xml:space="preserve">in line with </w:t>
      </w:r>
      <w:r w:rsidR="00D218DB">
        <w:rPr>
          <w:rFonts w:ascii="Times New Roman" w:hAnsi="Times New Roman"/>
          <w:szCs w:val="24"/>
        </w:rPr>
        <w:t>confidentiality procedures.</w:t>
      </w:r>
    </w:p>
    <w:p w14:paraId="2591A045" w14:textId="77777777" w:rsidR="00F567E7" w:rsidRPr="00CF3AC5" w:rsidRDefault="00F567E7" w:rsidP="00F567E7">
      <w:pPr>
        <w:widowControl w:val="0"/>
        <w:numPr>
          <w:ilvl w:val="0"/>
          <w:numId w:val="10"/>
        </w:numPr>
        <w:spacing w:after="120"/>
        <w:rPr>
          <w:rFonts w:ascii="Times New Roman" w:hAnsi="Times New Roman"/>
          <w:szCs w:val="24"/>
        </w:rPr>
      </w:pPr>
      <w:r w:rsidRPr="00CF3AC5">
        <w:rPr>
          <w:rFonts w:ascii="Times New Roman" w:hAnsi="Times New Roman"/>
          <w:szCs w:val="24"/>
        </w:rPr>
        <w:t>Compliance with State Aid rules is part of the national obligations and the concerned management verifications carried out for all private companies applying for EU funding, whether they belong or not to the Agrofert Group. Importantly, the Commission ensured that the EU budget is protected: since 6 December 2018, for the regional funds concerned by the audit, the Czech authorities have agreed not to declare any expenditure for the Agrofert Group projects until the audit procedure is finalised and to confirm this in each payment claim submitted to the Commission. When the Commission becomes aware that the Member State has included expenditure in future expenditure declarations for any of the affected operations, the Commission could use the possibility of interrupting, suspending the interim payments or making financial corrections in relation to these operations on the basis of an irregularity.</w:t>
      </w:r>
    </w:p>
    <w:p w14:paraId="5EBE472A" w14:textId="1630E514" w:rsidR="00F567E7" w:rsidRDefault="00F567E7" w:rsidP="00F567E7">
      <w:pPr>
        <w:widowControl w:val="0"/>
        <w:numPr>
          <w:ilvl w:val="0"/>
          <w:numId w:val="10"/>
        </w:numPr>
        <w:spacing w:after="120"/>
        <w:rPr>
          <w:rFonts w:ascii="Times New Roman" w:hAnsi="Times New Roman"/>
          <w:szCs w:val="24"/>
        </w:rPr>
      </w:pPr>
      <w:r>
        <w:rPr>
          <w:rFonts w:ascii="Times New Roman" w:hAnsi="Times New Roman"/>
          <w:szCs w:val="24"/>
        </w:rPr>
        <w:t>The Commission reminds that Article 61 of the Financial Regulation on conflict of interest applies to national authorities at any level involved in budget implementation; this includes members of governments. When it comes to Agricultural Funds, t</w:t>
      </w:r>
      <w:r w:rsidRPr="009F0857">
        <w:rPr>
          <w:rFonts w:ascii="Times New Roman" w:hAnsi="Times New Roman"/>
          <w:szCs w:val="24"/>
        </w:rPr>
        <w:t xml:space="preserve">he </w:t>
      </w:r>
      <w:r>
        <w:rPr>
          <w:rFonts w:ascii="Times New Roman" w:hAnsi="Times New Roman"/>
          <w:szCs w:val="24"/>
        </w:rPr>
        <w:t>Commission normally carries out more than 100 audit missions per year and opens conformity procedures in order to check that EU rules are complied with by the Paying Agencies when making payments to beneficiarie</w:t>
      </w:r>
      <w:r w:rsidR="00D218DB">
        <w:rPr>
          <w:rFonts w:ascii="Times New Roman" w:hAnsi="Times New Roman"/>
          <w:szCs w:val="24"/>
        </w:rPr>
        <w:t>s or recovering undue payments.</w:t>
      </w:r>
    </w:p>
    <w:p w14:paraId="44BCF6C4" w14:textId="09D25D5E" w:rsidR="00F567E7" w:rsidRPr="009F0857" w:rsidRDefault="00F567E7" w:rsidP="00F567E7">
      <w:pPr>
        <w:widowControl w:val="0"/>
        <w:numPr>
          <w:ilvl w:val="0"/>
          <w:numId w:val="10"/>
        </w:numPr>
        <w:spacing w:after="120"/>
        <w:rPr>
          <w:rFonts w:ascii="Times New Roman" w:hAnsi="Times New Roman"/>
          <w:szCs w:val="24"/>
        </w:rPr>
      </w:pPr>
      <w:r w:rsidRPr="009F0857">
        <w:rPr>
          <w:rFonts w:ascii="Times New Roman" w:hAnsi="Times New Roman"/>
          <w:szCs w:val="24"/>
        </w:rPr>
        <w:t xml:space="preserve"> All regulatory deadlines were respected by the Commission regarding the contradictory procedures regarding the audit</w:t>
      </w:r>
      <w:r>
        <w:rPr>
          <w:rFonts w:ascii="Times New Roman" w:hAnsi="Times New Roman"/>
          <w:szCs w:val="24"/>
        </w:rPr>
        <w:t>s</w:t>
      </w:r>
      <w:r w:rsidRPr="009F0857">
        <w:rPr>
          <w:rFonts w:ascii="Times New Roman" w:hAnsi="Times New Roman"/>
          <w:szCs w:val="24"/>
        </w:rPr>
        <w:t xml:space="preserve"> and </w:t>
      </w:r>
      <w:r>
        <w:rPr>
          <w:rFonts w:ascii="Times New Roman" w:hAnsi="Times New Roman"/>
          <w:szCs w:val="24"/>
        </w:rPr>
        <w:t>their</w:t>
      </w:r>
      <w:r w:rsidRPr="009F0857">
        <w:rPr>
          <w:rFonts w:ascii="Times New Roman" w:hAnsi="Times New Roman"/>
          <w:szCs w:val="24"/>
        </w:rPr>
        <w:t xml:space="preserve"> follow-up. Nonetheless,</w:t>
      </w:r>
      <w:r w:rsidR="00D218DB">
        <w:rPr>
          <w:rFonts w:ascii="Times New Roman" w:hAnsi="Times New Roman"/>
          <w:szCs w:val="24"/>
        </w:rPr>
        <w:t xml:space="preserve"> the Commission is committed to </w:t>
      </w:r>
      <w:r>
        <w:rPr>
          <w:rFonts w:ascii="Times New Roman" w:hAnsi="Times New Roman"/>
          <w:szCs w:val="24"/>
        </w:rPr>
        <w:t xml:space="preserve">conduct as fast as possible, whilst respecting the legal deadlines, </w:t>
      </w:r>
      <w:r w:rsidRPr="009F0857">
        <w:rPr>
          <w:rFonts w:ascii="Times New Roman" w:hAnsi="Times New Roman"/>
          <w:szCs w:val="24"/>
        </w:rPr>
        <w:t xml:space="preserve">its audit procedures and the procedures on application of financial corrections and will deploy all efforts to achieve swift procedures as much as is possible. </w:t>
      </w:r>
      <w:r>
        <w:rPr>
          <w:rFonts w:ascii="Times New Roman" w:hAnsi="Times New Roman"/>
          <w:szCs w:val="24"/>
        </w:rPr>
        <w:t>I</w:t>
      </w:r>
      <w:r w:rsidRPr="009F0857">
        <w:rPr>
          <w:rFonts w:ascii="Times New Roman" w:hAnsi="Times New Roman"/>
          <w:szCs w:val="24"/>
        </w:rPr>
        <w:t xml:space="preserve">ts procedures need to respect the specific rules under the regulatory framework of the </w:t>
      </w:r>
      <w:r>
        <w:rPr>
          <w:rFonts w:ascii="Times New Roman" w:hAnsi="Times New Roman"/>
          <w:szCs w:val="24"/>
        </w:rPr>
        <w:t>C</w:t>
      </w:r>
      <w:r w:rsidRPr="009F0857">
        <w:rPr>
          <w:rFonts w:ascii="Times New Roman" w:hAnsi="Times New Roman"/>
          <w:szCs w:val="24"/>
        </w:rPr>
        <w:t xml:space="preserve">ommon </w:t>
      </w:r>
      <w:r>
        <w:rPr>
          <w:rFonts w:ascii="Times New Roman" w:hAnsi="Times New Roman"/>
          <w:szCs w:val="24"/>
        </w:rPr>
        <w:t>P</w:t>
      </w:r>
      <w:r w:rsidRPr="009F0857">
        <w:rPr>
          <w:rFonts w:ascii="Times New Roman" w:hAnsi="Times New Roman"/>
          <w:szCs w:val="24"/>
        </w:rPr>
        <w:t xml:space="preserve">rovisions </w:t>
      </w:r>
      <w:r>
        <w:rPr>
          <w:rFonts w:ascii="Times New Roman" w:hAnsi="Times New Roman"/>
          <w:szCs w:val="24"/>
        </w:rPr>
        <w:t>R</w:t>
      </w:r>
      <w:r w:rsidRPr="009F0857">
        <w:rPr>
          <w:rFonts w:ascii="Times New Roman" w:hAnsi="Times New Roman"/>
          <w:szCs w:val="24"/>
        </w:rPr>
        <w:t>egulation. These rules require respect for the principles of the contradictory</w:t>
      </w:r>
      <w:r w:rsidRPr="00366CA8">
        <w:rPr>
          <w:rFonts w:ascii="Times New Roman" w:hAnsi="Times New Roman"/>
          <w:szCs w:val="24"/>
        </w:rPr>
        <w:t xml:space="preserve"> </w:t>
      </w:r>
      <w:r>
        <w:rPr>
          <w:rFonts w:ascii="Times New Roman" w:hAnsi="Times New Roman"/>
          <w:szCs w:val="24"/>
        </w:rPr>
        <w:t>procedure</w:t>
      </w:r>
      <w:r w:rsidRPr="009F0857">
        <w:rPr>
          <w:rFonts w:ascii="Times New Roman" w:hAnsi="Times New Roman"/>
          <w:szCs w:val="24"/>
        </w:rPr>
        <w:t xml:space="preserve"> and to duly allow the authorities concerned as an auditee to make their views known and exchange all factual evidence relevant to the audit within the deadlines set out in applicable provisions and in accordance with audit standards. </w:t>
      </w:r>
      <w:r>
        <w:rPr>
          <w:rFonts w:ascii="Times New Roman" w:hAnsi="Times New Roman"/>
          <w:szCs w:val="24"/>
        </w:rPr>
        <w:t xml:space="preserve">These principles </w:t>
      </w:r>
      <w:r w:rsidRPr="009F0857">
        <w:rPr>
          <w:rFonts w:ascii="Times New Roman" w:hAnsi="Times New Roman"/>
          <w:szCs w:val="24"/>
        </w:rPr>
        <w:t>apply throughout the audit process at the stages of the on-the-spot visit, when preparing the draft report and at the moment of the final audit report</w:t>
      </w:r>
      <w:r>
        <w:rPr>
          <w:rFonts w:ascii="Times New Roman" w:hAnsi="Times New Roman"/>
          <w:szCs w:val="24"/>
        </w:rPr>
        <w:t>/</w:t>
      </w:r>
      <w:r w:rsidR="00D218DB">
        <w:rPr>
          <w:rFonts w:ascii="Times New Roman" w:hAnsi="Times New Roman"/>
          <w:szCs w:val="24"/>
        </w:rPr>
        <w:t xml:space="preserve"> </w:t>
      </w:r>
      <w:r>
        <w:rPr>
          <w:rFonts w:ascii="Times New Roman" w:hAnsi="Times New Roman"/>
          <w:szCs w:val="24"/>
        </w:rPr>
        <w:t>letters of findings and proposing financial correction</w:t>
      </w:r>
      <w:r w:rsidRPr="009F0857">
        <w:rPr>
          <w:rFonts w:ascii="Times New Roman" w:hAnsi="Times New Roman"/>
          <w:szCs w:val="24"/>
        </w:rPr>
        <w:t xml:space="preserve">. </w:t>
      </w:r>
      <w:r w:rsidRPr="009F0857">
        <w:rPr>
          <w:rFonts w:ascii="Times New Roman" w:hAnsi="Times New Roman"/>
          <w:szCs w:val="24"/>
        </w:rPr>
        <w:lastRenderedPageBreak/>
        <w:t>The application of financial corrections follows a distinct procedure for which the Member States again benefit from a separate set of procedural guarantees in accordance with the applicable regulatory procedures.</w:t>
      </w:r>
    </w:p>
    <w:p w14:paraId="2053953F" w14:textId="77777777" w:rsidR="00F567E7" w:rsidRPr="00FC6992" w:rsidRDefault="00F567E7" w:rsidP="00F567E7">
      <w:pPr>
        <w:widowControl w:val="0"/>
        <w:numPr>
          <w:ilvl w:val="0"/>
          <w:numId w:val="10"/>
        </w:numPr>
        <w:spacing w:after="120"/>
        <w:rPr>
          <w:rFonts w:ascii="Times New Roman" w:hAnsi="Times New Roman"/>
          <w:i/>
          <w:iCs/>
          <w:sz w:val="22"/>
        </w:rPr>
      </w:pPr>
      <w:r w:rsidRPr="009F0857">
        <w:rPr>
          <w:rFonts w:ascii="Times New Roman" w:hAnsi="Times New Roman"/>
          <w:szCs w:val="24"/>
        </w:rPr>
        <w:t>The Commission is committed to protect the financial interests of the European Union taking all appropriate measures to prevent EU-funds from being spent in a way non-compliant with the requirements under the applicable legal and regulatory provisions. However, under the Treaty it is not competent to control and monitor the expenditure financed by the Member States or its regions from their own funds</w:t>
      </w:r>
      <w:r w:rsidRPr="002605DF">
        <w:rPr>
          <w:rFonts w:ascii="Times New Roman" w:hAnsi="Times New Roman"/>
          <w:szCs w:val="24"/>
        </w:rPr>
        <w:t xml:space="preserve"> </w:t>
      </w:r>
      <w:r>
        <w:rPr>
          <w:rFonts w:ascii="Times New Roman" w:hAnsi="Times New Roman"/>
          <w:szCs w:val="24"/>
        </w:rPr>
        <w:t>apart from the mentioned respect of State Aid rules</w:t>
      </w:r>
      <w:r w:rsidRPr="009F0857">
        <w:rPr>
          <w:rFonts w:ascii="Times New Roman" w:hAnsi="Times New Roman"/>
          <w:szCs w:val="24"/>
        </w:rPr>
        <w:t>.</w:t>
      </w:r>
    </w:p>
    <w:p w14:paraId="419155C6" w14:textId="1C3FF750" w:rsidR="00F567E7" w:rsidRDefault="00F567E7" w:rsidP="00F567E7">
      <w:pPr>
        <w:widowControl w:val="0"/>
        <w:spacing w:after="120"/>
        <w:rPr>
          <w:rFonts w:ascii="Times New Roman" w:hAnsi="Times New Roman"/>
          <w:szCs w:val="24"/>
        </w:rPr>
      </w:pPr>
      <w:r w:rsidRPr="006F308E">
        <w:rPr>
          <w:rFonts w:ascii="Times New Roman" w:hAnsi="Times New Roman"/>
          <w:b/>
          <w:szCs w:val="24"/>
        </w:rPr>
        <w:t>Response to paragraphs</w:t>
      </w:r>
      <w:r w:rsidR="00FC6992">
        <w:rPr>
          <w:rFonts w:ascii="Times New Roman" w:hAnsi="Times New Roman"/>
          <w:b/>
          <w:szCs w:val="24"/>
        </w:rPr>
        <w:t xml:space="preserve"> 38, 39 and 44</w:t>
      </w:r>
    </w:p>
    <w:p w14:paraId="7F945622" w14:textId="2905E8A5" w:rsidR="00F567E7" w:rsidRDefault="00F567E7" w:rsidP="00F567E7">
      <w:pPr>
        <w:widowControl w:val="0"/>
        <w:numPr>
          <w:ilvl w:val="0"/>
          <w:numId w:val="10"/>
        </w:numPr>
        <w:spacing w:after="120"/>
        <w:rPr>
          <w:rFonts w:ascii="Times New Roman" w:hAnsi="Times New Roman"/>
          <w:szCs w:val="24"/>
        </w:rPr>
      </w:pPr>
      <w:r>
        <w:rPr>
          <w:rFonts w:ascii="Times New Roman" w:hAnsi="Times New Roman"/>
          <w:szCs w:val="24"/>
        </w:rPr>
        <w:t>The 2021 Rule of Law Report wa</w:t>
      </w:r>
      <w:r w:rsidR="00FC6992">
        <w:rPr>
          <w:rFonts w:ascii="Times New Roman" w:hAnsi="Times New Roman"/>
          <w:szCs w:val="24"/>
        </w:rPr>
        <w:t>s adopted on 20 July 2021. The r</w:t>
      </w:r>
      <w:r>
        <w:rPr>
          <w:rFonts w:ascii="Times New Roman" w:hAnsi="Times New Roman"/>
          <w:szCs w:val="24"/>
        </w:rPr>
        <w:t xml:space="preserve">eport analyses four pillars essential for the rule of law: the justice system, the anti-corruption framework, media pluralism and media freedom and other institutional issues related to checks and balances. </w:t>
      </w:r>
    </w:p>
    <w:p w14:paraId="78B941F2" w14:textId="35A3CD0D" w:rsidR="00F567E7" w:rsidRPr="004805A6" w:rsidRDefault="00F567E7" w:rsidP="00F567E7">
      <w:pPr>
        <w:widowControl w:val="0"/>
        <w:numPr>
          <w:ilvl w:val="0"/>
          <w:numId w:val="10"/>
        </w:numPr>
        <w:spacing w:after="120"/>
        <w:rPr>
          <w:rFonts w:ascii="Times New Roman" w:hAnsi="Times New Roman"/>
          <w:szCs w:val="24"/>
        </w:rPr>
      </w:pPr>
      <w:r w:rsidRPr="004805A6">
        <w:rPr>
          <w:rFonts w:ascii="Times New Roman" w:hAnsi="Times New Roman"/>
          <w:szCs w:val="24"/>
        </w:rPr>
        <w:t>Regulation 2020/2092 on a general regime of conditionality for the protection of the Union budget provides that in case a Member State fails to ensure the absence of conflict of interest</w:t>
      </w:r>
      <w:r>
        <w:rPr>
          <w:rFonts w:ascii="Times New Roman" w:hAnsi="Times New Roman"/>
          <w:szCs w:val="24"/>
        </w:rPr>
        <w:t>s</w:t>
      </w:r>
      <w:r w:rsidRPr="004805A6">
        <w:rPr>
          <w:rFonts w:ascii="Times New Roman" w:hAnsi="Times New Roman"/>
          <w:szCs w:val="24"/>
        </w:rPr>
        <w:t>, this may be indicative of</w:t>
      </w:r>
      <w:r>
        <w:rPr>
          <w:rFonts w:ascii="Times New Roman" w:hAnsi="Times New Roman"/>
          <w:szCs w:val="24"/>
        </w:rPr>
        <w:t xml:space="preserve"> a</w:t>
      </w:r>
      <w:r w:rsidRPr="004805A6">
        <w:rPr>
          <w:rFonts w:ascii="Times New Roman" w:hAnsi="Times New Roman"/>
          <w:szCs w:val="24"/>
        </w:rPr>
        <w:t xml:space="preserve"> breach of the</w:t>
      </w:r>
      <w:r w:rsidR="00FC6992">
        <w:rPr>
          <w:rFonts w:ascii="Times New Roman" w:hAnsi="Times New Roman"/>
          <w:szCs w:val="24"/>
        </w:rPr>
        <w:t xml:space="preserve"> principles of the rule of law.</w:t>
      </w:r>
    </w:p>
    <w:p w14:paraId="7623DAD2" w14:textId="65016C7B" w:rsidR="00F567E7" w:rsidRPr="004805A6" w:rsidRDefault="00F567E7" w:rsidP="00F567E7">
      <w:pPr>
        <w:widowControl w:val="0"/>
        <w:numPr>
          <w:ilvl w:val="0"/>
          <w:numId w:val="10"/>
        </w:numPr>
        <w:spacing w:after="120"/>
        <w:rPr>
          <w:rFonts w:ascii="Times New Roman" w:hAnsi="Times New Roman"/>
          <w:szCs w:val="24"/>
        </w:rPr>
      </w:pPr>
      <w:r w:rsidRPr="004805A6">
        <w:rPr>
          <w:rFonts w:ascii="Times New Roman" w:hAnsi="Times New Roman"/>
          <w:szCs w:val="24"/>
        </w:rPr>
        <w:t>In order for the Conditionality Regulation to apply,</w:t>
      </w:r>
      <w:r>
        <w:rPr>
          <w:rFonts w:ascii="Times New Roman" w:hAnsi="Times New Roman"/>
          <w:szCs w:val="24"/>
        </w:rPr>
        <w:t xml:space="preserve"> a breach </w:t>
      </w:r>
      <w:r w:rsidRPr="00FC64AE">
        <w:rPr>
          <w:rFonts w:ascii="Times New Roman" w:hAnsi="Times New Roman"/>
          <w:szCs w:val="24"/>
        </w:rPr>
        <w:t xml:space="preserve">of the principles of the rule of law in a Member State </w:t>
      </w:r>
      <w:r>
        <w:rPr>
          <w:rFonts w:ascii="Times New Roman" w:hAnsi="Times New Roman"/>
          <w:szCs w:val="24"/>
        </w:rPr>
        <w:t xml:space="preserve">must </w:t>
      </w:r>
      <w:r w:rsidRPr="00FC64AE">
        <w:rPr>
          <w:rFonts w:ascii="Times New Roman" w:hAnsi="Times New Roman"/>
          <w:szCs w:val="24"/>
        </w:rPr>
        <w:t>affect or seriously risk affecting the sound financial management of the Union budget or the protection of the financial interests of the Union in a sufficiently direct way</w:t>
      </w:r>
      <w:r>
        <w:rPr>
          <w:rFonts w:ascii="Times New Roman" w:hAnsi="Times New Roman"/>
          <w:szCs w:val="24"/>
        </w:rPr>
        <w:t xml:space="preserve">. Where these conditions are fulfilled, the Commission shall trigger the procedure </w:t>
      </w:r>
      <w:r w:rsidRPr="00FC64AE">
        <w:rPr>
          <w:rFonts w:ascii="Times New Roman" w:hAnsi="Times New Roman"/>
          <w:szCs w:val="24"/>
        </w:rPr>
        <w:t xml:space="preserve">unless it considers that </w:t>
      </w:r>
      <w:r w:rsidRPr="004805A6">
        <w:rPr>
          <w:rFonts w:ascii="Times New Roman" w:hAnsi="Times New Roman"/>
          <w:szCs w:val="24"/>
        </w:rPr>
        <w:t>other procedure</w:t>
      </w:r>
      <w:r>
        <w:rPr>
          <w:rFonts w:ascii="Times New Roman" w:hAnsi="Times New Roman"/>
          <w:szCs w:val="24"/>
        </w:rPr>
        <w:t>s set out</w:t>
      </w:r>
      <w:r w:rsidRPr="004805A6">
        <w:rPr>
          <w:rFonts w:ascii="Times New Roman" w:hAnsi="Times New Roman"/>
          <w:szCs w:val="24"/>
        </w:rPr>
        <w:t xml:space="preserve"> in EU legislation</w:t>
      </w:r>
      <w:r>
        <w:rPr>
          <w:rFonts w:ascii="Times New Roman" w:hAnsi="Times New Roman"/>
          <w:szCs w:val="24"/>
        </w:rPr>
        <w:t xml:space="preserve"> would</w:t>
      </w:r>
      <w:r w:rsidRPr="004805A6">
        <w:rPr>
          <w:rFonts w:ascii="Times New Roman" w:hAnsi="Times New Roman"/>
          <w:szCs w:val="24"/>
        </w:rPr>
        <w:t xml:space="preserve"> allow</w:t>
      </w:r>
      <w:r>
        <w:rPr>
          <w:rFonts w:ascii="Times New Roman" w:hAnsi="Times New Roman"/>
          <w:szCs w:val="24"/>
        </w:rPr>
        <w:t xml:space="preserve"> it to</w:t>
      </w:r>
      <w:r w:rsidRPr="004805A6">
        <w:rPr>
          <w:rFonts w:ascii="Times New Roman" w:hAnsi="Times New Roman"/>
          <w:szCs w:val="24"/>
        </w:rPr>
        <w:t xml:space="preserve"> protect the</w:t>
      </w:r>
      <w:r w:rsidR="00FC6992">
        <w:rPr>
          <w:rFonts w:ascii="Times New Roman" w:hAnsi="Times New Roman"/>
          <w:szCs w:val="24"/>
        </w:rPr>
        <w:t xml:space="preserve"> Union budget more effectively.</w:t>
      </w:r>
    </w:p>
    <w:p w14:paraId="588E9882" w14:textId="6358EB11" w:rsidR="00F567E7" w:rsidRDefault="00F567E7" w:rsidP="00F567E7">
      <w:pPr>
        <w:widowControl w:val="0"/>
        <w:numPr>
          <w:ilvl w:val="0"/>
          <w:numId w:val="10"/>
        </w:numPr>
        <w:spacing w:after="120"/>
        <w:rPr>
          <w:rFonts w:ascii="Times New Roman" w:hAnsi="Times New Roman"/>
          <w:szCs w:val="24"/>
        </w:rPr>
      </w:pPr>
      <w:r w:rsidRPr="004805A6">
        <w:rPr>
          <w:rFonts w:ascii="Times New Roman" w:hAnsi="Times New Roman"/>
          <w:szCs w:val="24"/>
        </w:rPr>
        <w:t xml:space="preserve">The Financial Regulation obliges </w:t>
      </w:r>
      <w:r w:rsidR="00FC6992">
        <w:rPr>
          <w:rFonts w:ascii="Times New Roman" w:hAnsi="Times New Roman"/>
          <w:szCs w:val="24"/>
        </w:rPr>
        <w:t xml:space="preserve">the </w:t>
      </w:r>
      <w:r w:rsidRPr="004805A6">
        <w:rPr>
          <w:rFonts w:ascii="Times New Roman" w:hAnsi="Times New Roman"/>
          <w:szCs w:val="24"/>
        </w:rPr>
        <w:t>Member State authorities at any level, involved in budget implementation of the Union budget, not to take any action which may bring their own interests into conflict with those of the Union. Member State authorities have the obligation to take appropriate measures to prevent conflict of interests from arising in the functions under their responsibility and to address situations which may objectively be percei</w:t>
      </w:r>
      <w:r w:rsidR="00FC6992">
        <w:rPr>
          <w:rFonts w:ascii="Times New Roman" w:hAnsi="Times New Roman"/>
          <w:szCs w:val="24"/>
        </w:rPr>
        <w:t>ved as a conflict of interests.</w:t>
      </w:r>
    </w:p>
    <w:p w14:paraId="717D948E" w14:textId="77777777" w:rsidR="00F567E7" w:rsidRPr="00083575" w:rsidRDefault="00F567E7" w:rsidP="00F567E7">
      <w:pPr>
        <w:widowControl w:val="0"/>
        <w:numPr>
          <w:ilvl w:val="0"/>
          <w:numId w:val="10"/>
        </w:numPr>
        <w:spacing w:after="120"/>
        <w:rPr>
          <w:rFonts w:ascii="Times New Roman" w:hAnsi="Times New Roman"/>
          <w:szCs w:val="24"/>
        </w:rPr>
      </w:pPr>
      <w:r w:rsidRPr="00083575">
        <w:rPr>
          <w:rFonts w:ascii="Times New Roman" w:hAnsi="Times New Roman"/>
          <w:szCs w:val="24"/>
        </w:rPr>
        <w:t>In the case of the Czech Republic, the EU budget continues to be protected. The Czech authorities confirm with each payment claim for the European Regional Development Fund and the European Social Fund that no expenditure in relation to operations affected by the audit findings for these funds is declared by the certifying authority to the Commission, with the exception of one specific payment claim, for which the Commission has taken the appropriate measures to interrupt the payment deadline. As regards the EAFRD, there have been no reimbursements of Rural development Funds for relevant projects that could be potentially affected by conflict of interests</w:t>
      </w:r>
      <w:r>
        <w:rPr>
          <w:rFonts w:ascii="Times New Roman" w:hAnsi="Times New Roman"/>
          <w:szCs w:val="24"/>
        </w:rPr>
        <w:t>.</w:t>
      </w:r>
      <w:r w:rsidRPr="006276E3">
        <w:t xml:space="preserve"> </w:t>
      </w:r>
      <w:r w:rsidRPr="006276E3">
        <w:rPr>
          <w:rFonts w:ascii="Times New Roman" w:hAnsi="Times New Roman"/>
          <w:szCs w:val="24"/>
        </w:rPr>
        <w:t>The minor amount which has been declared has been suspended so no reimbursements have been made.</w:t>
      </w:r>
    </w:p>
    <w:p w14:paraId="79B909E9" w14:textId="77777777" w:rsidR="00F567E7" w:rsidRDefault="00F567E7" w:rsidP="00F567E7">
      <w:pPr>
        <w:widowControl w:val="0"/>
        <w:spacing w:after="120"/>
        <w:rPr>
          <w:rFonts w:ascii="Times New Roman" w:hAnsi="Times New Roman"/>
          <w:szCs w:val="24"/>
        </w:rPr>
      </w:pPr>
      <w:r w:rsidRPr="006F308E">
        <w:rPr>
          <w:rFonts w:ascii="Times New Roman" w:hAnsi="Times New Roman"/>
          <w:b/>
          <w:szCs w:val="24"/>
        </w:rPr>
        <w:t>Response to paragraphs</w:t>
      </w:r>
      <w:r>
        <w:rPr>
          <w:rFonts w:ascii="Times New Roman" w:hAnsi="Times New Roman"/>
          <w:b/>
          <w:szCs w:val="24"/>
        </w:rPr>
        <w:t xml:space="preserve"> 19 </w:t>
      </w:r>
    </w:p>
    <w:p w14:paraId="17167D31" w14:textId="4ABE3970" w:rsidR="0062493E" w:rsidRPr="00F567E7" w:rsidRDefault="00F567E7" w:rsidP="008E3365">
      <w:pPr>
        <w:pStyle w:val="ListParagraph"/>
        <w:numPr>
          <w:ilvl w:val="0"/>
          <w:numId w:val="10"/>
        </w:numPr>
        <w:spacing w:after="0" w:line="240" w:lineRule="auto"/>
        <w:contextualSpacing w:val="0"/>
        <w:jc w:val="both"/>
        <w:rPr>
          <w:sz w:val="24"/>
          <w:szCs w:val="24"/>
        </w:rPr>
      </w:pPr>
      <w:r w:rsidRPr="00F567E7">
        <w:rPr>
          <w:rFonts w:ascii="Times New Roman" w:hAnsi="Times New Roman"/>
          <w:sz w:val="24"/>
          <w:szCs w:val="24"/>
        </w:rPr>
        <w:t>The Commission takes note of the European Parliament’s request.</w:t>
      </w:r>
    </w:p>
    <w:p w14:paraId="54CD6BBC" w14:textId="77777777" w:rsidR="0062493E" w:rsidRDefault="0062493E" w:rsidP="0062493E">
      <w:pPr>
        <w:widowControl w:val="0"/>
        <w:spacing w:after="120"/>
        <w:rPr>
          <w:rFonts w:ascii="Times New Roman" w:hAnsi="Times New Roman"/>
          <w:szCs w:val="24"/>
        </w:rPr>
        <w:sectPr w:rsidR="0062493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0DD745F5" w14:textId="31B5D2E5" w:rsidR="006F0520" w:rsidRDefault="006F0520" w:rsidP="002A09A4">
      <w:pPr>
        <w:spacing w:after="720"/>
        <w:jc w:val="center"/>
        <w:rPr>
          <w:rFonts w:ascii="Times New Roman" w:hAnsi="Times New Roman"/>
          <w:szCs w:val="24"/>
        </w:rPr>
      </w:pPr>
      <w:bookmarkStart w:id="2" w:name="ECA"/>
      <w:bookmarkEnd w:id="2"/>
    </w:p>
    <w:sectPr w:rsidR="006F0520" w:rsidSect="00E83549">
      <w:footerReference w:type="even" r:id="rId14"/>
      <w:footerReference w:type="default" r:id="rId15"/>
      <w:footerReference w:type="first" r:id="rId16"/>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F92B9" w14:textId="77777777" w:rsidR="00E83549" w:rsidRDefault="00E83549" w:rsidP="00E5337B">
      <w:pPr>
        <w:spacing w:after="0"/>
      </w:pPr>
      <w:r>
        <w:separator/>
      </w:r>
    </w:p>
  </w:endnote>
  <w:endnote w:type="continuationSeparator" w:id="0">
    <w:p w14:paraId="5CFA2589" w14:textId="77777777" w:rsidR="00E83549" w:rsidRDefault="00E83549" w:rsidP="00E533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altName w:val="Bahnschrift Light"/>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3CE77" w14:textId="77777777" w:rsidR="00E83549" w:rsidRDefault="00E83549" w:rsidP="00E835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55D48E49" w14:textId="77777777" w:rsidR="00E83549" w:rsidRDefault="00E83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2328F" w14:textId="7447CB18" w:rsidR="00E83549" w:rsidRDefault="00E83549" w:rsidP="00E835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362E">
      <w:rPr>
        <w:rStyle w:val="PageNumber"/>
        <w:noProof/>
      </w:rPr>
      <w:t>1</w:t>
    </w:r>
    <w:r>
      <w:rPr>
        <w:rStyle w:val="PageNumber"/>
      </w:rPr>
      <w:fldChar w:fldCharType="end"/>
    </w:r>
  </w:p>
  <w:p w14:paraId="26CA6DE5" w14:textId="77777777" w:rsidR="00E83549" w:rsidRPr="008A6623" w:rsidRDefault="00E83549" w:rsidP="00E83549">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BB6C" w14:textId="77777777" w:rsidR="00E83549" w:rsidRDefault="00E83549" w:rsidP="00E83549">
    <w:pPr>
      <w:pStyle w:val="Footer"/>
      <w:rPr>
        <w:lang w:val="fr-BE"/>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73D18" w14:textId="77777777" w:rsidR="00E83549" w:rsidRDefault="00E83549" w:rsidP="00E835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017F78B8" w14:textId="77777777" w:rsidR="00E83549" w:rsidRDefault="00E835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8EBFE" w14:textId="27FC53D5" w:rsidR="00E83549" w:rsidRPr="004E4F0F" w:rsidRDefault="00E83549" w:rsidP="00E83549">
    <w:pPr>
      <w:pStyle w:val="Footer"/>
      <w:framePr w:wrap="around" w:vAnchor="text" w:hAnchor="margin" w:xAlign="center" w:y="1"/>
      <w:rPr>
        <w:rStyle w:val="PageNumber"/>
        <w:rFonts w:ascii="Times New Roman" w:hAnsi="Times New Roman"/>
        <w:sz w:val="20"/>
      </w:rPr>
    </w:pPr>
    <w:r w:rsidRPr="004E4F0F">
      <w:rPr>
        <w:rStyle w:val="PageNumber"/>
        <w:rFonts w:ascii="Times New Roman" w:hAnsi="Times New Roman"/>
        <w:sz w:val="20"/>
      </w:rPr>
      <w:fldChar w:fldCharType="begin"/>
    </w:r>
    <w:r w:rsidRPr="004E4F0F">
      <w:rPr>
        <w:rStyle w:val="PageNumber"/>
        <w:rFonts w:ascii="Times New Roman" w:hAnsi="Times New Roman"/>
        <w:sz w:val="20"/>
      </w:rPr>
      <w:instrText xml:space="preserve">PAGE  </w:instrText>
    </w:r>
    <w:r w:rsidRPr="004E4F0F">
      <w:rPr>
        <w:rStyle w:val="PageNumber"/>
        <w:rFonts w:ascii="Times New Roman" w:hAnsi="Times New Roman"/>
        <w:sz w:val="20"/>
      </w:rPr>
      <w:fldChar w:fldCharType="separate"/>
    </w:r>
    <w:r w:rsidR="002A09A4">
      <w:rPr>
        <w:rStyle w:val="PageNumber"/>
        <w:rFonts w:ascii="Times New Roman" w:hAnsi="Times New Roman"/>
        <w:noProof/>
        <w:sz w:val="20"/>
      </w:rPr>
      <w:t>8</w:t>
    </w:r>
    <w:r w:rsidRPr="004E4F0F">
      <w:rPr>
        <w:rStyle w:val="PageNumber"/>
        <w:rFonts w:ascii="Times New Roman" w:hAnsi="Times New Roman"/>
        <w:sz w:val="20"/>
      </w:rPr>
      <w:fldChar w:fldCharType="end"/>
    </w:r>
  </w:p>
  <w:p w14:paraId="7C725A9B" w14:textId="77777777" w:rsidR="00E83549" w:rsidRPr="008A6623" w:rsidRDefault="00E83549" w:rsidP="00E83549">
    <w:pPr>
      <w:pStyle w:val="Footer"/>
      <w:rPr>
        <w:rFonts w:ascii="Times New Roman" w:hAnsi="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86333" w14:textId="77777777" w:rsidR="00E83549" w:rsidRDefault="00E83549" w:rsidP="00E83549">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0CB8F" w14:textId="77777777" w:rsidR="00E83549" w:rsidRDefault="00E83549" w:rsidP="00E5337B">
      <w:pPr>
        <w:spacing w:after="0"/>
      </w:pPr>
      <w:r>
        <w:separator/>
      </w:r>
    </w:p>
  </w:footnote>
  <w:footnote w:type="continuationSeparator" w:id="0">
    <w:p w14:paraId="5EC294C6" w14:textId="77777777" w:rsidR="00E83549" w:rsidRDefault="00E83549" w:rsidP="00E5337B">
      <w:pPr>
        <w:spacing w:after="0"/>
      </w:pPr>
      <w:r>
        <w:continuationSeparator/>
      </w:r>
    </w:p>
  </w:footnote>
  <w:footnote w:id="1">
    <w:p w14:paraId="7EAE5906" w14:textId="22A55A2B" w:rsidR="00F567E7" w:rsidRPr="00F313C5" w:rsidRDefault="00F567E7" w:rsidP="00F313C5">
      <w:pPr>
        <w:pStyle w:val="FootnoteText"/>
        <w:spacing w:after="0"/>
        <w:rPr>
          <w:rFonts w:ascii="Times New Roman" w:hAnsi="Times New Roman"/>
          <w:lang w:val="en-US"/>
        </w:rPr>
      </w:pPr>
      <w:r>
        <w:rPr>
          <w:rStyle w:val="FootnoteReference"/>
        </w:rPr>
        <w:footnoteRef/>
      </w:r>
      <w:r>
        <w:t xml:space="preserve"> </w:t>
      </w:r>
      <w:r>
        <w:tab/>
      </w:r>
      <w:r>
        <w:rPr>
          <w:rFonts w:ascii="Times New Roman" w:hAnsi="Times New Roman"/>
          <w:szCs w:val="24"/>
        </w:rPr>
        <w:t xml:space="preserve">See for instance the one </w:t>
      </w:r>
      <w:r w:rsidRPr="0048612D">
        <w:rPr>
          <w:rFonts w:ascii="Times New Roman" w:hAnsi="Times New Roman"/>
          <w:szCs w:val="24"/>
        </w:rPr>
        <w:t>relating to Regulation (EU) 2021/691 of the European Parliament and of the Council on the European Globalisation Adjustment Fund for Displaced Workers (EGF) and repealing Regulation (EU) No 1309/2013</w:t>
      </w:r>
      <w:r>
        <w:rPr>
          <w:rFonts w:ascii="Times New Roman" w:hAnsi="Times New Roman"/>
          <w:szCs w:val="24"/>
        </w:rPr>
        <w:t xml:space="preserve">, </w:t>
      </w:r>
      <w:r w:rsidRPr="0048612D">
        <w:rPr>
          <w:rFonts w:ascii="Times New Roman" w:hAnsi="Times New Roman"/>
          <w:szCs w:val="24"/>
        </w:rPr>
        <w:t>2021/C 161 I/01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2866C" w14:textId="77777777" w:rsidR="00E83549" w:rsidRDefault="00E83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ED2C5" w14:textId="77777777" w:rsidR="00E83549" w:rsidRDefault="00E83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28429" w14:textId="77777777" w:rsidR="00E83549" w:rsidRDefault="00E83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1" w15:restartNumberingAfterBreak="0">
    <w:nsid w:val="02E65859"/>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3"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392871F2"/>
    <w:multiLevelType w:val="hybridMultilevel"/>
    <w:tmpl w:val="2564D906"/>
    <w:lvl w:ilvl="0" w:tplc="927047BA">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E18279A"/>
    <w:multiLevelType w:val="hybridMultilevel"/>
    <w:tmpl w:val="168405FA"/>
    <w:lvl w:ilvl="0" w:tplc="080C000F">
      <w:start w:val="1"/>
      <w:numFmt w:val="decimal"/>
      <w:lvlText w:val="%1."/>
      <w:lvlJc w:val="left"/>
      <w:pPr>
        <w:ind w:left="1004" w:hanging="720"/>
      </w:pPr>
      <w:rPr>
        <w:b/>
        <w:i w:val="0"/>
      </w:rPr>
    </w:lvl>
    <w:lvl w:ilvl="1" w:tplc="08090019">
      <w:start w:val="1"/>
      <w:numFmt w:val="lowerLetter"/>
      <w:lvlText w:val="%2."/>
      <w:lvlJc w:val="left"/>
      <w:pPr>
        <w:ind w:left="1582" w:hanging="360"/>
      </w:pPr>
    </w:lvl>
    <w:lvl w:ilvl="2" w:tplc="0809001B">
      <w:start w:val="1"/>
      <w:numFmt w:val="lowerRoman"/>
      <w:lvlText w:val="%3."/>
      <w:lvlJc w:val="right"/>
      <w:pPr>
        <w:ind w:left="2302" w:hanging="180"/>
      </w:pPr>
    </w:lvl>
    <w:lvl w:ilvl="3" w:tplc="0809000F">
      <w:start w:val="1"/>
      <w:numFmt w:val="decimal"/>
      <w:lvlText w:val="%4."/>
      <w:lvlJc w:val="left"/>
      <w:pPr>
        <w:ind w:left="3022" w:hanging="360"/>
      </w:pPr>
    </w:lvl>
    <w:lvl w:ilvl="4" w:tplc="08090019">
      <w:start w:val="1"/>
      <w:numFmt w:val="lowerLetter"/>
      <w:lvlText w:val="%5."/>
      <w:lvlJc w:val="left"/>
      <w:pPr>
        <w:ind w:left="3742" w:hanging="360"/>
      </w:pPr>
    </w:lvl>
    <w:lvl w:ilvl="5" w:tplc="0809001B">
      <w:start w:val="1"/>
      <w:numFmt w:val="lowerRoman"/>
      <w:lvlText w:val="%6."/>
      <w:lvlJc w:val="right"/>
      <w:pPr>
        <w:ind w:left="4462" w:hanging="180"/>
      </w:pPr>
    </w:lvl>
    <w:lvl w:ilvl="6" w:tplc="0809000F">
      <w:start w:val="1"/>
      <w:numFmt w:val="decimal"/>
      <w:lvlText w:val="%7."/>
      <w:lvlJc w:val="left"/>
      <w:pPr>
        <w:ind w:left="5182" w:hanging="360"/>
      </w:pPr>
    </w:lvl>
    <w:lvl w:ilvl="7" w:tplc="08090019">
      <w:start w:val="1"/>
      <w:numFmt w:val="lowerLetter"/>
      <w:lvlText w:val="%8."/>
      <w:lvlJc w:val="left"/>
      <w:pPr>
        <w:ind w:left="5902" w:hanging="360"/>
      </w:pPr>
    </w:lvl>
    <w:lvl w:ilvl="8" w:tplc="0809001B">
      <w:start w:val="1"/>
      <w:numFmt w:val="lowerRoman"/>
      <w:lvlText w:val="%9."/>
      <w:lvlJc w:val="right"/>
      <w:pPr>
        <w:ind w:left="6622" w:hanging="180"/>
      </w:pPr>
    </w:lvl>
  </w:abstractNum>
  <w:abstractNum w:abstractNumId="6" w15:restartNumberingAfterBreak="0">
    <w:nsid w:val="51B557AB"/>
    <w:multiLevelType w:val="hybridMultilevel"/>
    <w:tmpl w:val="AEF22370"/>
    <w:lvl w:ilvl="0" w:tplc="DAA8F922">
      <w:start w:val="1"/>
      <w:numFmt w:val="decimal"/>
      <w:lvlText w:val="%1."/>
      <w:lvlJc w:val="left"/>
      <w:pPr>
        <w:ind w:left="-857" w:hanging="360"/>
      </w:pPr>
      <w:rPr>
        <w:rFonts w:ascii="Times New Roman" w:hAnsi="Times New Roman" w:cs="Times New Roman" w:hint="default"/>
        <w:i w:val="0"/>
        <w:color w:val="auto"/>
        <w:sz w:val="24"/>
        <w:szCs w:val="24"/>
      </w:rPr>
    </w:lvl>
    <w:lvl w:ilvl="1" w:tplc="08090019" w:tentative="1">
      <w:start w:val="1"/>
      <w:numFmt w:val="lowerLetter"/>
      <w:lvlText w:val="%2."/>
      <w:lvlJc w:val="left"/>
      <w:pPr>
        <w:ind w:left="-345" w:hanging="360"/>
      </w:pPr>
    </w:lvl>
    <w:lvl w:ilvl="2" w:tplc="0809001B" w:tentative="1">
      <w:start w:val="1"/>
      <w:numFmt w:val="lowerRoman"/>
      <w:lvlText w:val="%3."/>
      <w:lvlJc w:val="right"/>
      <w:pPr>
        <w:ind w:left="375" w:hanging="180"/>
      </w:pPr>
    </w:lvl>
    <w:lvl w:ilvl="3" w:tplc="0809000F" w:tentative="1">
      <w:start w:val="1"/>
      <w:numFmt w:val="decimal"/>
      <w:lvlText w:val="%4."/>
      <w:lvlJc w:val="left"/>
      <w:pPr>
        <w:ind w:left="1095" w:hanging="360"/>
      </w:pPr>
    </w:lvl>
    <w:lvl w:ilvl="4" w:tplc="08090019" w:tentative="1">
      <w:start w:val="1"/>
      <w:numFmt w:val="lowerLetter"/>
      <w:lvlText w:val="%5."/>
      <w:lvlJc w:val="left"/>
      <w:pPr>
        <w:ind w:left="1815" w:hanging="360"/>
      </w:pPr>
    </w:lvl>
    <w:lvl w:ilvl="5" w:tplc="0809001B" w:tentative="1">
      <w:start w:val="1"/>
      <w:numFmt w:val="lowerRoman"/>
      <w:lvlText w:val="%6."/>
      <w:lvlJc w:val="right"/>
      <w:pPr>
        <w:ind w:left="2535" w:hanging="180"/>
      </w:pPr>
    </w:lvl>
    <w:lvl w:ilvl="6" w:tplc="0809000F" w:tentative="1">
      <w:start w:val="1"/>
      <w:numFmt w:val="decimal"/>
      <w:lvlText w:val="%7."/>
      <w:lvlJc w:val="left"/>
      <w:pPr>
        <w:ind w:left="3255" w:hanging="360"/>
      </w:pPr>
    </w:lvl>
    <w:lvl w:ilvl="7" w:tplc="08090019" w:tentative="1">
      <w:start w:val="1"/>
      <w:numFmt w:val="lowerLetter"/>
      <w:lvlText w:val="%8."/>
      <w:lvlJc w:val="left"/>
      <w:pPr>
        <w:ind w:left="3975" w:hanging="360"/>
      </w:pPr>
    </w:lvl>
    <w:lvl w:ilvl="8" w:tplc="0809001B" w:tentative="1">
      <w:start w:val="1"/>
      <w:numFmt w:val="lowerRoman"/>
      <w:lvlText w:val="%9."/>
      <w:lvlJc w:val="right"/>
      <w:pPr>
        <w:ind w:left="4695" w:hanging="180"/>
      </w:pPr>
    </w:lvl>
  </w:abstractNum>
  <w:abstractNum w:abstractNumId="7" w15:restartNumberingAfterBreak="0">
    <w:nsid w:val="5BC3187C"/>
    <w:multiLevelType w:val="hybridMultilevel"/>
    <w:tmpl w:val="C66A48E8"/>
    <w:lvl w:ilvl="0" w:tplc="492C7160">
      <w:start w:val="1"/>
      <w:numFmt w:val="decimal"/>
      <w:lvlText w:val="%1."/>
      <w:lvlJc w:val="left"/>
      <w:pPr>
        <w:ind w:left="9368"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60C35B77"/>
    <w:multiLevelType w:val="hybridMultilevel"/>
    <w:tmpl w:val="25AA4E2A"/>
    <w:lvl w:ilvl="0" w:tplc="9668A8FC">
      <w:start w:val="1"/>
      <w:numFmt w:val="decimal"/>
      <w:lvlText w:val="%1."/>
      <w:lvlJc w:val="left"/>
      <w:pPr>
        <w:ind w:left="360" w:hanging="360"/>
      </w:pPr>
      <w:rPr>
        <w:rFonts w:hint="default"/>
        <w:i w:val="0"/>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6C525E28"/>
    <w:multiLevelType w:val="hybridMultilevel"/>
    <w:tmpl w:val="C95A18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1"/>
  </w:num>
  <w:num w:numId="5">
    <w:abstractNumId w:val="7"/>
  </w:num>
  <w:num w:numId="6">
    <w:abstractNumId w:val="6"/>
  </w:num>
  <w:num w:numId="7">
    <w:abstractNumId w:val="5"/>
  </w:num>
  <w:num w:numId="8">
    <w:abstractNumId w:val="4"/>
  </w:num>
  <w:num w:numId="9">
    <w:abstractNumId w:val="3"/>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s-ES"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nl-BE" w:vendorID="64" w:dllVersion="131078" w:nlCheck="1" w:checkStyle="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81A72"/>
    <w:rsid w:val="00000073"/>
    <w:rsid w:val="000055F0"/>
    <w:rsid w:val="00007946"/>
    <w:rsid w:val="00013C39"/>
    <w:rsid w:val="00013CAD"/>
    <w:rsid w:val="00026136"/>
    <w:rsid w:val="0002618B"/>
    <w:rsid w:val="00027648"/>
    <w:rsid w:val="00035319"/>
    <w:rsid w:val="00042431"/>
    <w:rsid w:val="000508C7"/>
    <w:rsid w:val="000621E1"/>
    <w:rsid w:val="00062B59"/>
    <w:rsid w:val="000724E0"/>
    <w:rsid w:val="00073BA8"/>
    <w:rsid w:val="0007540E"/>
    <w:rsid w:val="000755B1"/>
    <w:rsid w:val="0007579B"/>
    <w:rsid w:val="00076F0C"/>
    <w:rsid w:val="00083D99"/>
    <w:rsid w:val="0008401B"/>
    <w:rsid w:val="00087974"/>
    <w:rsid w:val="00090DBF"/>
    <w:rsid w:val="00094868"/>
    <w:rsid w:val="000949D5"/>
    <w:rsid w:val="000976A0"/>
    <w:rsid w:val="000A0961"/>
    <w:rsid w:val="000A253F"/>
    <w:rsid w:val="000A5480"/>
    <w:rsid w:val="000A5C29"/>
    <w:rsid w:val="000B1BD0"/>
    <w:rsid w:val="000B5B7D"/>
    <w:rsid w:val="000C2C3D"/>
    <w:rsid w:val="000C610C"/>
    <w:rsid w:val="000D434F"/>
    <w:rsid w:val="000D4485"/>
    <w:rsid w:val="000D7734"/>
    <w:rsid w:val="000E12B4"/>
    <w:rsid w:val="000E1ECC"/>
    <w:rsid w:val="000E72E3"/>
    <w:rsid w:val="000E7824"/>
    <w:rsid w:val="000F1D5B"/>
    <w:rsid w:val="000F5CA1"/>
    <w:rsid w:val="0010283E"/>
    <w:rsid w:val="00104AF3"/>
    <w:rsid w:val="0010503F"/>
    <w:rsid w:val="00105C85"/>
    <w:rsid w:val="00111B39"/>
    <w:rsid w:val="00112492"/>
    <w:rsid w:val="001141FB"/>
    <w:rsid w:val="00116BBF"/>
    <w:rsid w:val="00134E09"/>
    <w:rsid w:val="0014793E"/>
    <w:rsid w:val="001509BD"/>
    <w:rsid w:val="00153B94"/>
    <w:rsid w:val="00156E78"/>
    <w:rsid w:val="00171588"/>
    <w:rsid w:val="001755D2"/>
    <w:rsid w:val="001807DB"/>
    <w:rsid w:val="00195D43"/>
    <w:rsid w:val="001B314B"/>
    <w:rsid w:val="001B4E7A"/>
    <w:rsid w:val="001B57F5"/>
    <w:rsid w:val="001B6022"/>
    <w:rsid w:val="001B6A0F"/>
    <w:rsid w:val="001C06F3"/>
    <w:rsid w:val="001C268C"/>
    <w:rsid w:val="001C3595"/>
    <w:rsid w:val="001C6BA2"/>
    <w:rsid w:val="001C71A9"/>
    <w:rsid w:val="001D4E53"/>
    <w:rsid w:val="001D5FD8"/>
    <w:rsid w:val="001D7866"/>
    <w:rsid w:val="001E1029"/>
    <w:rsid w:val="001E1ED2"/>
    <w:rsid w:val="002004F9"/>
    <w:rsid w:val="002015A5"/>
    <w:rsid w:val="002020CD"/>
    <w:rsid w:val="002073A0"/>
    <w:rsid w:val="002141A8"/>
    <w:rsid w:val="0021442F"/>
    <w:rsid w:val="00216537"/>
    <w:rsid w:val="002219A5"/>
    <w:rsid w:val="00227A61"/>
    <w:rsid w:val="00227C3E"/>
    <w:rsid w:val="00234D47"/>
    <w:rsid w:val="00237418"/>
    <w:rsid w:val="00247B1D"/>
    <w:rsid w:val="00251214"/>
    <w:rsid w:val="002558AB"/>
    <w:rsid w:val="002573FB"/>
    <w:rsid w:val="00260C5E"/>
    <w:rsid w:val="0027220A"/>
    <w:rsid w:val="00273ED5"/>
    <w:rsid w:val="00283CC8"/>
    <w:rsid w:val="002852B6"/>
    <w:rsid w:val="002903BD"/>
    <w:rsid w:val="00292055"/>
    <w:rsid w:val="002925FD"/>
    <w:rsid w:val="00295501"/>
    <w:rsid w:val="0029782C"/>
    <w:rsid w:val="002A09A4"/>
    <w:rsid w:val="002A35FD"/>
    <w:rsid w:val="002A61E7"/>
    <w:rsid w:val="002B4AFC"/>
    <w:rsid w:val="002B6992"/>
    <w:rsid w:val="002D1783"/>
    <w:rsid w:val="002F1D0F"/>
    <w:rsid w:val="002F298F"/>
    <w:rsid w:val="002F5D36"/>
    <w:rsid w:val="002F5E9D"/>
    <w:rsid w:val="00304523"/>
    <w:rsid w:val="003045B3"/>
    <w:rsid w:val="003108A9"/>
    <w:rsid w:val="00310A59"/>
    <w:rsid w:val="00317D56"/>
    <w:rsid w:val="00321642"/>
    <w:rsid w:val="00325C83"/>
    <w:rsid w:val="00325E7E"/>
    <w:rsid w:val="00330DA7"/>
    <w:rsid w:val="00340B59"/>
    <w:rsid w:val="0034362E"/>
    <w:rsid w:val="00346FB9"/>
    <w:rsid w:val="00347192"/>
    <w:rsid w:val="00351FD9"/>
    <w:rsid w:val="003539DF"/>
    <w:rsid w:val="003604D4"/>
    <w:rsid w:val="003620D3"/>
    <w:rsid w:val="00364CD5"/>
    <w:rsid w:val="00374116"/>
    <w:rsid w:val="0037691F"/>
    <w:rsid w:val="00377472"/>
    <w:rsid w:val="00377D9C"/>
    <w:rsid w:val="003806D0"/>
    <w:rsid w:val="00386900"/>
    <w:rsid w:val="0039083F"/>
    <w:rsid w:val="003914A8"/>
    <w:rsid w:val="00392320"/>
    <w:rsid w:val="0039252C"/>
    <w:rsid w:val="003949B7"/>
    <w:rsid w:val="00395DF5"/>
    <w:rsid w:val="003A1B6F"/>
    <w:rsid w:val="003A7934"/>
    <w:rsid w:val="003B04A1"/>
    <w:rsid w:val="003B19DF"/>
    <w:rsid w:val="003B1CDB"/>
    <w:rsid w:val="003B3F3D"/>
    <w:rsid w:val="003B4CEB"/>
    <w:rsid w:val="003B6EA6"/>
    <w:rsid w:val="003C7F43"/>
    <w:rsid w:val="003E079B"/>
    <w:rsid w:val="003E481B"/>
    <w:rsid w:val="003E51A2"/>
    <w:rsid w:val="003E6324"/>
    <w:rsid w:val="003E68E6"/>
    <w:rsid w:val="003F325C"/>
    <w:rsid w:val="003F3F39"/>
    <w:rsid w:val="00400AA2"/>
    <w:rsid w:val="00401FC5"/>
    <w:rsid w:val="00403AB0"/>
    <w:rsid w:val="00404E13"/>
    <w:rsid w:val="00405DCF"/>
    <w:rsid w:val="00406EFC"/>
    <w:rsid w:val="00410958"/>
    <w:rsid w:val="004201A3"/>
    <w:rsid w:val="0042048A"/>
    <w:rsid w:val="00424287"/>
    <w:rsid w:val="004245C1"/>
    <w:rsid w:val="004253E1"/>
    <w:rsid w:val="004274E2"/>
    <w:rsid w:val="004361A3"/>
    <w:rsid w:val="004406D7"/>
    <w:rsid w:val="00463486"/>
    <w:rsid w:val="00467201"/>
    <w:rsid w:val="00467C10"/>
    <w:rsid w:val="00482A8B"/>
    <w:rsid w:val="00487472"/>
    <w:rsid w:val="00495226"/>
    <w:rsid w:val="0049573A"/>
    <w:rsid w:val="004A7C92"/>
    <w:rsid w:val="004B0F78"/>
    <w:rsid w:val="004B4221"/>
    <w:rsid w:val="004B488D"/>
    <w:rsid w:val="004B654E"/>
    <w:rsid w:val="004C1094"/>
    <w:rsid w:val="004E4F0F"/>
    <w:rsid w:val="004E5936"/>
    <w:rsid w:val="004F4F6B"/>
    <w:rsid w:val="0050197B"/>
    <w:rsid w:val="00502EB6"/>
    <w:rsid w:val="00505459"/>
    <w:rsid w:val="00506B10"/>
    <w:rsid w:val="00515EA5"/>
    <w:rsid w:val="00521A67"/>
    <w:rsid w:val="00523D9C"/>
    <w:rsid w:val="00531B75"/>
    <w:rsid w:val="005374EF"/>
    <w:rsid w:val="00537EA8"/>
    <w:rsid w:val="00540343"/>
    <w:rsid w:val="00541417"/>
    <w:rsid w:val="00546B49"/>
    <w:rsid w:val="00557846"/>
    <w:rsid w:val="0056093A"/>
    <w:rsid w:val="00562B92"/>
    <w:rsid w:val="00562E1D"/>
    <w:rsid w:val="0056368A"/>
    <w:rsid w:val="00563BF0"/>
    <w:rsid w:val="00565541"/>
    <w:rsid w:val="00566C59"/>
    <w:rsid w:val="00566FB5"/>
    <w:rsid w:val="005718E9"/>
    <w:rsid w:val="00571952"/>
    <w:rsid w:val="00573114"/>
    <w:rsid w:val="00576817"/>
    <w:rsid w:val="00577870"/>
    <w:rsid w:val="0058343D"/>
    <w:rsid w:val="005836BC"/>
    <w:rsid w:val="00597DEA"/>
    <w:rsid w:val="005A15A0"/>
    <w:rsid w:val="005B06D6"/>
    <w:rsid w:val="005B222E"/>
    <w:rsid w:val="005B4887"/>
    <w:rsid w:val="005B6018"/>
    <w:rsid w:val="005B623C"/>
    <w:rsid w:val="005B6F40"/>
    <w:rsid w:val="005B7EAE"/>
    <w:rsid w:val="005D352F"/>
    <w:rsid w:val="005D39B5"/>
    <w:rsid w:val="005D7FBB"/>
    <w:rsid w:val="005E6BB5"/>
    <w:rsid w:val="005F3346"/>
    <w:rsid w:val="005F599E"/>
    <w:rsid w:val="005F61AB"/>
    <w:rsid w:val="005F6F65"/>
    <w:rsid w:val="006034F4"/>
    <w:rsid w:val="00603CE8"/>
    <w:rsid w:val="00607278"/>
    <w:rsid w:val="006102FE"/>
    <w:rsid w:val="00612592"/>
    <w:rsid w:val="00615D5C"/>
    <w:rsid w:val="0061693B"/>
    <w:rsid w:val="0062336A"/>
    <w:rsid w:val="006235B6"/>
    <w:rsid w:val="0062369D"/>
    <w:rsid w:val="0062493E"/>
    <w:rsid w:val="0062705E"/>
    <w:rsid w:val="00627946"/>
    <w:rsid w:val="00633FB2"/>
    <w:rsid w:val="00634434"/>
    <w:rsid w:val="00641001"/>
    <w:rsid w:val="00651DE5"/>
    <w:rsid w:val="006642E5"/>
    <w:rsid w:val="00673C24"/>
    <w:rsid w:val="006762B5"/>
    <w:rsid w:val="00676A15"/>
    <w:rsid w:val="00677D6C"/>
    <w:rsid w:val="00681A07"/>
    <w:rsid w:val="00684AAE"/>
    <w:rsid w:val="0069198B"/>
    <w:rsid w:val="0069439E"/>
    <w:rsid w:val="0069509E"/>
    <w:rsid w:val="006A1AAA"/>
    <w:rsid w:val="006A4870"/>
    <w:rsid w:val="006B009E"/>
    <w:rsid w:val="006B0722"/>
    <w:rsid w:val="006B0F1F"/>
    <w:rsid w:val="006B14DE"/>
    <w:rsid w:val="006B4C4D"/>
    <w:rsid w:val="006B5CD4"/>
    <w:rsid w:val="006C022B"/>
    <w:rsid w:val="006C123C"/>
    <w:rsid w:val="006C2962"/>
    <w:rsid w:val="006C710D"/>
    <w:rsid w:val="006D016D"/>
    <w:rsid w:val="006D1A79"/>
    <w:rsid w:val="006D1DE3"/>
    <w:rsid w:val="006D2011"/>
    <w:rsid w:val="006D27AC"/>
    <w:rsid w:val="006E0B2E"/>
    <w:rsid w:val="006E531A"/>
    <w:rsid w:val="006E79A2"/>
    <w:rsid w:val="006F0520"/>
    <w:rsid w:val="006F7CFB"/>
    <w:rsid w:val="00710D80"/>
    <w:rsid w:val="00711B1C"/>
    <w:rsid w:val="00714FC4"/>
    <w:rsid w:val="007173BF"/>
    <w:rsid w:val="00723091"/>
    <w:rsid w:val="00731ABA"/>
    <w:rsid w:val="00732F5D"/>
    <w:rsid w:val="00733040"/>
    <w:rsid w:val="00734A59"/>
    <w:rsid w:val="007375A9"/>
    <w:rsid w:val="007378D8"/>
    <w:rsid w:val="007431A6"/>
    <w:rsid w:val="00746290"/>
    <w:rsid w:val="007552A6"/>
    <w:rsid w:val="00757264"/>
    <w:rsid w:val="00757887"/>
    <w:rsid w:val="0076016D"/>
    <w:rsid w:val="00760277"/>
    <w:rsid w:val="00761E3D"/>
    <w:rsid w:val="00763136"/>
    <w:rsid w:val="0076680D"/>
    <w:rsid w:val="00770B33"/>
    <w:rsid w:val="00773E4C"/>
    <w:rsid w:val="00774F87"/>
    <w:rsid w:val="00775247"/>
    <w:rsid w:val="007801D2"/>
    <w:rsid w:val="00781727"/>
    <w:rsid w:val="00781A72"/>
    <w:rsid w:val="00785B32"/>
    <w:rsid w:val="007906E6"/>
    <w:rsid w:val="00795AF7"/>
    <w:rsid w:val="00797D7D"/>
    <w:rsid w:val="007A4354"/>
    <w:rsid w:val="007A4F5B"/>
    <w:rsid w:val="007B6120"/>
    <w:rsid w:val="007B7834"/>
    <w:rsid w:val="007B7941"/>
    <w:rsid w:val="007C0FA1"/>
    <w:rsid w:val="007C5367"/>
    <w:rsid w:val="007C5B49"/>
    <w:rsid w:val="007D507D"/>
    <w:rsid w:val="007E0B37"/>
    <w:rsid w:val="007E1418"/>
    <w:rsid w:val="007E4CB2"/>
    <w:rsid w:val="007E6C4D"/>
    <w:rsid w:val="007F1D37"/>
    <w:rsid w:val="007F1DC8"/>
    <w:rsid w:val="007F2AAA"/>
    <w:rsid w:val="007F3747"/>
    <w:rsid w:val="007F4AF7"/>
    <w:rsid w:val="007F5EF8"/>
    <w:rsid w:val="00804AAC"/>
    <w:rsid w:val="00805428"/>
    <w:rsid w:val="008068FA"/>
    <w:rsid w:val="00824052"/>
    <w:rsid w:val="00826076"/>
    <w:rsid w:val="008263FA"/>
    <w:rsid w:val="008270BE"/>
    <w:rsid w:val="0082752A"/>
    <w:rsid w:val="00836884"/>
    <w:rsid w:val="008405AB"/>
    <w:rsid w:val="00846098"/>
    <w:rsid w:val="00846400"/>
    <w:rsid w:val="0085750C"/>
    <w:rsid w:val="008629A0"/>
    <w:rsid w:val="00862CE2"/>
    <w:rsid w:val="00865B95"/>
    <w:rsid w:val="00865F64"/>
    <w:rsid w:val="008722A2"/>
    <w:rsid w:val="00882EAD"/>
    <w:rsid w:val="00883EFB"/>
    <w:rsid w:val="00884615"/>
    <w:rsid w:val="00885C32"/>
    <w:rsid w:val="00885DE7"/>
    <w:rsid w:val="00892AC9"/>
    <w:rsid w:val="00896377"/>
    <w:rsid w:val="008A217A"/>
    <w:rsid w:val="008A3E4A"/>
    <w:rsid w:val="008A411C"/>
    <w:rsid w:val="008C0834"/>
    <w:rsid w:val="008C6C82"/>
    <w:rsid w:val="008C6E88"/>
    <w:rsid w:val="008C74DD"/>
    <w:rsid w:val="008D0021"/>
    <w:rsid w:val="008D68F3"/>
    <w:rsid w:val="008E3365"/>
    <w:rsid w:val="008F3148"/>
    <w:rsid w:val="008F3947"/>
    <w:rsid w:val="00900924"/>
    <w:rsid w:val="00902931"/>
    <w:rsid w:val="0090330B"/>
    <w:rsid w:val="00904041"/>
    <w:rsid w:val="00907A7C"/>
    <w:rsid w:val="00915F24"/>
    <w:rsid w:val="00917059"/>
    <w:rsid w:val="009260E8"/>
    <w:rsid w:val="00932244"/>
    <w:rsid w:val="0093515D"/>
    <w:rsid w:val="00935EE3"/>
    <w:rsid w:val="00936E06"/>
    <w:rsid w:val="00943AB4"/>
    <w:rsid w:val="00947F58"/>
    <w:rsid w:val="00950E81"/>
    <w:rsid w:val="00954D0C"/>
    <w:rsid w:val="00961278"/>
    <w:rsid w:val="00961A39"/>
    <w:rsid w:val="00963D91"/>
    <w:rsid w:val="00965025"/>
    <w:rsid w:val="009704EC"/>
    <w:rsid w:val="00973D29"/>
    <w:rsid w:val="00974F08"/>
    <w:rsid w:val="00976F9A"/>
    <w:rsid w:val="00982937"/>
    <w:rsid w:val="0098438B"/>
    <w:rsid w:val="00984EC9"/>
    <w:rsid w:val="00993AA8"/>
    <w:rsid w:val="009A4762"/>
    <w:rsid w:val="009B543A"/>
    <w:rsid w:val="009B5C7F"/>
    <w:rsid w:val="009C1DD1"/>
    <w:rsid w:val="009C5E91"/>
    <w:rsid w:val="009C604A"/>
    <w:rsid w:val="009D085C"/>
    <w:rsid w:val="009D370D"/>
    <w:rsid w:val="009D4409"/>
    <w:rsid w:val="009E2C40"/>
    <w:rsid w:val="009E4B08"/>
    <w:rsid w:val="009E7F21"/>
    <w:rsid w:val="009F53E0"/>
    <w:rsid w:val="009F7F09"/>
    <w:rsid w:val="00A01117"/>
    <w:rsid w:val="00A02369"/>
    <w:rsid w:val="00A1588D"/>
    <w:rsid w:val="00A16E06"/>
    <w:rsid w:val="00A16F39"/>
    <w:rsid w:val="00A20F32"/>
    <w:rsid w:val="00A22D80"/>
    <w:rsid w:val="00A26B61"/>
    <w:rsid w:val="00A30D02"/>
    <w:rsid w:val="00A32EC0"/>
    <w:rsid w:val="00A3487D"/>
    <w:rsid w:val="00A35D76"/>
    <w:rsid w:val="00A42B44"/>
    <w:rsid w:val="00A62B81"/>
    <w:rsid w:val="00A73FEF"/>
    <w:rsid w:val="00A86E91"/>
    <w:rsid w:val="00A92CDC"/>
    <w:rsid w:val="00A93A14"/>
    <w:rsid w:val="00A944BB"/>
    <w:rsid w:val="00A95972"/>
    <w:rsid w:val="00A96004"/>
    <w:rsid w:val="00A96296"/>
    <w:rsid w:val="00AA0C18"/>
    <w:rsid w:val="00AA6E88"/>
    <w:rsid w:val="00AB043D"/>
    <w:rsid w:val="00AB31C4"/>
    <w:rsid w:val="00AB32EC"/>
    <w:rsid w:val="00AB54F0"/>
    <w:rsid w:val="00AB6BE2"/>
    <w:rsid w:val="00AC1160"/>
    <w:rsid w:val="00AC1E31"/>
    <w:rsid w:val="00AC753F"/>
    <w:rsid w:val="00AC7774"/>
    <w:rsid w:val="00AC7EEE"/>
    <w:rsid w:val="00AD5E99"/>
    <w:rsid w:val="00AD6137"/>
    <w:rsid w:val="00AD65D8"/>
    <w:rsid w:val="00AE3DE2"/>
    <w:rsid w:val="00AF235C"/>
    <w:rsid w:val="00AF4FCE"/>
    <w:rsid w:val="00AF7B2D"/>
    <w:rsid w:val="00B012AF"/>
    <w:rsid w:val="00B0490D"/>
    <w:rsid w:val="00B07A51"/>
    <w:rsid w:val="00B10222"/>
    <w:rsid w:val="00B20600"/>
    <w:rsid w:val="00B213C5"/>
    <w:rsid w:val="00B23DBA"/>
    <w:rsid w:val="00B2580E"/>
    <w:rsid w:val="00B2729D"/>
    <w:rsid w:val="00B300F1"/>
    <w:rsid w:val="00B4578A"/>
    <w:rsid w:val="00B461CE"/>
    <w:rsid w:val="00B50BAE"/>
    <w:rsid w:val="00B56E4C"/>
    <w:rsid w:val="00B75891"/>
    <w:rsid w:val="00B7791A"/>
    <w:rsid w:val="00B96790"/>
    <w:rsid w:val="00BA299B"/>
    <w:rsid w:val="00BA62C2"/>
    <w:rsid w:val="00BA763E"/>
    <w:rsid w:val="00BB1328"/>
    <w:rsid w:val="00BB2E18"/>
    <w:rsid w:val="00BB4B87"/>
    <w:rsid w:val="00BC0F81"/>
    <w:rsid w:val="00BC285D"/>
    <w:rsid w:val="00BC57FD"/>
    <w:rsid w:val="00BD45C7"/>
    <w:rsid w:val="00BD469F"/>
    <w:rsid w:val="00BD5A43"/>
    <w:rsid w:val="00BE0B8F"/>
    <w:rsid w:val="00BE5878"/>
    <w:rsid w:val="00BE6BC3"/>
    <w:rsid w:val="00BF4B7A"/>
    <w:rsid w:val="00C0291B"/>
    <w:rsid w:val="00C07709"/>
    <w:rsid w:val="00C2024D"/>
    <w:rsid w:val="00C218C7"/>
    <w:rsid w:val="00C22AA2"/>
    <w:rsid w:val="00C25011"/>
    <w:rsid w:val="00C25DA3"/>
    <w:rsid w:val="00C35640"/>
    <w:rsid w:val="00C439F4"/>
    <w:rsid w:val="00C533D4"/>
    <w:rsid w:val="00C57C26"/>
    <w:rsid w:val="00C57DEA"/>
    <w:rsid w:val="00C607A5"/>
    <w:rsid w:val="00C61746"/>
    <w:rsid w:val="00C65983"/>
    <w:rsid w:val="00C65AD4"/>
    <w:rsid w:val="00C75403"/>
    <w:rsid w:val="00C7687F"/>
    <w:rsid w:val="00C77ABA"/>
    <w:rsid w:val="00C90294"/>
    <w:rsid w:val="00C93322"/>
    <w:rsid w:val="00CA36F5"/>
    <w:rsid w:val="00CB1B47"/>
    <w:rsid w:val="00CB4E07"/>
    <w:rsid w:val="00CC22E6"/>
    <w:rsid w:val="00CC6D03"/>
    <w:rsid w:val="00CD1AB8"/>
    <w:rsid w:val="00CD5AB9"/>
    <w:rsid w:val="00CE3707"/>
    <w:rsid w:val="00CE5F71"/>
    <w:rsid w:val="00D001ED"/>
    <w:rsid w:val="00D01ADE"/>
    <w:rsid w:val="00D01DE0"/>
    <w:rsid w:val="00D07F72"/>
    <w:rsid w:val="00D15933"/>
    <w:rsid w:val="00D218DB"/>
    <w:rsid w:val="00D23D94"/>
    <w:rsid w:val="00D27F0D"/>
    <w:rsid w:val="00D3029C"/>
    <w:rsid w:val="00D31EE3"/>
    <w:rsid w:val="00D46F5C"/>
    <w:rsid w:val="00D52362"/>
    <w:rsid w:val="00D61D4B"/>
    <w:rsid w:val="00D6310A"/>
    <w:rsid w:val="00D64824"/>
    <w:rsid w:val="00D8112F"/>
    <w:rsid w:val="00D82CF0"/>
    <w:rsid w:val="00D84CE0"/>
    <w:rsid w:val="00D85A56"/>
    <w:rsid w:val="00D94818"/>
    <w:rsid w:val="00D9671B"/>
    <w:rsid w:val="00DA5AE3"/>
    <w:rsid w:val="00DA668F"/>
    <w:rsid w:val="00DC07EC"/>
    <w:rsid w:val="00DC380A"/>
    <w:rsid w:val="00DC47D9"/>
    <w:rsid w:val="00DC4D35"/>
    <w:rsid w:val="00DC4F51"/>
    <w:rsid w:val="00DC6399"/>
    <w:rsid w:val="00DD0675"/>
    <w:rsid w:val="00DD113E"/>
    <w:rsid w:val="00DD1421"/>
    <w:rsid w:val="00DD450B"/>
    <w:rsid w:val="00DD79C8"/>
    <w:rsid w:val="00DE4772"/>
    <w:rsid w:val="00DE75B2"/>
    <w:rsid w:val="00E05DD0"/>
    <w:rsid w:val="00E12B6A"/>
    <w:rsid w:val="00E14883"/>
    <w:rsid w:val="00E42015"/>
    <w:rsid w:val="00E520CF"/>
    <w:rsid w:val="00E52176"/>
    <w:rsid w:val="00E5337B"/>
    <w:rsid w:val="00E601DD"/>
    <w:rsid w:val="00E623CA"/>
    <w:rsid w:val="00E77DA4"/>
    <w:rsid w:val="00E83549"/>
    <w:rsid w:val="00E85A3C"/>
    <w:rsid w:val="00E8613D"/>
    <w:rsid w:val="00E87836"/>
    <w:rsid w:val="00E92136"/>
    <w:rsid w:val="00EA06F8"/>
    <w:rsid w:val="00EA245D"/>
    <w:rsid w:val="00EA2F6B"/>
    <w:rsid w:val="00EA3A35"/>
    <w:rsid w:val="00EA3E45"/>
    <w:rsid w:val="00EA51AA"/>
    <w:rsid w:val="00EB3388"/>
    <w:rsid w:val="00EB3C3C"/>
    <w:rsid w:val="00EB4022"/>
    <w:rsid w:val="00EB49B7"/>
    <w:rsid w:val="00EB6FEF"/>
    <w:rsid w:val="00ED13EE"/>
    <w:rsid w:val="00ED5406"/>
    <w:rsid w:val="00ED68D7"/>
    <w:rsid w:val="00ED78F6"/>
    <w:rsid w:val="00EE214F"/>
    <w:rsid w:val="00EE40D5"/>
    <w:rsid w:val="00EE43AC"/>
    <w:rsid w:val="00EE6A52"/>
    <w:rsid w:val="00F0041A"/>
    <w:rsid w:val="00F00A73"/>
    <w:rsid w:val="00F00B24"/>
    <w:rsid w:val="00F02029"/>
    <w:rsid w:val="00F05230"/>
    <w:rsid w:val="00F05561"/>
    <w:rsid w:val="00F06FA1"/>
    <w:rsid w:val="00F07746"/>
    <w:rsid w:val="00F10483"/>
    <w:rsid w:val="00F141C7"/>
    <w:rsid w:val="00F15399"/>
    <w:rsid w:val="00F16EB7"/>
    <w:rsid w:val="00F25D61"/>
    <w:rsid w:val="00F26526"/>
    <w:rsid w:val="00F313C5"/>
    <w:rsid w:val="00F32B4D"/>
    <w:rsid w:val="00F34E88"/>
    <w:rsid w:val="00F36D6D"/>
    <w:rsid w:val="00F370D7"/>
    <w:rsid w:val="00F413A4"/>
    <w:rsid w:val="00F46236"/>
    <w:rsid w:val="00F5013E"/>
    <w:rsid w:val="00F530F9"/>
    <w:rsid w:val="00F567E7"/>
    <w:rsid w:val="00F57C59"/>
    <w:rsid w:val="00F60615"/>
    <w:rsid w:val="00F63BEA"/>
    <w:rsid w:val="00F65C6F"/>
    <w:rsid w:val="00F7254F"/>
    <w:rsid w:val="00F814C3"/>
    <w:rsid w:val="00F83D5E"/>
    <w:rsid w:val="00F92FF0"/>
    <w:rsid w:val="00F9704C"/>
    <w:rsid w:val="00FA130A"/>
    <w:rsid w:val="00FA1727"/>
    <w:rsid w:val="00FB0BC5"/>
    <w:rsid w:val="00FB0DCA"/>
    <w:rsid w:val="00FB3AFA"/>
    <w:rsid w:val="00FB3C7B"/>
    <w:rsid w:val="00FB3D92"/>
    <w:rsid w:val="00FB7A5A"/>
    <w:rsid w:val="00FC33CC"/>
    <w:rsid w:val="00FC6992"/>
    <w:rsid w:val="00FD192E"/>
    <w:rsid w:val="00FD1E2C"/>
    <w:rsid w:val="00FD385F"/>
    <w:rsid w:val="00FE0968"/>
    <w:rsid w:val="00FE7D2E"/>
    <w:rsid w:val="00FF04F8"/>
    <w:rsid w:val="00FF054A"/>
    <w:rsid w:val="00FF4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2C3DB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A72"/>
    <w:pPr>
      <w:spacing w:after="240" w:line="240" w:lineRule="auto"/>
      <w:jc w:val="both"/>
    </w:pPr>
    <w:rPr>
      <w:rFonts w:ascii="Courier New" w:eastAsia="Times New Roman" w:hAnsi="Courier New" w:cs="Times New Roman"/>
      <w:sz w:val="24"/>
      <w:szCs w:val="20"/>
      <w:lang w:eastAsia="en-GB"/>
    </w:rPr>
  </w:style>
  <w:style w:type="paragraph" w:styleId="Heading1">
    <w:name w:val="heading 1"/>
    <w:aliases w:val="Heading 1 Char Char Char Char Char Char Char Char Char Char Char Char Char Char"/>
    <w:basedOn w:val="Normal"/>
    <w:next w:val="Normal"/>
    <w:link w:val="Heading1Char1"/>
    <w:qFormat/>
    <w:rsid w:val="0056093A"/>
    <w:pPr>
      <w:keepNext/>
      <w:numPr>
        <w:numId w:val="3"/>
      </w:numPr>
      <w:spacing w:before="240"/>
      <w:outlineLvl w:val="0"/>
    </w:pPr>
    <w:rPr>
      <w:b/>
      <w:smallCaps/>
    </w:rPr>
  </w:style>
  <w:style w:type="paragraph" w:styleId="Heading2">
    <w:name w:val="heading 2"/>
    <w:basedOn w:val="Normal"/>
    <w:next w:val="Normal"/>
    <w:link w:val="Heading2Char"/>
    <w:qFormat/>
    <w:rsid w:val="0056093A"/>
    <w:pPr>
      <w:keepNext/>
      <w:numPr>
        <w:ilvl w:val="1"/>
        <w:numId w:val="3"/>
      </w:numPr>
      <w:outlineLvl w:val="1"/>
    </w:pPr>
    <w:rPr>
      <w:b/>
    </w:rPr>
  </w:style>
  <w:style w:type="paragraph" w:styleId="Heading3">
    <w:name w:val="heading 3"/>
    <w:basedOn w:val="Normal"/>
    <w:next w:val="Normal"/>
    <w:link w:val="Heading3Char"/>
    <w:qFormat/>
    <w:rsid w:val="0056093A"/>
    <w:pPr>
      <w:keepNext/>
      <w:numPr>
        <w:ilvl w:val="2"/>
        <w:numId w:val="3"/>
      </w:numPr>
      <w:outlineLvl w:val="2"/>
    </w:pPr>
    <w:rPr>
      <w:i/>
    </w:rPr>
  </w:style>
  <w:style w:type="paragraph" w:styleId="Heading4">
    <w:name w:val="heading 4"/>
    <w:basedOn w:val="Normal"/>
    <w:next w:val="Normal"/>
    <w:link w:val="Heading4Char"/>
    <w:qFormat/>
    <w:rsid w:val="0056093A"/>
    <w:pPr>
      <w:keepNext/>
      <w:numPr>
        <w:ilvl w:val="3"/>
        <w:numId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semiHidden/>
    <w:unhideWhenUsed/>
    <w:rsid w:val="00781A72"/>
    <w:pPr>
      <w:spacing w:after="0"/>
      <w:ind w:left="5103" w:right="-567"/>
      <w:jc w:val="left"/>
    </w:pPr>
  </w:style>
  <w:style w:type="character" w:customStyle="1" w:styleId="DateChar">
    <w:name w:val="Date Char"/>
    <w:basedOn w:val="DefaultParagraphFont"/>
    <w:link w:val="Date"/>
    <w:semiHidden/>
    <w:rsid w:val="00781A72"/>
    <w:rPr>
      <w:rFonts w:ascii="Courier New" w:eastAsia="Times New Roman" w:hAnsi="Courier New" w:cs="Times New Roman"/>
      <w:sz w:val="24"/>
      <w:szCs w:val="20"/>
      <w:lang w:eastAsia="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List Paragraph compact"/>
    <w:basedOn w:val="Normal"/>
    <w:link w:val="ListParagraphChar"/>
    <w:qFormat/>
    <w:rsid w:val="00781A72"/>
    <w:pPr>
      <w:spacing w:after="200" w:line="276" w:lineRule="auto"/>
      <w:ind w:left="720"/>
      <w:contextualSpacing/>
      <w:jc w:val="left"/>
    </w:pPr>
    <w:rPr>
      <w:rFonts w:ascii="Calibri" w:eastAsia="Calibri" w:hAnsi="Calibri"/>
      <w:sz w:val="22"/>
      <w:szCs w:val="22"/>
      <w:lang w:eastAsia="en-US"/>
    </w:rPr>
  </w:style>
  <w:style w:type="paragraph" w:customStyle="1" w:styleId="Subject">
    <w:name w:val="Subject"/>
    <w:basedOn w:val="Normal"/>
    <w:next w:val="Normal"/>
    <w:rsid w:val="00781A72"/>
    <w:pPr>
      <w:spacing w:after="480"/>
      <w:ind w:left="1191" w:hanging="1191"/>
      <w:jc w:val="left"/>
    </w:pPr>
    <w:rPr>
      <w:b/>
    </w:rPr>
  </w:style>
  <w:style w:type="paragraph" w:customStyle="1" w:styleId="ZDGName">
    <w:name w:val="Z_DGName"/>
    <w:basedOn w:val="Normal"/>
    <w:uiPriority w:val="99"/>
    <w:rsid w:val="00781A72"/>
    <w:pPr>
      <w:spacing w:after="0"/>
      <w:ind w:right="85"/>
    </w:pPr>
    <w:rPr>
      <w:rFonts w:ascii="Arial" w:hAnsi="Arial"/>
      <w:sz w:val="16"/>
    </w:rPr>
  </w:style>
  <w:style w:type="paragraph" w:customStyle="1" w:styleId="ZCom">
    <w:name w:val="Z_Com"/>
    <w:basedOn w:val="Normal"/>
    <w:next w:val="ZDGName"/>
    <w:uiPriority w:val="99"/>
    <w:rsid w:val="00781A72"/>
    <w:pPr>
      <w:spacing w:after="0"/>
      <w:ind w:right="85"/>
    </w:pPr>
    <w:rPr>
      <w:rFonts w:ascii="Arial" w:hAnsi="Arial"/>
    </w:rPr>
  </w:style>
  <w:style w:type="paragraph" w:customStyle="1" w:styleId="ZFlag">
    <w:name w:val="Z_Flag"/>
    <w:basedOn w:val="Normal"/>
    <w:next w:val="Normal"/>
    <w:uiPriority w:val="99"/>
    <w:semiHidden/>
    <w:rsid w:val="00781A72"/>
    <w:pPr>
      <w:widowControl w:val="0"/>
      <w:spacing w:after="0"/>
      <w:ind w:right="85"/>
    </w:pPr>
    <w:rPr>
      <w:rFonts w:ascii="Times New Roman" w:hAnsi="Times New Roman"/>
      <w:lang w:eastAsia="fr-BE"/>
    </w:rPr>
  </w:style>
  <w:style w:type="table" w:customStyle="1" w:styleId="TableLetterhead">
    <w:name w:val="Table Letterhead"/>
    <w:basedOn w:val="TableNormal"/>
    <w:uiPriority w:val="99"/>
    <w:rsid w:val="00781A72"/>
    <w:pPr>
      <w:spacing w:after="0" w:line="240" w:lineRule="auto"/>
    </w:pPr>
    <w:rPr>
      <w:rFonts w:ascii="Times New Roman" w:eastAsia="Times New Roman" w:hAnsi="Times New Roman" w:cs="Times New Roman"/>
      <w:sz w:val="24"/>
      <w:szCs w:val="20"/>
      <w:lang w:eastAsia="fr-BE"/>
    </w:rPr>
    <w:tblPr>
      <w:tblInd w:w="0" w:type="nil"/>
      <w:tblCellMar>
        <w:left w:w="0" w:type="dxa"/>
        <w:bottom w:w="340" w:type="dxa"/>
        <w:right w:w="0" w:type="dxa"/>
      </w:tblCellMar>
    </w:tbl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CSR"/>
    <w:basedOn w:val="Normal"/>
    <w:link w:val="FootnoteTextChar2"/>
    <w:uiPriority w:val="99"/>
    <w:qFormat/>
    <w:rsid w:val="00E5337B"/>
    <w:pPr>
      <w:ind w:left="357" w:hanging="357"/>
    </w:pPr>
    <w:rPr>
      <w:sz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5_G Char,Fußn Char"/>
    <w:basedOn w:val="DefaultParagraphFont"/>
    <w:uiPriority w:val="99"/>
    <w:qFormat/>
    <w:rsid w:val="00E5337B"/>
    <w:rPr>
      <w:rFonts w:ascii="Courier New" w:eastAsia="Times New Roman" w:hAnsi="Courier New" w:cs="Times New Roman"/>
      <w:sz w:val="20"/>
      <w:szCs w:val="20"/>
      <w:lang w:eastAsia="en-GB"/>
    </w:rPr>
  </w:style>
  <w:style w:type="paragraph" w:styleId="ListBullet">
    <w:name w:val="List Bullet"/>
    <w:basedOn w:val="Normal"/>
    <w:link w:val="ListBulletChar"/>
    <w:uiPriority w:val="99"/>
    <w:rsid w:val="00E5337B"/>
    <w:pPr>
      <w:numPr>
        <w:numId w:val="1"/>
      </w:numPr>
    </w:p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E5337B"/>
    <w:rPr>
      <w:vertAlign w:val="superscript"/>
    </w:rPr>
  </w:style>
  <w:style w:type="character" w:styleId="Hyperlink">
    <w:name w:val="Hyperlink"/>
    <w:aliases w:val="Char1"/>
    <w:uiPriority w:val="99"/>
    <w:rsid w:val="00E5337B"/>
    <w:rPr>
      <w:color w:val="0000FF"/>
      <w:u w:val="single"/>
    </w:rPr>
  </w:style>
  <w:style w:type="character" w:customStyle="1" w:styleId="ListBulletChar">
    <w:name w:val="List Bullet Char"/>
    <w:link w:val="ListBullet"/>
    <w:uiPriority w:val="99"/>
    <w:rsid w:val="00E5337B"/>
    <w:rPr>
      <w:rFonts w:ascii="Courier New" w:eastAsia="Times New Roman" w:hAnsi="Courier New" w:cs="Times New Roman"/>
      <w:sz w:val="24"/>
      <w:szCs w:val="20"/>
      <w:lang w:eastAsia="en-GB"/>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rsid w:val="00E5337B"/>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E5337B"/>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rsid w:val="00E5337B"/>
    <w:pPr>
      <w:spacing w:after="0" w:line="360" w:lineRule="auto"/>
    </w:pPr>
    <w:rPr>
      <w:rFonts w:ascii="Verdana" w:hAnsi="Verdana"/>
      <w:sz w:val="20"/>
      <w:lang w:eastAsia="pl-PL"/>
    </w:rPr>
  </w:style>
  <w:style w:type="paragraph" w:styleId="BalloonText">
    <w:name w:val="Balloon Text"/>
    <w:basedOn w:val="Normal"/>
    <w:link w:val="BalloonTextChar"/>
    <w:uiPriority w:val="99"/>
    <w:semiHidden/>
    <w:unhideWhenUsed/>
    <w:rsid w:val="00467C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C10"/>
    <w:rPr>
      <w:rFonts w:ascii="Segoe UI" w:eastAsia="Times New Roman" w:hAnsi="Segoe UI" w:cs="Segoe UI"/>
      <w:sz w:val="18"/>
      <w:szCs w:val="18"/>
      <w:lang w:eastAsia="en-GB"/>
    </w:rPr>
  </w:style>
  <w:style w:type="character" w:customStyle="1" w:styleId="st">
    <w:name w:val="st"/>
    <w:basedOn w:val="DefaultParagraphFont"/>
    <w:rsid w:val="00EA06F8"/>
  </w:style>
  <w:style w:type="paragraph" w:styleId="NormalWeb">
    <w:name w:val="Normal (Web)"/>
    <w:aliases w:val=" webb,webb"/>
    <w:basedOn w:val="Normal"/>
    <w:link w:val="NormalWebChar"/>
    <w:uiPriority w:val="99"/>
    <w:rsid w:val="00392320"/>
    <w:pPr>
      <w:spacing w:before="100" w:beforeAutospacing="1" w:after="100" w:afterAutospacing="1"/>
      <w:jc w:val="left"/>
    </w:pPr>
    <w:rPr>
      <w:rFonts w:ascii="Times New Roman" w:hAnsi="Times New Roman"/>
      <w:szCs w:val="24"/>
    </w:rPr>
  </w:style>
  <w:style w:type="character" w:customStyle="1" w:styleId="NormalWebChar">
    <w:name w:val="Normal (Web) Char"/>
    <w:aliases w:val=" webb Char,webb Char"/>
    <w:link w:val="NormalWeb"/>
    <w:rsid w:val="00392320"/>
    <w:rPr>
      <w:rFonts w:ascii="Times New Roman" w:eastAsia="Times New Roman" w:hAnsi="Times New Roman" w:cs="Times New Roman"/>
      <w:sz w:val="24"/>
      <w:szCs w:val="24"/>
      <w:lang w:eastAsia="en-GB"/>
    </w:rPr>
  </w:style>
  <w:style w:type="paragraph" w:customStyle="1" w:styleId="Body">
    <w:name w:val="Body"/>
    <w:basedOn w:val="Normal"/>
    <w:link w:val="BodyChar"/>
    <w:qFormat/>
    <w:rsid w:val="00392320"/>
    <w:pPr>
      <w:spacing w:before="120" w:after="120"/>
    </w:pPr>
    <w:rPr>
      <w:rFonts w:ascii="EC Square Sans Pro" w:hAnsi="EC Square Sans Pro"/>
      <w:szCs w:val="24"/>
      <w:lang w:eastAsia="en-US"/>
    </w:rPr>
  </w:style>
  <w:style w:type="character" w:customStyle="1" w:styleId="BodyChar">
    <w:name w:val="Body Char"/>
    <w:link w:val="Body"/>
    <w:rsid w:val="00392320"/>
    <w:rPr>
      <w:rFonts w:ascii="EC Square Sans Pro" w:eastAsia="Times New Roman" w:hAnsi="EC Square Sans Pro" w:cs="Times New Roman"/>
      <w:sz w:val="24"/>
      <w:szCs w:val="24"/>
    </w:rPr>
  </w:style>
  <w:style w:type="paragraph" w:customStyle="1" w:styleId="Text1">
    <w:name w:val="Text 1"/>
    <w:basedOn w:val="Normal"/>
    <w:link w:val="Text1Char"/>
    <w:rsid w:val="00711B1C"/>
    <w:pPr>
      <w:ind w:left="482"/>
    </w:pPr>
  </w:style>
  <w:style w:type="character" w:customStyle="1" w:styleId="Text1Char">
    <w:name w:val="Text 1 Char"/>
    <w:link w:val="Text1"/>
    <w:rsid w:val="00711B1C"/>
    <w:rPr>
      <w:rFonts w:ascii="Courier New" w:eastAsia="Times New Roman" w:hAnsi="Courier New" w:cs="Times New Roman"/>
      <w:sz w:val="24"/>
      <w:szCs w:val="20"/>
      <w:lang w:eastAsia="en-GB"/>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711B1C"/>
    <w:rPr>
      <w:rFonts w:ascii="Calibri" w:eastAsia="Calibri" w:hAnsi="Calibri" w:cs="Times New Roman"/>
      <w:lang w:val="en-GB"/>
    </w:rPr>
  </w:style>
  <w:style w:type="character" w:styleId="Emphasis">
    <w:name w:val="Emphasis"/>
    <w:basedOn w:val="DefaultParagraphFont"/>
    <w:uiPriority w:val="20"/>
    <w:qFormat/>
    <w:rsid w:val="00273ED5"/>
    <w:rPr>
      <w:i/>
      <w:iCs/>
    </w:rPr>
  </w:style>
  <w:style w:type="character" w:customStyle="1" w:styleId="epname">
    <w:name w:val="ep_name"/>
    <w:basedOn w:val="DefaultParagraphFont"/>
    <w:rsid w:val="0058343D"/>
  </w:style>
  <w:style w:type="paragraph" w:styleId="Header">
    <w:name w:val="header"/>
    <w:basedOn w:val="Normal"/>
    <w:link w:val="HeaderChar"/>
    <w:uiPriority w:val="99"/>
    <w:unhideWhenUsed/>
    <w:rsid w:val="00D64824"/>
    <w:pPr>
      <w:tabs>
        <w:tab w:val="center" w:pos="4513"/>
        <w:tab w:val="right" w:pos="9026"/>
      </w:tabs>
      <w:spacing w:after="0"/>
    </w:pPr>
  </w:style>
  <w:style w:type="character" w:customStyle="1" w:styleId="HeaderChar">
    <w:name w:val="Header Char"/>
    <w:basedOn w:val="DefaultParagraphFont"/>
    <w:link w:val="Header"/>
    <w:uiPriority w:val="99"/>
    <w:rsid w:val="00D64824"/>
    <w:rPr>
      <w:rFonts w:ascii="Courier New" w:eastAsia="Times New Roman" w:hAnsi="Courier New" w:cs="Times New Roman"/>
      <w:sz w:val="24"/>
      <w:szCs w:val="20"/>
      <w:lang w:eastAsia="en-GB"/>
    </w:rPr>
  </w:style>
  <w:style w:type="paragraph" w:styleId="Footer">
    <w:name w:val="footer"/>
    <w:basedOn w:val="Normal"/>
    <w:link w:val="FooterChar"/>
    <w:unhideWhenUsed/>
    <w:rsid w:val="00D64824"/>
    <w:pPr>
      <w:tabs>
        <w:tab w:val="center" w:pos="4513"/>
        <w:tab w:val="right" w:pos="9026"/>
      </w:tabs>
      <w:spacing w:after="0"/>
    </w:pPr>
  </w:style>
  <w:style w:type="character" w:customStyle="1" w:styleId="FooterChar">
    <w:name w:val="Footer Char"/>
    <w:basedOn w:val="DefaultParagraphFont"/>
    <w:link w:val="Footer"/>
    <w:rsid w:val="00D64824"/>
    <w:rPr>
      <w:rFonts w:ascii="Courier New" w:eastAsia="Times New Roman" w:hAnsi="Courier New" w:cs="Times New Roman"/>
      <w:sz w:val="24"/>
      <w:szCs w:val="20"/>
      <w:lang w:eastAsia="en-GB"/>
    </w:rPr>
  </w:style>
  <w:style w:type="paragraph" w:styleId="CommentText">
    <w:name w:val="annotation text"/>
    <w:basedOn w:val="Normal"/>
    <w:link w:val="CommentTextChar"/>
    <w:rsid w:val="006E79A2"/>
    <w:rPr>
      <w:sz w:val="20"/>
    </w:rPr>
  </w:style>
  <w:style w:type="character" w:customStyle="1" w:styleId="CommentTextChar">
    <w:name w:val="Comment Text Char"/>
    <w:basedOn w:val="DefaultParagraphFont"/>
    <w:link w:val="CommentText"/>
    <w:rsid w:val="006E79A2"/>
    <w:rPr>
      <w:rFonts w:ascii="Courier New" w:eastAsia="Times New Roman" w:hAnsi="Courier New" w:cs="Times New Roman"/>
      <w:sz w:val="20"/>
      <w:szCs w:val="20"/>
      <w:lang w:eastAsia="en-GB"/>
    </w:rPr>
  </w:style>
  <w:style w:type="character" w:styleId="CommentReference">
    <w:name w:val="annotation reference"/>
    <w:rsid w:val="006E79A2"/>
    <w:rPr>
      <w:sz w:val="16"/>
    </w:rPr>
  </w:style>
  <w:style w:type="character" w:styleId="FollowedHyperlink">
    <w:name w:val="FollowedHyperlink"/>
    <w:basedOn w:val="DefaultParagraphFont"/>
    <w:uiPriority w:val="99"/>
    <w:semiHidden/>
    <w:unhideWhenUsed/>
    <w:rsid w:val="000F5CA1"/>
    <w:rPr>
      <w:color w:val="800080" w:themeColor="followedHyperlink"/>
      <w:u w:val="single"/>
    </w:rPr>
  </w:style>
  <w:style w:type="character" w:customStyle="1" w:styleId="highlight">
    <w:name w:val="highlight"/>
    <w:rsid w:val="00C07709"/>
  </w:style>
  <w:style w:type="paragraph" w:customStyle="1" w:styleId="site-slogan">
    <w:name w:val="site-slogan"/>
    <w:basedOn w:val="Normal"/>
    <w:rsid w:val="0082752A"/>
    <w:pPr>
      <w:spacing w:before="100" w:beforeAutospacing="1" w:after="100" w:afterAutospacing="1"/>
      <w:jc w:val="left"/>
    </w:pPr>
    <w:rPr>
      <w:rFonts w:ascii="Times New Roman" w:hAnsi="Times New Roman"/>
      <w:szCs w:val="24"/>
    </w:rPr>
  </w:style>
  <w:style w:type="paragraph" w:styleId="CommentSubject">
    <w:name w:val="annotation subject"/>
    <w:basedOn w:val="CommentText"/>
    <w:next w:val="CommentText"/>
    <w:link w:val="CommentSubjectChar"/>
    <w:uiPriority w:val="99"/>
    <w:semiHidden/>
    <w:unhideWhenUsed/>
    <w:rsid w:val="00566FB5"/>
    <w:rPr>
      <w:b/>
      <w:bCs/>
    </w:rPr>
  </w:style>
  <w:style w:type="character" w:customStyle="1" w:styleId="CommentSubjectChar">
    <w:name w:val="Comment Subject Char"/>
    <w:basedOn w:val="CommentTextChar"/>
    <w:link w:val="CommentSubject"/>
    <w:uiPriority w:val="99"/>
    <w:semiHidden/>
    <w:rsid w:val="00566FB5"/>
    <w:rPr>
      <w:rFonts w:ascii="Courier New" w:eastAsia="Times New Roman" w:hAnsi="Courier New" w:cs="Times New Roman"/>
      <w:b/>
      <w:bCs/>
      <w:sz w:val="20"/>
      <w:szCs w:val="20"/>
      <w:lang w:eastAsia="en-GB"/>
    </w:rPr>
  </w:style>
  <w:style w:type="character" w:styleId="Strong">
    <w:name w:val="Strong"/>
    <w:basedOn w:val="DefaultParagraphFont"/>
    <w:uiPriority w:val="22"/>
    <w:qFormat/>
    <w:rsid w:val="00A73FEF"/>
    <w:rPr>
      <w:b/>
      <w:bCs/>
    </w:rPr>
  </w:style>
  <w:style w:type="paragraph" w:customStyle="1" w:styleId="Normal1">
    <w:name w:val="Normal1"/>
    <w:basedOn w:val="Normal"/>
    <w:rsid w:val="00865F64"/>
    <w:pPr>
      <w:spacing w:before="100" w:beforeAutospacing="1" w:after="100" w:afterAutospacing="1"/>
      <w:jc w:val="left"/>
    </w:pPr>
    <w:rPr>
      <w:rFonts w:ascii="Times New Roman" w:hAnsi="Times New Roman"/>
      <w:szCs w:val="24"/>
      <w:lang w:val="fr-BE" w:eastAsia="fr-BE"/>
    </w:rPr>
  </w:style>
  <w:style w:type="character" w:customStyle="1" w:styleId="footnotereference0">
    <w:name w:val="footnotereference"/>
    <w:basedOn w:val="DefaultParagraphFont"/>
    <w:rsid w:val="005B7EAE"/>
  </w:style>
  <w:style w:type="paragraph" w:customStyle="1" w:styleId="NormalHanging12a">
    <w:name w:val="NormalHanging12a"/>
    <w:basedOn w:val="Normal"/>
    <w:link w:val="NormalHanging12aChar"/>
    <w:rsid w:val="00CC22E6"/>
    <w:pPr>
      <w:widowControl w:val="0"/>
      <w:ind w:left="567" w:hanging="567"/>
      <w:jc w:val="left"/>
    </w:pPr>
    <w:rPr>
      <w:rFonts w:ascii="Times New Roman" w:hAnsi="Times New Roman"/>
    </w:rPr>
  </w:style>
  <w:style w:type="character" w:customStyle="1" w:styleId="NormalHanging12aChar">
    <w:name w:val="NormalHanging12a Char"/>
    <w:link w:val="NormalHanging12a"/>
    <w:rsid w:val="00CC22E6"/>
    <w:rPr>
      <w:rFonts w:ascii="Times New Roman" w:eastAsia="Times New Roman" w:hAnsi="Times New Roman" w:cs="Times New Roman"/>
      <w:sz w:val="24"/>
      <w:szCs w:val="20"/>
      <w:lang w:eastAsia="en-GB"/>
    </w:rPr>
  </w:style>
  <w:style w:type="character" w:customStyle="1" w:styleId="oecd-shared-footercopyright-first">
    <w:name w:val="oecd-shared-footer__copyright-first"/>
    <w:basedOn w:val="DefaultParagraphFont"/>
    <w:rsid w:val="00641001"/>
  </w:style>
  <w:style w:type="character" w:customStyle="1" w:styleId="oecd-shared-footercopyright-second">
    <w:name w:val="oecd-shared-footer__copyright-second"/>
    <w:basedOn w:val="DefaultParagraphFont"/>
    <w:rsid w:val="00641001"/>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AB31C4"/>
    <w:pPr>
      <w:spacing w:after="160" w:line="240" w:lineRule="exact"/>
    </w:pPr>
    <w:rPr>
      <w:rFonts w:ascii="Times New Roman" w:hAnsi="Times New Roman"/>
      <w:sz w:val="20"/>
      <w:vertAlign w:val="superscript"/>
      <w:lang w:val="en-US" w:eastAsia="en-US"/>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ftref,Ref"/>
    <w:basedOn w:val="Normal"/>
    <w:rsid w:val="002F1D0F"/>
    <w:pPr>
      <w:suppressAutoHyphens/>
      <w:spacing w:after="0" w:line="240" w:lineRule="exact"/>
    </w:pPr>
    <w:rPr>
      <w:rFonts w:ascii="Times New Roman" w:hAnsi="Times New Roman"/>
      <w:sz w:val="20"/>
      <w:vertAlign w:val="superscript"/>
    </w:rPr>
  </w:style>
  <w:style w:type="character" w:styleId="HTMLCite">
    <w:name w:val="HTML Cite"/>
    <w:uiPriority w:val="99"/>
    <w:semiHidden/>
    <w:unhideWhenUsed/>
    <w:rsid w:val="002F1D0F"/>
    <w:rPr>
      <w:i/>
      <w:iCs/>
      <w:lang w:val="en-GB"/>
    </w:rPr>
  </w:style>
  <w:style w:type="paragraph" w:customStyle="1" w:styleId="Default">
    <w:name w:val="Default"/>
    <w:rsid w:val="002F1D0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uiPriority w:val="9"/>
    <w:rsid w:val="0056093A"/>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rsid w:val="0056093A"/>
    <w:rPr>
      <w:rFonts w:ascii="Courier New" w:eastAsia="Times New Roman" w:hAnsi="Courier New" w:cs="Times New Roman"/>
      <w:b/>
      <w:sz w:val="24"/>
      <w:szCs w:val="20"/>
      <w:lang w:eastAsia="en-GB"/>
    </w:rPr>
  </w:style>
  <w:style w:type="character" w:customStyle="1" w:styleId="Heading3Char">
    <w:name w:val="Heading 3 Char"/>
    <w:basedOn w:val="DefaultParagraphFont"/>
    <w:link w:val="Heading3"/>
    <w:rsid w:val="0056093A"/>
    <w:rPr>
      <w:rFonts w:ascii="Courier New" w:eastAsia="Times New Roman" w:hAnsi="Courier New" w:cs="Times New Roman"/>
      <w:i/>
      <w:sz w:val="24"/>
      <w:szCs w:val="20"/>
      <w:lang w:eastAsia="en-GB"/>
    </w:rPr>
  </w:style>
  <w:style w:type="character" w:customStyle="1" w:styleId="Heading4Char">
    <w:name w:val="Heading 4 Char"/>
    <w:basedOn w:val="DefaultParagraphFont"/>
    <w:link w:val="Heading4"/>
    <w:rsid w:val="0056093A"/>
    <w:rPr>
      <w:rFonts w:ascii="Courier New" w:eastAsia="Times New Roman" w:hAnsi="Courier New" w:cs="Times New Roman"/>
      <w:sz w:val="24"/>
      <w:szCs w:val="20"/>
      <w:lang w:eastAsia="en-GB"/>
    </w:rPr>
  </w:style>
  <w:style w:type="character" w:customStyle="1" w:styleId="Heading1Char1">
    <w:name w:val="Heading 1 Char1"/>
    <w:aliases w:val="Heading 1 Char Char Char Char Char Char Char Char Char Char Char Char Char Char Char"/>
    <w:link w:val="Heading1"/>
    <w:rsid w:val="0056093A"/>
    <w:rPr>
      <w:rFonts w:ascii="Courier New" w:eastAsia="Times New Roman" w:hAnsi="Courier New" w:cs="Times New Roman"/>
      <w:b/>
      <w:smallCaps/>
      <w:sz w:val="24"/>
      <w:szCs w:val="20"/>
      <w:lang w:eastAsia="en-GB"/>
    </w:rPr>
  </w:style>
  <w:style w:type="character" w:styleId="PageNumber">
    <w:name w:val="page number"/>
    <w:basedOn w:val="DefaultParagraphFont"/>
    <w:rsid w:val="00C22AA2"/>
  </w:style>
  <w:style w:type="paragraph" w:customStyle="1" w:styleId="Text3">
    <w:name w:val="Text 3"/>
    <w:basedOn w:val="Normal"/>
    <w:rsid w:val="00F567E7"/>
    <w:pPr>
      <w:tabs>
        <w:tab w:val="left" w:pos="2302"/>
      </w:tabs>
      <w:ind w:left="1916"/>
    </w:pPr>
  </w:style>
  <w:style w:type="paragraph" w:styleId="ListBullet4">
    <w:name w:val="List Bullet 4"/>
    <w:basedOn w:val="Normal"/>
    <w:rsid w:val="00F567E7"/>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08313">
      <w:bodyDiv w:val="1"/>
      <w:marLeft w:val="0"/>
      <w:marRight w:val="0"/>
      <w:marTop w:val="0"/>
      <w:marBottom w:val="0"/>
      <w:divBdr>
        <w:top w:val="none" w:sz="0" w:space="0" w:color="auto"/>
        <w:left w:val="none" w:sz="0" w:space="0" w:color="auto"/>
        <w:bottom w:val="none" w:sz="0" w:space="0" w:color="auto"/>
        <w:right w:val="none" w:sz="0" w:space="0" w:color="auto"/>
      </w:divBdr>
      <w:divsChild>
        <w:div w:id="1290237141">
          <w:marLeft w:val="360"/>
          <w:marRight w:val="0"/>
          <w:marTop w:val="0"/>
          <w:marBottom w:val="0"/>
          <w:divBdr>
            <w:top w:val="none" w:sz="0" w:space="0" w:color="auto"/>
            <w:left w:val="none" w:sz="0" w:space="0" w:color="auto"/>
            <w:bottom w:val="none" w:sz="0" w:space="0" w:color="auto"/>
            <w:right w:val="none" w:sz="0" w:space="0" w:color="auto"/>
          </w:divBdr>
        </w:div>
      </w:divsChild>
    </w:div>
    <w:div w:id="1124077493">
      <w:bodyDiv w:val="1"/>
      <w:marLeft w:val="0"/>
      <w:marRight w:val="0"/>
      <w:marTop w:val="0"/>
      <w:marBottom w:val="0"/>
      <w:divBdr>
        <w:top w:val="none" w:sz="0" w:space="0" w:color="auto"/>
        <w:left w:val="none" w:sz="0" w:space="0" w:color="auto"/>
        <w:bottom w:val="none" w:sz="0" w:space="0" w:color="auto"/>
        <w:right w:val="none" w:sz="0" w:space="0" w:color="auto"/>
      </w:divBdr>
      <w:divsChild>
        <w:div w:id="1079408276">
          <w:marLeft w:val="0"/>
          <w:marRight w:val="0"/>
          <w:marTop w:val="0"/>
          <w:marBottom w:val="0"/>
          <w:divBdr>
            <w:top w:val="none" w:sz="0" w:space="0" w:color="auto"/>
            <w:left w:val="none" w:sz="0" w:space="0" w:color="auto"/>
            <w:bottom w:val="none" w:sz="0" w:space="0" w:color="auto"/>
            <w:right w:val="none" w:sz="0" w:space="0" w:color="auto"/>
          </w:divBdr>
        </w:div>
      </w:divsChild>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 w:id="20962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B5F29BD-3261-4024-9CF0-B2121F87D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3231</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2021-10-27T10:58:00Z</dcterms:created>
  <dcterms:modified xsi:type="dcterms:W3CDTF">2021-10-27T10:58:00Z</dcterms:modified>
</cp:coreProperties>
</file>