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F6" w:rsidRPr="002F61D1" w:rsidRDefault="00BA05F6" w:rsidP="00BA05F6">
      <w:pPr>
        <w:spacing w:after="600"/>
        <w:jc w:val="center"/>
        <w:rPr>
          <w:rFonts w:ascii="Times New Roman" w:hAnsi="Times New Roman"/>
          <w:b/>
          <w:bCs/>
        </w:rPr>
      </w:pPr>
      <w:bookmarkStart w:id="0" w:name="humanitarian"/>
      <w:bookmarkStart w:id="1" w:name="RoL"/>
      <w:bookmarkStart w:id="2" w:name="Blacksea"/>
      <w:bookmarkEnd w:id="0"/>
      <w:bookmarkEnd w:id="1"/>
      <w:r w:rsidRPr="00331DB9">
        <w:rPr>
          <w:rFonts w:ascii="Times New Roman" w:hAnsi="Times New Roman"/>
          <w:b/>
          <w:bCs/>
        </w:rPr>
        <w:t xml:space="preserve">Follow up to the </w:t>
      </w:r>
      <w:r w:rsidRPr="00F72670">
        <w:rPr>
          <w:rFonts w:ascii="Times New Roman" w:hAnsi="Times New Roman"/>
          <w:b/>
          <w:bCs/>
        </w:rPr>
        <w:t xml:space="preserve">European Parliament non-legislative resolution </w:t>
      </w:r>
      <w:r w:rsidRPr="00586FEA">
        <w:rPr>
          <w:rFonts w:ascii="Times New Roman" w:hAnsi="Times New Roman"/>
          <w:b/>
          <w:bCs/>
        </w:rPr>
        <w:t>on the challenges and opportunities for the fishing sector in the Black Sea</w:t>
      </w:r>
    </w:p>
    <w:bookmarkEnd w:id="2"/>
    <w:p w:rsidR="00BA05F6" w:rsidRPr="00586FEA" w:rsidRDefault="00BA05F6" w:rsidP="00BA05F6">
      <w:pPr>
        <w:numPr>
          <w:ilvl w:val="0"/>
          <w:numId w:val="1"/>
        </w:numPr>
        <w:ind w:left="567" w:hanging="567"/>
        <w:rPr>
          <w:rFonts w:ascii="Times New Roman" w:hAnsi="Times New Roman"/>
          <w:b/>
          <w:bCs/>
          <w:lang w:val="fr-BE"/>
        </w:rPr>
      </w:pPr>
      <w:r>
        <w:rPr>
          <w:rFonts w:ascii="Times New Roman" w:hAnsi="Times New Roman"/>
          <w:b/>
          <w:bCs/>
          <w:lang w:val="fr-BE"/>
        </w:rPr>
        <w:t xml:space="preserve">Rapporteur: </w:t>
      </w:r>
      <w:r w:rsidRPr="00586FEA">
        <w:rPr>
          <w:rFonts w:ascii="Times New Roman" w:hAnsi="Times New Roman"/>
          <w:bCs/>
          <w:lang w:val="fr-BE"/>
        </w:rPr>
        <w:t>Ivo HRISTOV (S&amp;D / BG)</w:t>
      </w:r>
    </w:p>
    <w:p w:rsidR="00BA05F6" w:rsidRPr="002F61D1" w:rsidRDefault="00BA05F6" w:rsidP="00BA05F6">
      <w:pPr>
        <w:numPr>
          <w:ilvl w:val="0"/>
          <w:numId w:val="1"/>
        </w:numPr>
        <w:ind w:left="567" w:hanging="567"/>
        <w:rPr>
          <w:rFonts w:ascii="Times New Roman" w:hAnsi="Times New Roman"/>
          <w:i/>
          <w:iCs/>
        </w:rPr>
      </w:pPr>
      <w:r w:rsidRPr="00F72670">
        <w:rPr>
          <w:rFonts w:ascii="Times New Roman" w:hAnsi="Times New Roman"/>
          <w:b/>
          <w:bCs/>
        </w:rPr>
        <w:t>Reference numbers:</w:t>
      </w:r>
      <w:r w:rsidRPr="00586FEA">
        <w:rPr>
          <w:rFonts w:ascii="Times New Roman" w:hAnsi="Times New Roman"/>
          <w:iCs/>
        </w:rPr>
        <w:t xml:space="preserve"> </w:t>
      </w:r>
      <w:r w:rsidRPr="00AB3F8E">
        <w:rPr>
          <w:rFonts w:ascii="Times New Roman" w:hAnsi="Times New Roman"/>
          <w:iCs/>
        </w:rPr>
        <w:t>201</w:t>
      </w:r>
      <w:r>
        <w:rPr>
          <w:rFonts w:ascii="Times New Roman" w:hAnsi="Times New Roman"/>
          <w:iCs/>
        </w:rPr>
        <w:t>9</w:t>
      </w:r>
      <w:r w:rsidRPr="00AB3F8E">
        <w:rPr>
          <w:rFonts w:ascii="Times New Roman" w:hAnsi="Times New Roman"/>
          <w:iCs/>
        </w:rPr>
        <w:t>/2</w:t>
      </w:r>
      <w:r>
        <w:rPr>
          <w:rFonts w:ascii="Times New Roman" w:hAnsi="Times New Roman"/>
          <w:iCs/>
        </w:rPr>
        <w:t xml:space="preserve">159 </w:t>
      </w:r>
      <w:r w:rsidRPr="00AB3F8E">
        <w:rPr>
          <w:rFonts w:ascii="Times New Roman" w:hAnsi="Times New Roman"/>
          <w:iCs/>
        </w:rPr>
        <w:t>(INI)</w:t>
      </w:r>
      <w:r>
        <w:rPr>
          <w:rFonts w:ascii="Times New Roman" w:hAnsi="Times New Roman"/>
          <w:iCs/>
        </w:rPr>
        <w:t xml:space="preserve"> / </w:t>
      </w:r>
      <w:bookmarkStart w:id="3" w:name="_GoBack"/>
      <w:r w:rsidRPr="00930393">
        <w:rPr>
          <w:rFonts w:ascii="Times New Roman" w:hAnsi="Times New Roman"/>
          <w:szCs w:val="24"/>
        </w:rPr>
        <w:t>A9-01</w:t>
      </w:r>
      <w:r>
        <w:rPr>
          <w:rFonts w:ascii="Times New Roman" w:hAnsi="Times New Roman"/>
          <w:szCs w:val="24"/>
        </w:rPr>
        <w:t>70</w:t>
      </w:r>
      <w:r w:rsidRPr="00930393">
        <w:rPr>
          <w:rFonts w:ascii="Times New Roman" w:hAnsi="Times New Roman"/>
          <w:szCs w:val="24"/>
        </w:rPr>
        <w:t>/2021</w:t>
      </w:r>
      <w:bookmarkEnd w:id="3"/>
      <w:r w:rsidRPr="00930393">
        <w:rPr>
          <w:rFonts w:ascii="Times New Roman" w:hAnsi="Times New Roman"/>
          <w:szCs w:val="24"/>
        </w:rPr>
        <w:t xml:space="preserve"> / </w:t>
      </w:r>
      <w:r w:rsidRPr="005C1C79">
        <w:rPr>
          <w:rFonts w:ascii="Times New Roman" w:hAnsi="Times New Roman"/>
          <w:szCs w:val="24"/>
        </w:rPr>
        <w:t>P9_TA-PROV(2021)0</w:t>
      </w:r>
      <w:r>
        <w:rPr>
          <w:rFonts w:ascii="Times New Roman" w:hAnsi="Times New Roman"/>
          <w:szCs w:val="24"/>
        </w:rPr>
        <w:t>307</w:t>
      </w:r>
    </w:p>
    <w:p w:rsidR="00BA05F6" w:rsidRPr="002F61D1" w:rsidRDefault="00BA05F6" w:rsidP="00BA05F6">
      <w:pPr>
        <w:numPr>
          <w:ilvl w:val="0"/>
          <w:numId w:val="1"/>
        </w:numPr>
        <w:ind w:left="567" w:hanging="567"/>
        <w:rPr>
          <w:rFonts w:ascii="Times New Roman" w:hAnsi="Times New Roman"/>
        </w:rPr>
      </w:pPr>
      <w:r w:rsidRPr="00F72670">
        <w:rPr>
          <w:rFonts w:ascii="Times New Roman" w:hAnsi="Times New Roman"/>
          <w:b/>
          <w:bCs/>
        </w:rPr>
        <w:t xml:space="preserve">Date of adoption of the resolution: </w:t>
      </w:r>
      <w:r w:rsidRPr="00E8474E">
        <w:rPr>
          <w:rFonts w:ascii="Times New Roman" w:hAnsi="Times New Roman"/>
          <w:iCs/>
        </w:rPr>
        <w:t>2</w:t>
      </w:r>
      <w:r>
        <w:rPr>
          <w:rFonts w:ascii="Times New Roman" w:hAnsi="Times New Roman"/>
          <w:iCs/>
        </w:rPr>
        <w:t>3</w:t>
      </w:r>
      <w:r w:rsidRPr="00E8474E">
        <w:rPr>
          <w:rFonts w:ascii="Times New Roman" w:hAnsi="Times New Roman"/>
          <w:iCs/>
        </w:rPr>
        <w:t xml:space="preserve"> June 2021</w:t>
      </w:r>
    </w:p>
    <w:p w:rsidR="00BA05F6" w:rsidRPr="00586FEA" w:rsidRDefault="00BA05F6" w:rsidP="00BA05F6">
      <w:pPr>
        <w:numPr>
          <w:ilvl w:val="0"/>
          <w:numId w:val="1"/>
        </w:numPr>
        <w:ind w:left="567" w:hanging="567"/>
        <w:rPr>
          <w:rFonts w:ascii="Times New Roman" w:hAnsi="Times New Roman"/>
          <w:i/>
          <w:iCs/>
        </w:rPr>
      </w:pPr>
      <w:r w:rsidRPr="00F72670">
        <w:rPr>
          <w:rFonts w:ascii="Times New Roman" w:hAnsi="Times New Roman"/>
          <w:b/>
          <w:bCs/>
        </w:rPr>
        <w:t>Competent Parliamentary Committee</w:t>
      </w:r>
      <w:r w:rsidRPr="00586FEA">
        <w:rPr>
          <w:rFonts w:ascii="Times New Roman" w:hAnsi="Times New Roman"/>
          <w:b/>
          <w:bCs/>
        </w:rPr>
        <w:t>:</w:t>
      </w:r>
      <w:r w:rsidRPr="00586FEA">
        <w:rPr>
          <w:rFonts w:ascii="Times New Roman" w:hAnsi="Times New Roman"/>
        </w:rPr>
        <w:t xml:space="preserve"> Committee on Fisheries (PECH)</w:t>
      </w:r>
    </w:p>
    <w:p w:rsidR="00BA05F6" w:rsidRDefault="00BA05F6" w:rsidP="00BA05F6">
      <w:pPr>
        <w:widowControl w:val="0"/>
        <w:numPr>
          <w:ilvl w:val="0"/>
          <w:numId w:val="1"/>
        </w:numPr>
        <w:ind w:left="567" w:hanging="567"/>
        <w:rPr>
          <w:rFonts w:ascii="Times New Roman" w:hAnsi="Times New Roman"/>
        </w:rPr>
      </w:pPr>
      <w:r w:rsidRPr="00F72670">
        <w:rPr>
          <w:rFonts w:ascii="Times New Roman" w:hAnsi="Times New Roman"/>
          <w:b/>
          <w:bCs/>
        </w:rPr>
        <w:t>Brief analysis/ assessment of the resolution and requests made in it:</w:t>
      </w:r>
    </w:p>
    <w:p w:rsidR="00BA05F6" w:rsidRPr="00D615C5" w:rsidRDefault="00BA05F6" w:rsidP="00BA05F6">
      <w:pPr>
        <w:widowControl w:val="0"/>
        <w:spacing w:after="120"/>
        <w:rPr>
          <w:rFonts w:ascii="Times New Roman" w:hAnsi="Times New Roman"/>
          <w:szCs w:val="24"/>
        </w:rPr>
      </w:pPr>
      <w:r>
        <w:rPr>
          <w:rFonts w:ascii="Times New Roman" w:hAnsi="Times New Roman"/>
          <w:szCs w:val="24"/>
        </w:rPr>
        <w:t>This r</w:t>
      </w:r>
      <w:r w:rsidRPr="00D615C5">
        <w:rPr>
          <w:rFonts w:ascii="Times New Roman" w:hAnsi="Times New Roman"/>
          <w:szCs w:val="24"/>
        </w:rPr>
        <w:t xml:space="preserve">esolution analyses the challenges and opportunities for the fishing sector in the Black Sea. More particularly, it acknowledges the status of key commercial stocks, the trade aspects and the contribution of fisheries to the regional and local economies of the Black Sea. In addition, it calls upon </w:t>
      </w:r>
      <w:r>
        <w:rPr>
          <w:rFonts w:ascii="Times New Roman" w:hAnsi="Times New Roman"/>
          <w:szCs w:val="24"/>
        </w:rPr>
        <w:t xml:space="preserve">the </w:t>
      </w:r>
      <w:r w:rsidRPr="00D615C5">
        <w:rPr>
          <w:rFonts w:ascii="Times New Roman" w:hAnsi="Times New Roman"/>
          <w:szCs w:val="24"/>
        </w:rPr>
        <w:t>Member States to support the sector through their European Maritime Fisheri</w:t>
      </w:r>
      <w:r>
        <w:rPr>
          <w:rFonts w:ascii="Times New Roman" w:hAnsi="Times New Roman"/>
          <w:szCs w:val="24"/>
        </w:rPr>
        <w:t>es and Aquaculture Fund (EMFAF)</w:t>
      </w:r>
      <w:r w:rsidRPr="00D615C5">
        <w:rPr>
          <w:rStyle w:val="FootnoteReference"/>
          <w:rFonts w:ascii="Times New Roman" w:hAnsi="Times New Roman"/>
          <w:szCs w:val="24"/>
        </w:rPr>
        <w:footnoteReference w:id="1"/>
      </w:r>
      <w:r>
        <w:rPr>
          <w:rFonts w:ascii="Times New Roman" w:hAnsi="Times New Roman"/>
          <w:szCs w:val="24"/>
        </w:rPr>
        <w:t xml:space="preserve"> </w:t>
      </w:r>
      <w:r w:rsidRPr="00D615C5">
        <w:rPr>
          <w:rFonts w:ascii="Times New Roman" w:hAnsi="Times New Roman"/>
          <w:szCs w:val="24"/>
        </w:rPr>
        <w:t>Operational Programmes and activities promoting awareness on fisheries sustainability and fish consumption while it stresses environmen</w:t>
      </w:r>
      <w:r>
        <w:rPr>
          <w:rFonts w:ascii="Times New Roman" w:hAnsi="Times New Roman"/>
          <w:szCs w:val="24"/>
        </w:rPr>
        <w:t>tal and climate change impacts.</w:t>
      </w:r>
    </w:p>
    <w:p w:rsidR="00BA05F6" w:rsidRPr="002F61D1" w:rsidRDefault="00BA05F6" w:rsidP="00BA05F6">
      <w:pPr>
        <w:widowControl w:val="0"/>
        <w:spacing w:after="120"/>
        <w:rPr>
          <w:rFonts w:ascii="Times New Roman" w:hAnsi="Times New Roman"/>
        </w:rPr>
      </w:pPr>
      <w:proofErr w:type="gramStart"/>
      <w:r w:rsidRPr="00D615C5">
        <w:rPr>
          <w:rFonts w:ascii="Times New Roman" w:hAnsi="Times New Roman"/>
          <w:szCs w:val="24"/>
        </w:rPr>
        <w:t xml:space="preserve">The resolution also contains calls for action to the Commission in the following areas: </w:t>
      </w:r>
      <w:r>
        <w:rPr>
          <w:rFonts w:ascii="Times New Roman" w:hAnsi="Times New Roman"/>
          <w:szCs w:val="24"/>
        </w:rPr>
        <w:t>e</w:t>
      </w:r>
      <w:r w:rsidRPr="00D615C5">
        <w:rPr>
          <w:rFonts w:ascii="Times New Roman" w:hAnsi="Times New Roman"/>
          <w:szCs w:val="24"/>
        </w:rPr>
        <w:t>stablishment of multi-annual management plans, improvement of the state of the stocks due to overfishing, and implementation of the Common Fisheries Policy in the Black Sea paying particular attention to how coastal Member States used the 2014-2020 European Mar</w:t>
      </w:r>
      <w:r>
        <w:rPr>
          <w:rFonts w:ascii="Times New Roman" w:hAnsi="Times New Roman"/>
          <w:szCs w:val="24"/>
        </w:rPr>
        <w:t>itime and Fisheries Fund (EMFF)</w:t>
      </w:r>
      <w:r w:rsidRPr="00D615C5">
        <w:rPr>
          <w:rStyle w:val="FootnoteReference"/>
          <w:rFonts w:ascii="Times New Roman" w:hAnsi="Times New Roman"/>
          <w:szCs w:val="24"/>
        </w:rPr>
        <w:footnoteReference w:id="2"/>
      </w:r>
      <w:r>
        <w:rPr>
          <w:rFonts w:ascii="Times New Roman" w:hAnsi="Times New Roman"/>
          <w:szCs w:val="24"/>
        </w:rPr>
        <w:t xml:space="preserve"> </w:t>
      </w:r>
      <w:r w:rsidRPr="00D615C5">
        <w:rPr>
          <w:rFonts w:ascii="Times New Roman" w:hAnsi="Times New Roman"/>
          <w:szCs w:val="24"/>
        </w:rPr>
        <w:t>to ensure that stocks were managed sustainably and that biodiversity was improved.</w:t>
      </w:r>
      <w:proofErr w:type="gramEnd"/>
    </w:p>
    <w:p w:rsidR="00BA05F6" w:rsidRPr="00B474CC" w:rsidRDefault="00BA05F6" w:rsidP="00BA05F6">
      <w:pPr>
        <w:widowControl w:val="0"/>
        <w:numPr>
          <w:ilvl w:val="0"/>
          <w:numId w:val="1"/>
        </w:numPr>
        <w:ind w:left="567" w:hanging="567"/>
        <w:rPr>
          <w:rFonts w:ascii="Times New Roman" w:hAnsi="Times New Roman"/>
          <w:b/>
          <w:bCs/>
          <w:i/>
          <w:iCs/>
        </w:rPr>
      </w:pPr>
      <w:r w:rsidRPr="00F72670">
        <w:rPr>
          <w:rFonts w:ascii="Times New Roman" w:hAnsi="Times New Roman"/>
          <w:b/>
          <w:bCs/>
        </w:rPr>
        <w:t>Response to the requests in the resolution and overview of the action taken, or intended to be taken, by the Commission:</w:t>
      </w:r>
    </w:p>
    <w:p w:rsidR="00BA05F6" w:rsidRPr="00D615C5" w:rsidRDefault="00BA05F6" w:rsidP="00BA05F6">
      <w:pPr>
        <w:widowControl w:val="0"/>
        <w:spacing w:after="120"/>
        <w:rPr>
          <w:rFonts w:ascii="Times New Roman" w:hAnsi="Times New Roman"/>
          <w:lang w:val="en-IE"/>
        </w:rPr>
      </w:pPr>
      <w:r w:rsidRPr="00D615C5">
        <w:rPr>
          <w:rFonts w:ascii="Times New Roman" w:hAnsi="Times New Roman"/>
          <w:color w:val="000000"/>
          <w:szCs w:val="24"/>
        </w:rPr>
        <w:t>The Commission welcomes the re</w:t>
      </w:r>
      <w:r>
        <w:rPr>
          <w:rFonts w:ascii="Times New Roman" w:hAnsi="Times New Roman"/>
          <w:color w:val="000000"/>
          <w:szCs w:val="24"/>
        </w:rPr>
        <w:t>solution</w:t>
      </w:r>
      <w:r w:rsidRPr="00D615C5">
        <w:rPr>
          <w:rFonts w:ascii="Times New Roman" w:hAnsi="Times New Roman"/>
          <w:color w:val="000000"/>
          <w:szCs w:val="24"/>
        </w:rPr>
        <w:t xml:space="preserve"> and fully </w:t>
      </w:r>
      <w:r>
        <w:rPr>
          <w:rFonts w:ascii="Times New Roman" w:hAnsi="Times New Roman"/>
          <w:color w:val="000000"/>
          <w:szCs w:val="24"/>
        </w:rPr>
        <w:t>acknowledges</w:t>
      </w:r>
      <w:r w:rsidRPr="00D615C5">
        <w:rPr>
          <w:rFonts w:ascii="Times New Roman" w:hAnsi="Times New Roman"/>
          <w:color w:val="000000"/>
          <w:szCs w:val="24"/>
        </w:rPr>
        <w:t xml:space="preserve"> the importance of the issues </w:t>
      </w:r>
      <w:r>
        <w:rPr>
          <w:rFonts w:ascii="Times New Roman" w:hAnsi="Times New Roman"/>
          <w:color w:val="000000"/>
          <w:szCs w:val="24"/>
        </w:rPr>
        <w:t xml:space="preserve">raised. Many of the points mentioned </w:t>
      </w:r>
      <w:r w:rsidRPr="00D615C5">
        <w:rPr>
          <w:rFonts w:ascii="Times New Roman" w:hAnsi="Times New Roman"/>
          <w:color w:val="000000"/>
          <w:szCs w:val="24"/>
        </w:rPr>
        <w:t>are at the centre of the Common Fisheries Policy and of the 2018 Sofia Ministerial Declaration</w:t>
      </w:r>
      <w:r w:rsidRPr="00D615C5">
        <w:rPr>
          <w:rStyle w:val="FootnoteReference"/>
          <w:rFonts w:ascii="Times New Roman" w:hAnsi="Times New Roman"/>
          <w:color w:val="000000"/>
          <w:szCs w:val="24"/>
        </w:rPr>
        <w:footnoteReference w:id="3"/>
      </w:r>
      <w:r>
        <w:rPr>
          <w:rFonts w:ascii="Times New Roman" w:hAnsi="Times New Roman"/>
          <w:color w:val="000000"/>
          <w:szCs w:val="24"/>
        </w:rPr>
        <w:t>, which shaped the</w:t>
      </w:r>
      <w:r w:rsidRPr="00D615C5">
        <w:rPr>
          <w:rFonts w:ascii="Times New Roman" w:hAnsi="Times New Roman"/>
          <w:color w:val="000000"/>
          <w:szCs w:val="24"/>
        </w:rPr>
        <w:t xml:space="preserve"> new fisheries governance in the Black Sea</w:t>
      </w:r>
      <w:r>
        <w:rPr>
          <w:rFonts w:ascii="Times New Roman" w:hAnsi="Times New Roman"/>
          <w:color w:val="000000"/>
          <w:szCs w:val="24"/>
        </w:rPr>
        <w:t>.</w:t>
      </w:r>
      <w:r w:rsidRPr="00D615C5">
        <w:rPr>
          <w:rFonts w:ascii="Times New Roman" w:hAnsi="Times New Roman"/>
          <w:color w:val="000000"/>
          <w:szCs w:val="24"/>
        </w:rPr>
        <w:t xml:space="preserve"> </w:t>
      </w:r>
      <w:r>
        <w:rPr>
          <w:rFonts w:ascii="Times New Roman" w:hAnsi="Times New Roman"/>
          <w:color w:val="000000"/>
          <w:szCs w:val="24"/>
        </w:rPr>
        <w:t xml:space="preserve">This </w:t>
      </w:r>
      <w:proofErr w:type="gramStart"/>
      <w:r>
        <w:rPr>
          <w:rFonts w:ascii="Times New Roman" w:hAnsi="Times New Roman"/>
          <w:color w:val="000000"/>
          <w:szCs w:val="24"/>
        </w:rPr>
        <w:t xml:space="preserve">was subsequently </w:t>
      </w:r>
      <w:r w:rsidRPr="00D615C5">
        <w:rPr>
          <w:rFonts w:ascii="Times New Roman" w:hAnsi="Times New Roman"/>
          <w:color w:val="000000"/>
          <w:szCs w:val="24"/>
        </w:rPr>
        <w:t>reinforced</w:t>
      </w:r>
      <w:proofErr w:type="gramEnd"/>
      <w:r w:rsidRPr="00D615C5">
        <w:rPr>
          <w:rFonts w:ascii="Times New Roman" w:hAnsi="Times New Roman"/>
          <w:color w:val="000000"/>
          <w:szCs w:val="24"/>
        </w:rPr>
        <w:t xml:space="preserve"> with the new </w:t>
      </w:r>
      <w:r>
        <w:rPr>
          <w:rFonts w:ascii="Times New Roman" w:hAnsi="Times New Roman"/>
          <w:color w:val="000000"/>
          <w:szCs w:val="24"/>
        </w:rPr>
        <w:t xml:space="preserve">strategy </w:t>
      </w:r>
      <w:r w:rsidRPr="00D615C5">
        <w:rPr>
          <w:rFonts w:ascii="Times New Roman" w:hAnsi="Times New Roman"/>
          <w:color w:val="000000"/>
          <w:szCs w:val="24"/>
        </w:rPr>
        <w:t>for the next decade (2021-2030)</w:t>
      </w:r>
      <w:r>
        <w:rPr>
          <w:rFonts w:ascii="Times New Roman" w:hAnsi="Times New Roman"/>
          <w:color w:val="000000"/>
          <w:szCs w:val="24"/>
        </w:rPr>
        <w:t xml:space="preserve"> of the </w:t>
      </w:r>
      <w:r w:rsidRPr="00D615C5">
        <w:rPr>
          <w:rFonts w:ascii="Times New Roman" w:hAnsi="Times New Roman"/>
          <w:color w:val="000000"/>
          <w:szCs w:val="24"/>
        </w:rPr>
        <w:t>General Fisheries Commission for the Mediterranean (GFCM)</w:t>
      </w:r>
      <w:r w:rsidRPr="00D615C5">
        <w:rPr>
          <w:rStyle w:val="FootnoteReference"/>
          <w:rFonts w:ascii="Times New Roman" w:hAnsi="Times New Roman"/>
          <w:color w:val="000000"/>
          <w:szCs w:val="24"/>
        </w:rPr>
        <w:footnoteReference w:id="4"/>
      </w:r>
      <w:r>
        <w:rPr>
          <w:rFonts w:ascii="Times New Roman" w:hAnsi="Times New Roman"/>
          <w:color w:val="000000"/>
          <w:szCs w:val="24"/>
        </w:rPr>
        <w:t xml:space="preserve">, which was adopted on </w:t>
      </w:r>
      <w:r w:rsidRPr="00D615C5">
        <w:rPr>
          <w:rFonts w:ascii="Times New Roman" w:hAnsi="Times New Roman"/>
          <w:color w:val="000000"/>
          <w:szCs w:val="24"/>
        </w:rPr>
        <w:t>9 July</w:t>
      </w:r>
      <w:r>
        <w:rPr>
          <w:rFonts w:ascii="Times New Roman" w:hAnsi="Times New Roman"/>
          <w:color w:val="000000"/>
          <w:szCs w:val="24"/>
        </w:rPr>
        <w:t>.</w:t>
      </w:r>
      <w:r w:rsidRPr="00D615C5">
        <w:rPr>
          <w:rFonts w:ascii="Times New Roman" w:hAnsi="Times New Roman"/>
          <w:color w:val="000000"/>
          <w:szCs w:val="24"/>
        </w:rPr>
        <w:t xml:space="preserve"> </w:t>
      </w:r>
      <w:r w:rsidRPr="00D615C5">
        <w:rPr>
          <w:rFonts w:ascii="Times New Roman" w:hAnsi="Times New Roman"/>
          <w:lang w:val="en-IE"/>
        </w:rPr>
        <w:t xml:space="preserve">Fisheries sustainability and sustainable development of aquaculture through enhanced cooperation among the Black Sea countries is a fundamental element of this new fisheries governance. The GFCM will organise a dedicated Conference for the Black Sea in 2022. The implementation of the Sofia Ministerial declaration, by all contracting parties, </w:t>
      </w:r>
      <w:proofErr w:type="gramStart"/>
      <w:r w:rsidRPr="00D615C5">
        <w:rPr>
          <w:rFonts w:ascii="Times New Roman" w:hAnsi="Times New Roman"/>
          <w:lang w:val="en-IE"/>
        </w:rPr>
        <w:t>will be asse</w:t>
      </w:r>
      <w:r>
        <w:rPr>
          <w:rFonts w:ascii="Times New Roman" w:hAnsi="Times New Roman"/>
          <w:lang w:val="en-IE"/>
        </w:rPr>
        <w:t>ssed</w:t>
      </w:r>
      <w:proofErr w:type="gramEnd"/>
      <w:r>
        <w:rPr>
          <w:rFonts w:ascii="Times New Roman" w:hAnsi="Times New Roman"/>
          <w:lang w:val="en-IE"/>
        </w:rPr>
        <w:t xml:space="preserve"> on that occasion (par. 2).</w:t>
      </w:r>
    </w:p>
    <w:p w:rsidR="00BA05F6" w:rsidRPr="00D615C5" w:rsidRDefault="00BA05F6" w:rsidP="00BA05F6">
      <w:pPr>
        <w:spacing w:after="120"/>
        <w:rPr>
          <w:rFonts w:ascii="Times New Roman" w:hAnsi="Times New Roman"/>
        </w:rPr>
      </w:pPr>
      <w:proofErr w:type="gramStart"/>
      <w:r w:rsidRPr="00D615C5">
        <w:rPr>
          <w:rFonts w:ascii="Times New Roman" w:hAnsi="Times New Roman"/>
        </w:rPr>
        <w:lastRenderedPageBreak/>
        <w:t xml:space="preserve">With regard to the </w:t>
      </w:r>
      <w:r w:rsidRPr="00D615C5">
        <w:rPr>
          <w:rFonts w:ascii="Times New Roman" w:hAnsi="Times New Roman"/>
          <w:u w:val="single"/>
        </w:rPr>
        <w:t>state of the Black Sea stocks</w:t>
      </w:r>
      <w:r w:rsidRPr="00D615C5">
        <w:rPr>
          <w:rFonts w:ascii="Times New Roman" w:hAnsi="Times New Roman"/>
        </w:rPr>
        <w:t xml:space="preserve"> of major economic importance (paragraphs 1</w:t>
      </w:r>
      <w:r>
        <w:rPr>
          <w:rFonts w:ascii="Times New Roman" w:hAnsi="Times New Roman"/>
        </w:rPr>
        <w:t xml:space="preserve"> to </w:t>
      </w:r>
      <w:r w:rsidRPr="00D615C5">
        <w:rPr>
          <w:rFonts w:ascii="Times New Roman" w:hAnsi="Times New Roman"/>
        </w:rPr>
        <w:t xml:space="preserve">24), the Commission points to the numerous efforts </w:t>
      </w:r>
      <w:r>
        <w:rPr>
          <w:rFonts w:ascii="Times New Roman" w:hAnsi="Times New Roman"/>
        </w:rPr>
        <w:t>undertaken</w:t>
      </w:r>
      <w:r w:rsidRPr="00D615C5">
        <w:rPr>
          <w:rFonts w:ascii="Times New Roman" w:hAnsi="Times New Roman"/>
        </w:rPr>
        <w:t xml:space="preserve"> to strengthen regional cooperation in fisheries and the numerous measures adopted at regional level within the GFCM, most of them for the first time in the Black Sea, such as the multiannual management plan for turbot, an emblematic species with high commercial value that was suffering from overexploitation and Illegal, Unreported and Unregulated (IUU) fishi</w:t>
      </w:r>
      <w:r>
        <w:rPr>
          <w:rFonts w:ascii="Times New Roman" w:hAnsi="Times New Roman"/>
        </w:rPr>
        <w:t>ng activities.</w:t>
      </w:r>
      <w:proofErr w:type="gramEnd"/>
    </w:p>
    <w:p w:rsidR="00BA05F6" w:rsidRPr="00D615C5" w:rsidRDefault="00BA05F6" w:rsidP="00BA05F6">
      <w:pPr>
        <w:spacing w:after="120"/>
        <w:rPr>
          <w:rFonts w:ascii="Times New Roman" w:hAnsi="Times New Roman"/>
        </w:rPr>
      </w:pPr>
      <w:proofErr w:type="gramStart"/>
      <w:r w:rsidRPr="00D615C5">
        <w:rPr>
          <w:rFonts w:ascii="Times New Roman" w:hAnsi="Times New Roman"/>
        </w:rPr>
        <w:t xml:space="preserve">The implementation of the new fisheries governance has led to significant advancements on data collection, fisheries research (for instance the first ever regional research plan for </w:t>
      </w:r>
      <w:proofErr w:type="spellStart"/>
      <w:r w:rsidRPr="00D615C5">
        <w:rPr>
          <w:rFonts w:ascii="Times New Roman" w:hAnsi="Times New Roman"/>
        </w:rPr>
        <w:t>rapa</w:t>
      </w:r>
      <w:proofErr w:type="spellEnd"/>
      <w:r w:rsidRPr="00D615C5">
        <w:rPr>
          <w:rFonts w:ascii="Times New Roman" w:hAnsi="Times New Roman"/>
        </w:rPr>
        <w:t xml:space="preserve"> whelk fisheries), including surveys at sea, improvement of the scientific advice essential for sound management decisions, improvement of fisheries knowledge and scientific capacity building through the exemplary regional project, the GFCM BlackSea4Fish project</w:t>
      </w:r>
      <w:r w:rsidRPr="00D615C5">
        <w:rPr>
          <w:rStyle w:val="FootnoteReference"/>
          <w:rFonts w:ascii="Times New Roman" w:hAnsi="Times New Roman"/>
        </w:rPr>
        <w:footnoteReference w:id="5"/>
      </w:r>
      <w:r w:rsidRPr="00D615C5">
        <w:rPr>
          <w:rFonts w:ascii="Times New Roman" w:hAnsi="Times New Roman"/>
        </w:rPr>
        <w:t xml:space="preserve"> to which the EU is the exclusive financing don</w:t>
      </w:r>
      <w:r>
        <w:rPr>
          <w:rFonts w:ascii="Times New Roman" w:hAnsi="Times New Roman"/>
        </w:rPr>
        <w:t>or.</w:t>
      </w:r>
      <w:proofErr w:type="gramEnd"/>
    </w:p>
    <w:p w:rsidR="00BA05F6" w:rsidRPr="00D615C5" w:rsidRDefault="00BA05F6" w:rsidP="00BA05F6">
      <w:pPr>
        <w:spacing w:after="120"/>
        <w:rPr>
          <w:rFonts w:ascii="Times New Roman" w:hAnsi="Times New Roman"/>
        </w:rPr>
      </w:pPr>
      <w:r w:rsidRPr="00D615C5">
        <w:rPr>
          <w:rFonts w:ascii="Times New Roman" w:hAnsi="Times New Roman"/>
        </w:rPr>
        <w:t xml:space="preserve">Fisheries management has been complemented with enhanced fisheries control and monitoring. The fight against IUU fishing </w:t>
      </w:r>
      <w:proofErr w:type="gramStart"/>
      <w:r w:rsidRPr="00D615C5">
        <w:rPr>
          <w:rFonts w:ascii="Times New Roman" w:hAnsi="Times New Roman"/>
        </w:rPr>
        <w:t>has been strengthened</w:t>
      </w:r>
      <w:proofErr w:type="gramEnd"/>
      <w:r w:rsidRPr="00D615C5">
        <w:rPr>
          <w:rFonts w:ascii="Times New Roman" w:hAnsi="Times New Roman"/>
        </w:rPr>
        <w:t xml:space="preserve"> with the turbot joint control and inspection pilot scheme under the assistance of the European Fisheries Control Agency. This </w:t>
      </w:r>
      <w:r>
        <w:rPr>
          <w:rFonts w:ascii="Times New Roman" w:hAnsi="Times New Roman"/>
        </w:rPr>
        <w:t>is a novelty for the Black Sea.</w:t>
      </w:r>
    </w:p>
    <w:p w:rsidR="00BA05F6" w:rsidRPr="00D615C5" w:rsidRDefault="00BA05F6" w:rsidP="00BA05F6">
      <w:pPr>
        <w:spacing w:after="120"/>
        <w:rPr>
          <w:rFonts w:ascii="Times New Roman" w:hAnsi="Times New Roman"/>
        </w:rPr>
      </w:pPr>
      <w:r w:rsidRPr="00D615C5">
        <w:rPr>
          <w:rFonts w:ascii="Times New Roman" w:hAnsi="Times New Roman"/>
        </w:rPr>
        <w:t xml:space="preserve">Fisheries management and conservation of marine resources </w:t>
      </w:r>
      <w:proofErr w:type="gramStart"/>
      <w:r w:rsidRPr="00D615C5">
        <w:rPr>
          <w:rFonts w:ascii="Times New Roman" w:hAnsi="Times New Roman"/>
        </w:rPr>
        <w:t xml:space="preserve">has been </w:t>
      </w:r>
      <w:r>
        <w:rPr>
          <w:rFonts w:ascii="Times New Roman" w:hAnsi="Times New Roman"/>
        </w:rPr>
        <w:t>strengthened</w:t>
      </w:r>
      <w:proofErr w:type="gramEnd"/>
      <w:r w:rsidRPr="00D615C5">
        <w:rPr>
          <w:rFonts w:ascii="Times New Roman" w:hAnsi="Times New Roman"/>
        </w:rPr>
        <w:t xml:space="preserve"> with multiannual management plans (i.e. GFCM turbot multiannual management plan</w:t>
      </w:r>
      <w:r w:rsidRPr="00D615C5">
        <w:rPr>
          <w:rStyle w:val="FootnoteReference"/>
          <w:rFonts w:ascii="Times New Roman" w:hAnsi="Times New Roman"/>
        </w:rPr>
        <w:footnoteReference w:id="6"/>
      </w:r>
      <w:r w:rsidRPr="00D615C5">
        <w:rPr>
          <w:rFonts w:ascii="Times New Roman" w:hAnsi="Times New Roman"/>
        </w:rPr>
        <w:t xml:space="preserve">). Interactions </w:t>
      </w:r>
      <w:r>
        <w:rPr>
          <w:rFonts w:ascii="Times New Roman" w:hAnsi="Times New Roman"/>
        </w:rPr>
        <w:t xml:space="preserve">between fisheries and </w:t>
      </w:r>
      <w:r w:rsidRPr="00D615C5">
        <w:rPr>
          <w:rFonts w:ascii="Times New Roman" w:hAnsi="Times New Roman"/>
        </w:rPr>
        <w:t xml:space="preserve">the marine environment and protection of vulnerable species are key elements for the work towards shaping future measures. Despite the good progress made, more efforts </w:t>
      </w:r>
      <w:proofErr w:type="gramStart"/>
      <w:r w:rsidRPr="00D615C5">
        <w:rPr>
          <w:rFonts w:ascii="Times New Roman" w:hAnsi="Times New Roman"/>
        </w:rPr>
        <w:t>are needed</w:t>
      </w:r>
      <w:proofErr w:type="gramEnd"/>
      <w:r w:rsidRPr="00D615C5">
        <w:rPr>
          <w:rFonts w:ascii="Times New Roman" w:hAnsi="Times New Roman"/>
        </w:rPr>
        <w:t>. To this end, the EU is working on further measures</w:t>
      </w:r>
      <w:r>
        <w:rPr>
          <w:rFonts w:ascii="Times New Roman" w:hAnsi="Times New Roman"/>
        </w:rPr>
        <w:t>. For example, it is driving</w:t>
      </w:r>
      <w:r w:rsidRPr="00D615C5">
        <w:rPr>
          <w:rFonts w:ascii="Times New Roman" w:hAnsi="Times New Roman"/>
        </w:rPr>
        <w:t xml:space="preserve"> the GFCM work </w:t>
      </w:r>
      <w:r>
        <w:rPr>
          <w:rFonts w:ascii="Times New Roman" w:hAnsi="Times New Roman"/>
        </w:rPr>
        <w:t>on</w:t>
      </w:r>
      <w:r w:rsidRPr="00D615C5">
        <w:rPr>
          <w:rFonts w:ascii="Times New Roman" w:hAnsi="Times New Roman"/>
        </w:rPr>
        <w:t xml:space="preserve"> new multiannual management plans and conservation measures, </w:t>
      </w:r>
      <w:r>
        <w:rPr>
          <w:rFonts w:ascii="Times New Roman" w:hAnsi="Times New Roman"/>
        </w:rPr>
        <w:t xml:space="preserve">on </w:t>
      </w:r>
      <w:r w:rsidRPr="00D615C5">
        <w:rPr>
          <w:rFonts w:ascii="Times New Roman" w:hAnsi="Times New Roman"/>
        </w:rPr>
        <w:t xml:space="preserve">interaction </w:t>
      </w:r>
      <w:r>
        <w:rPr>
          <w:rFonts w:ascii="Times New Roman" w:hAnsi="Times New Roman"/>
        </w:rPr>
        <w:t xml:space="preserve">between fisheries and </w:t>
      </w:r>
      <w:r w:rsidRPr="00D615C5">
        <w:rPr>
          <w:rFonts w:ascii="Times New Roman" w:hAnsi="Times New Roman"/>
        </w:rPr>
        <w:t xml:space="preserve">the environment and climatic effects, </w:t>
      </w:r>
      <w:r>
        <w:rPr>
          <w:rFonts w:ascii="Times New Roman" w:hAnsi="Times New Roman"/>
        </w:rPr>
        <w:t xml:space="preserve">and on the </w:t>
      </w:r>
      <w:r w:rsidRPr="00D615C5">
        <w:rPr>
          <w:rFonts w:ascii="Times New Roman" w:hAnsi="Times New Roman"/>
        </w:rPr>
        <w:t>protection of vul</w:t>
      </w:r>
      <w:r>
        <w:rPr>
          <w:rFonts w:ascii="Times New Roman" w:hAnsi="Times New Roman"/>
        </w:rPr>
        <w:t>nerable species and bycatches.</w:t>
      </w:r>
    </w:p>
    <w:p w:rsidR="00BA05F6" w:rsidRPr="00D615C5" w:rsidRDefault="00BA05F6" w:rsidP="00BA05F6">
      <w:pPr>
        <w:spacing w:after="120"/>
        <w:rPr>
          <w:rFonts w:ascii="Times New Roman" w:hAnsi="Times New Roman"/>
        </w:rPr>
      </w:pPr>
      <w:r w:rsidRPr="00D615C5">
        <w:rPr>
          <w:rFonts w:ascii="Times New Roman" w:hAnsi="Times New Roman"/>
        </w:rPr>
        <w:t xml:space="preserve">Within the EU, an autonomous quotas system </w:t>
      </w:r>
      <w:proofErr w:type="gramStart"/>
      <w:r w:rsidRPr="00D615C5">
        <w:rPr>
          <w:rFonts w:ascii="Times New Roman" w:hAnsi="Times New Roman"/>
        </w:rPr>
        <w:t>was applied</w:t>
      </w:r>
      <w:proofErr w:type="gramEnd"/>
      <w:r w:rsidRPr="00D615C5">
        <w:rPr>
          <w:rFonts w:ascii="Times New Roman" w:hAnsi="Times New Roman"/>
        </w:rPr>
        <w:t xml:space="preserve"> since 2008 </w:t>
      </w:r>
      <w:r>
        <w:rPr>
          <w:rFonts w:ascii="Times New Roman" w:hAnsi="Times New Roman"/>
        </w:rPr>
        <w:t>to</w:t>
      </w:r>
      <w:r w:rsidRPr="00D615C5">
        <w:rPr>
          <w:rFonts w:ascii="Times New Roman" w:hAnsi="Times New Roman"/>
        </w:rPr>
        <w:t xml:space="preserve"> the key commercial stocks</w:t>
      </w:r>
      <w:r>
        <w:rPr>
          <w:rFonts w:ascii="Times New Roman" w:hAnsi="Times New Roman"/>
        </w:rPr>
        <w:t xml:space="preserve"> of</w:t>
      </w:r>
      <w:r w:rsidRPr="00D615C5">
        <w:rPr>
          <w:rFonts w:ascii="Times New Roman" w:hAnsi="Times New Roman"/>
        </w:rPr>
        <w:t xml:space="preserve"> turbot and sprat. For the latter, it </w:t>
      </w:r>
      <w:proofErr w:type="gramStart"/>
      <w:r w:rsidRPr="00D615C5">
        <w:rPr>
          <w:rFonts w:ascii="Times New Roman" w:hAnsi="Times New Roman"/>
        </w:rPr>
        <w:t>is still applied</w:t>
      </w:r>
      <w:proofErr w:type="gramEnd"/>
      <w:r w:rsidRPr="00D615C5">
        <w:rPr>
          <w:rFonts w:ascii="Times New Roman" w:hAnsi="Times New Roman"/>
        </w:rPr>
        <w:t xml:space="preserve"> while for turbot a regional TAC and quotas regime has been set at the GFCM level and is annually transposed in the EU fishing opportunities Regulation.</w:t>
      </w:r>
    </w:p>
    <w:p w:rsidR="00BA05F6" w:rsidRPr="00D615C5" w:rsidRDefault="00BA05F6" w:rsidP="00BA05F6">
      <w:pPr>
        <w:widowControl w:val="0"/>
        <w:spacing w:after="120"/>
        <w:rPr>
          <w:rFonts w:ascii="Times New Roman" w:hAnsi="Times New Roman"/>
          <w:szCs w:val="24"/>
        </w:rPr>
      </w:pPr>
      <w:proofErr w:type="gramStart"/>
      <w:r w:rsidRPr="00D615C5">
        <w:rPr>
          <w:rFonts w:ascii="Times New Roman" w:hAnsi="Times New Roman"/>
          <w:szCs w:val="24"/>
        </w:rPr>
        <w:t xml:space="preserve">Concerning the </w:t>
      </w:r>
      <w:r w:rsidRPr="00D615C5">
        <w:rPr>
          <w:rFonts w:ascii="Times New Roman" w:hAnsi="Times New Roman"/>
          <w:szCs w:val="24"/>
          <w:u w:val="single"/>
        </w:rPr>
        <w:t>trade of Black Sea fish products</w:t>
      </w:r>
      <w:r w:rsidRPr="00D615C5">
        <w:rPr>
          <w:rFonts w:ascii="Times New Roman" w:hAnsi="Times New Roman"/>
          <w:szCs w:val="24"/>
        </w:rPr>
        <w:t xml:space="preserve"> (paragraphs 25</w:t>
      </w:r>
      <w:r>
        <w:rPr>
          <w:rFonts w:ascii="Times New Roman" w:hAnsi="Times New Roman"/>
          <w:szCs w:val="24"/>
        </w:rPr>
        <w:t xml:space="preserve"> to </w:t>
      </w:r>
      <w:r w:rsidRPr="00D615C5">
        <w:rPr>
          <w:rFonts w:ascii="Times New Roman" w:hAnsi="Times New Roman"/>
          <w:szCs w:val="24"/>
        </w:rPr>
        <w:t>30), the Commission strongly favours and works towards the implementation of the GFCM Regional Plan of Action for Small-Scale Fisheries in the Mediterranean and the Black Sea (RPOA-SSF)</w:t>
      </w:r>
      <w:r w:rsidRPr="00D615C5">
        <w:rPr>
          <w:rStyle w:val="FootnoteReference"/>
          <w:rFonts w:ascii="Times New Roman" w:hAnsi="Times New Roman"/>
          <w:szCs w:val="24"/>
        </w:rPr>
        <w:footnoteReference w:id="7"/>
      </w:r>
      <w:r w:rsidRPr="00D615C5">
        <w:rPr>
          <w:rFonts w:ascii="Times New Roman" w:hAnsi="Times New Roman"/>
          <w:szCs w:val="24"/>
        </w:rPr>
        <w:t xml:space="preserve"> in order to improve access to markets, safety on board and training for fishers as well as to enhance the role of women in fisheries.</w:t>
      </w:r>
      <w:proofErr w:type="gramEnd"/>
      <w:r w:rsidRPr="00D615C5">
        <w:rPr>
          <w:rFonts w:ascii="Times New Roman" w:hAnsi="Times New Roman"/>
          <w:szCs w:val="24"/>
        </w:rPr>
        <w:t xml:space="preserve"> The social dimension of Black Sea fisheries is important and future work should concentrate in particular on the sustainable development of small-scale fisheries and on the livelihoods of coastal communities, ensuring decent working conditions and social protection for fishers, to create opportunities for the youth and to value the role of women. Unfortunately, the work of women is still often invisible and their efforts </w:t>
      </w:r>
      <w:proofErr w:type="gramStart"/>
      <w:r w:rsidRPr="00D615C5">
        <w:rPr>
          <w:rFonts w:ascii="Times New Roman" w:hAnsi="Times New Roman"/>
          <w:szCs w:val="24"/>
        </w:rPr>
        <w:t>should be fairly compensated</w:t>
      </w:r>
      <w:proofErr w:type="gramEnd"/>
      <w:r w:rsidRPr="00D615C5">
        <w:rPr>
          <w:rFonts w:ascii="Times New Roman" w:hAnsi="Times New Roman"/>
          <w:szCs w:val="24"/>
        </w:rPr>
        <w:t>.</w:t>
      </w:r>
    </w:p>
    <w:p w:rsidR="00BA05F6" w:rsidRDefault="00BA05F6" w:rsidP="00BA05F6">
      <w:pPr>
        <w:widowControl w:val="0"/>
        <w:spacing w:after="120"/>
        <w:rPr>
          <w:rFonts w:ascii="Times New Roman" w:hAnsi="Times New Roman"/>
          <w:szCs w:val="24"/>
        </w:rPr>
      </w:pPr>
      <w:r w:rsidRPr="00D615C5">
        <w:rPr>
          <w:rFonts w:ascii="Times New Roman" w:hAnsi="Times New Roman"/>
          <w:szCs w:val="24"/>
        </w:rPr>
        <w:t xml:space="preserve">The </w:t>
      </w:r>
      <w:r w:rsidRPr="00D615C5">
        <w:rPr>
          <w:rFonts w:ascii="Times New Roman" w:hAnsi="Times New Roman"/>
          <w:szCs w:val="24"/>
          <w:u w:val="single"/>
        </w:rPr>
        <w:t>environment, biodiversity and climate change</w:t>
      </w:r>
      <w:r w:rsidRPr="00D615C5">
        <w:rPr>
          <w:rFonts w:ascii="Times New Roman" w:hAnsi="Times New Roman"/>
          <w:szCs w:val="24"/>
        </w:rPr>
        <w:t xml:space="preserve"> (paragraphs 41</w:t>
      </w:r>
      <w:r>
        <w:rPr>
          <w:rFonts w:ascii="Times New Roman" w:hAnsi="Times New Roman"/>
          <w:szCs w:val="24"/>
        </w:rPr>
        <w:t xml:space="preserve"> to </w:t>
      </w:r>
      <w:r w:rsidRPr="00D615C5">
        <w:rPr>
          <w:rFonts w:ascii="Times New Roman" w:hAnsi="Times New Roman"/>
          <w:szCs w:val="24"/>
        </w:rPr>
        <w:t xml:space="preserve">9) and their interactions with fisheries are cornerstones of both the EU Common Fisheries Policy </w:t>
      </w:r>
      <w:r>
        <w:rPr>
          <w:rFonts w:ascii="Times New Roman" w:hAnsi="Times New Roman"/>
          <w:szCs w:val="24"/>
        </w:rPr>
        <w:t xml:space="preserve">(CFP) </w:t>
      </w:r>
      <w:r w:rsidRPr="00D615C5">
        <w:rPr>
          <w:rFonts w:ascii="Times New Roman" w:hAnsi="Times New Roman"/>
          <w:szCs w:val="24"/>
        </w:rPr>
        <w:t xml:space="preserve">and the new </w:t>
      </w:r>
      <w:r w:rsidRPr="00D615C5">
        <w:rPr>
          <w:rFonts w:ascii="Times New Roman" w:hAnsi="Times New Roman"/>
          <w:szCs w:val="24"/>
        </w:rPr>
        <w:lastRenderedPageBreak/>
        <w:t xml:space="preserve">GFCM fisheries governance in the Black Sea. The </w:t>
      </w:r>
      <w:r>
        <w:rPr>
          <w:rFonts w:ascii="Times New Roman" w:hAnsi="Times New Roman"/>
          <w:szCs w:val="24"/>
        </w:rPr>
        <w:t xml:space="preserve">CFP </w:t>
      </w:r>
      <w:r w:rsidRPr="00D615C5">
        <w:rPr>
          <w:rFonts w:ascii="Times New Roman" w:hAnsi="Times New Roman"/>
          <w:szCs w:val="24"/>
        </w:rPr>
        <w:t>Basic Regulation</w:t>
      </w:r>
      <w:r w:rsidRPr="00D615C5">
        <w:rPr>
          <w:rStyle w:val="FootnoteReference"/>
          <w:rFonts w:ascii="Times New Roman" w:hAnsi="Times New Roman"/>
          <w:szCs w:val="24"/>
        </w:rPr>
        <w:footnoteReference w:id="8"/>
      </w:r>
      <w:r w:rsidRPr="00D615C5">
        <w:rPr>
          <w:rFonts w:ascii="Times New Roman" w:hAnsi="Times New Roman"/>
          <w:szCs w:val="24"/>
        </w:rPr>
        <w:t xml:space="preserve"> and the Technical Measures Regulation</w:t>
      </w:r>
      <w:r w:rsidRPr="00D615C5">
        <w:rPr>
          <w:rStyle w:val="FootnoteReference"/>
          <w:rFonts w:ascii="Times New Roman" w:hAnsi="Times New Roman"/>
          <w:szCs w:val="24"/>
        </w:rPr>
        <w:footnoteReference w:id="9"/>
      </w:r>
      <w:r w:rsidRPr="00D615C5">
        <w:rPr>
          <w:rFonts w:ascii="Times New Roman" w:hAnsi="Times New Roman"/>
          <w:szCs w:val="24"/>
        </w:rPr>
        <w:t xml:space="preserve"> have set a comprehensive framework and numerous measures adopted by the GFCM have consistently provided effective tools to minimise such impacts. However, there is a need to advance further on vulnerable species and bycatches </w:t>
      </w:r>
      <w:proofErr w:type="gramStart"/>
      <w:r w:rsidRPr="00D615C5">
        <w:rPr>
          <w:rFonts w:ascii="Times New Roman" w:hAnsi="Times New Roman"/>
          <w:szCs w:val="24"/>
        </w:rPr>
        <w:t>and also</w:t>
      </w:r>
      <w:proofErr w:type="gramEnd"/>
      <w:r w:rsidRPr="00D615C5">
        <w:rPr>
          <w:rFonts w:ascii="Times New Roman" w:hAnsi="Times New Roman"/>
          <w:szCs w:val="24"/>
        </w:rPr>
        <w:t xml:space="preserve"> on the climatic effects to fisheries. The Commission is working on proposing concrete measures to tackle such challenges at the </w:t>
      </w:r>
      <w:r>
        <w:rPr>
          <w:rFonts w:ascii="Times New Roman" w:hAnsi="Times New Roman"/>
          <w:szCs w:val="24"/>
        </w:rPr>
        <w:t xml:space="preserve">next </w:t>
      </w:r>
      <w:r w:rsidRPr="00D615C5">
        <w:rPr>
          <w:rFonts w:ascii="Times New Roman" w:hAnsi="Times New Roman"/>
          <w:szCs w:val="24"/>
        </w:rPr>
        <w:t>GFCM annual session</w:t>
      </w:r>
      <w:r>
        <w:rPr>
          <w:rFonts w:ascii="Times New Roman" w:hAnsi="Times New Roman"/>
          <w:szCs w:val="24"/>
        </w:rPr>
        <w:t xml:space="preserve"> in November 2021.</w:t>
      </w:r>
    </w:p>
    <w:p w:rsidR="00BA05F6" w:rsidRPr="00D615C5" w:rsidRDefault="00BA05F6" w:rsidP="00BA05F6">
      <w:pPr>
        <w:widowControl w:val="0"/>
        <w:spacing w:after="120"/>
        <w:rPr>
          <w:rFonts w:ascii="Times New Roman" w:hAnsi="Times New Roman"/>
          <w:szCs w:val="24"/>
        </w:rPr>
      </w:pPr>
      <w:r>
        <w:rPr>
          <w:rFonts w:ascii="Times New Roman" w:hAnsi="Times New Roman"/>
          <w:szCs w:val="24"/>
        </w:rPr>
        <w:t>Under the Marine Strategy Framework Directive (MSFD)</w:t>
      </w:r>
      <w:r>
        <w:rPr>
          <w:rStyle w:val="FootnoteReference"/>
          <w:rFonts w:ascii="Times New Roman" w:hAnsi="Times New Roman"/>
          <w:szCs w:val="24"/>
        </w:rPr>
        <w:footnoteReference w:id="10"/>
      </w:r>
      <w:r>
        <w:rPr>
          <w:rFonts w:ascii="Times New Roman" w:hAnsi="Times New Roman"/>
          <w:szCs w:val="24"/>
        </w:rPr>
        <w:t xml:space="preserve">, the Member States – including Romania and Bulgaria - have established strategies and programs of measures to reach the ‘Good environmental Status’ (GES) of their waters. They also have to develop a monitoring network notably to assess whether GES </w:t>
      </w:r>
      <w:proofErr w:type="gramStart"/>
      <w:r>
        <w:rPr>
          <w:rFonts w:ascii="Times New Roman" w:hAnsi="Times New Roman"/>
          <w:szCs w:val="24"/>
        </w:rPr>
        <w:t>is met</w:t>
      </w:r>
      <w:proofErr w:type="gramEnd"/>
      <w:r>
        <w:rPr>
          <w:rFonts w:ascii="Times New Roman" w:hAnsi="Times New Roman"/>
          <w:szCs w:val="24"/>
        </w:rPr>
        <w:t xml:space="preserve"> in their waters. EU funds </w:t>
      </w:r>
      <w:proofErr w:type="gramStart"/>
      <w:r>
        <w:rPr>
          <w:rFonts w:ascii="Times New Roman" w:hAnsi="Times New Roman"/>
          <w:szCs w:val="24"/>
        </w:rPr>
        <w:t>were made</w:t>
      </w:r>
      <w:proofErr w:type="gramEnd"/>
      <w:r>
        <w:rPr>
          <w:rFonts w:ascii="Times New Roman" w:hAnsi="Times New Roman"/>
          <w:szCs w:val="24"/>
        </w:rPr>
        <w:t xml:space="preserve"> available to support the implementation of the MSFD. Regional cooperation is also encouraged in the MSFD with a recognition of the important role of the Regional Seas Conventions.</w:t>
      </w:r>
    </w:p>
    <w:p w:rsidR="00BA05F6" w:rsidRDefault="00BA05F6" w:rsidP="00BA05F6">
      <w:pPr>
        <w:spacing w:after="120"/>
        <w:rPr>
          <w:rFonts w:ascii="Times New Roman" w:hAnsi="Times New Roman"/>
          <w:bCs/>
          <w:iCs/>
        </w:rPr>
      </w:pPr>
      <w:r w:rsidRPr="00D615C5">
        <w:rPr>
          <w:rFonts w:ascii="Times New Roman" w:hAnsi="Times New Roman"/>
          <w:bCs/>
          <w:iCs/>
        </w:rPr>
        <w:t>Regarding the funding for research on the state of Black Sea s</w:t>
      </w:r>
      <w:r>
        <w:rPr>
          <w:rFonts w:ascii="Times New Roman" w:hAnsi="Times New Roman"/>
          <w:bCs/>
          <w:iCs/>
        </w:rPr>
        <w:t>had</w:t>
      </w:r>
      <w:r w:rsidRPr="00D615C5">
        <w:rPr>
          <w:rFonts w:ascii="Times New Roman" w:hAnsi="Times New Roman"/>
          <w:bCs/>
          <w:iCs/>
        </w:rPr>
        <w:t xml:space="preserve"> (par</w:t>
      </w:r>
      <w:r>
        <w:rPr>
          <w:rFonts w:ascii="Times New Roman" w:hAnsi="Times New Roman"/>
          <w:bCs/>
          <w:iCs/>
        </w:rPr>
        <w:t>agraph</w:t>
      </w:r>
      <w:r w:rsidRPr="00D615C5">
        <w:rPr>
          <w:rFonts w:ascii="Times New Roman" w:hAnsi="Times New Roman"/>
          <w:bCs/>
          <w:iCs/>
        </w:rPr>
        <w:t xml:space="preserve"> 57), the Commission notes the possibility for </w:t>
      </w:r>
      <w:r>
        <w:rPr>
          <w:rFonts w:ascii="Times New Roman" w:hAnsi="Times New Roman"/>
          <w:bCs/>
          <w:iCs/>
        </w:rPr>
        <w:t xml:space="preserve">the </w:t>
      </w:r>
      <w:r w:rsidRPr="00D615C5">
        <w:rPr>
          <w:rFonts w:ascii="Times New Roman" w:hAnsi="Times New Roman"/>
          <w:bCs/>
          <w:iCs/>
        </w:rPr>
        <w:t xml:space="preserve">Member States to promote actions under </w:t>
      </w:r>
      <w:r>
        <w:rPr>
          <w:rFonts w:ascii="Times New Roman" w:hAnsi="Times New Roman"/>
          <w:bCs/>
          <w:iCs/>
        </w:rPr>
        <w:t xml:space="preserve">the </w:t>
      </w:r>
      <w:r w:rsidRPr="00D615C5">
        <w:rPr>
          <w:rFonts w:ascii="Times New Roman" w:hAnsi="Times New Roman"/>
          <w:bCs/>
          <w:iCs/>
        </w:rPr>
        <w:t>EMFF improving marine data and knowledge, data collection and data management systems (including the implementation of pilot studies to improve existing data collectio</w:t>
      </w:r>
      <w:r>
        <w:rPr>
          <w:rFonts w:ascii="Times New Roman" w:hAnsi="Times New Roman"/>
          <w:bCs/>
          <w:iCs/>
        </w:rPr>
        <w:t>n and data management systems).</w:t>
      </w:r>
    </w:p>
    <w:p w:rsidR="00BA05F6" w:rsidRPr="00DD17DF" w:rsidRDefault="00BA05F6" w:rsidP="00BA05F6">
      <w:pPr>
        <w:spacing w:after="120"/>
        <w:rPr>
          <w:rFonts w:ascii="Times New Roman" w:hAnsi="Times New Roman"/>
          <w:bCs/>
          <w:iCs/>
          <w:color w:val="1F497D"/>
        </w:rPr>
      </w:pPr>
      <w:r>
        <w:rPr>
          <w:rFonts w:ascii="Times New Roman" w:hAnsi="Times New Roman"/>
          <w:lang w:eastAsia="en-US"/>
        </w:rPr>
        <w:t xml:space="preserve">With regard to the protection status of Sturgeon species under the Habitats Directive (paragraph 58), in light of the conclusions of the fitness check evaluation of the Nature Directives the Commission does not have any plans to propose amendments of the Habitats Directive, including its annexes. The current listing of some Sturgeon species under Annex V of the directive already requires Member States to ensure that they achieve favourable conservation status and to monitor progress </w:t>
      </w:r>
      <w:r w:rsidRPr="002B21CE">
        <w:rPr>
          <w:rFonts w:ascii="Times New Roman" w:hAnsi="Times New Roman"/>
          <w:lang w:eastAsia="en-US"/>
        </w:rPr>
        <w:t xml:space="preserve">towards </w:t>
      </w:r>
      <w:r>
        <w:rPr>
          <w:rFonts w:ascii="Times New Roman" w:hAnsi="Times New Roman"/>
          <w:lang w:eastAsia="en-US"/>
        </w:rPr>
        <w:t>attaining</w:t>
      </w:r>
      <w:r w:rsidRPr="002B21CE">
        <w:rPr>
          <w:rFonts w:ascii="Times New Roman" w:hAnsi="Times New Roman"/>
          <w:lang w:eastAsia="en-US"/>
        </w:rPr>
        <w:t xml:space="preserve"> this objective</w:t>
      </w:r>
      <w:r>
        <w:rPr>
          <w:rFonts w:ascii="Times New Roman" w:hAnsi="Times New Roman"/>
          <w:lang w:eastAsia="en-US"/>
        </w:rPr>
        <w:t>. The Commission works closely with the Member States on Sturgeon conservation and EU funds have supported several related projects. A</w:t>
      </w:r>
      <w:r w:rsidRPr="00395045">
        <w:rPr>
          <w:rFonts w:ascii="Times New Roman" w:hAnsi="Times New Roman"/>
          <w:lang w:eastAsia="en-US"/>
        </w:rPr>
        <w:t>n ongoing pilot project assesses technical solutions for making the Iron Gates dams on the border between Romania and Serbia passable to s</w:t>
      </w:r>
      <w:r>
        <w:rPr>
          <w:rFonts w:ascii="Times New Roman" w:hAnsi="Times New Roman"/>
          <w:lang w:eastAsia="en-US"/>
        </w:rPr>
        <w:t>turgeon species in order to open</w:t>
      </w:r>
      <w:r w:rsidRPr="00395045">
        <w:rPr>
          <w:rFonts w:ascii="Times New Roman" w:hAnsi="Times New Roman"/>
          <w:lang w:eastAsia="en-US"/>
        </w:rPr>
        <w:t xml:space="preserve"> a migration route to the Middle Danube Basin.</w:t>
      </w:r>
    </w:p>
    <w:p w:rsidR="00841B62" w:rsidRDefault="00BA05F6" w:rsidP="00BA05F6">
      <w:r w:rsidRPr="00D615C5">
        <w:rPr>
          <w:rFonts w:ascii="Times New Roman" w:hAnsi="Times New Roman"/>
          <w:lang w:eastAsia="en-US"/>
        </w:rPr>
        <w:t>The Commission notes that it works actively with the relevant Members States on the fulfilment of the CFP objectives in the Black Sea (par</w:t>
      </w:r>
      <w:r>
        <w:rPr>
          <w:rFonts w:ascii="Times New Roman" w:hAnsi="Times New Roman"/>
          <w:lang w:eastAsia="en-US"/>
        </w:rPr>
        <w:t>agraph</w:t>
      </w:r>
      <w:r w:rsidRPr="00D615C5">
        <w:rPr>
          <w:rFonts w:ascii="Times New Roman" w:hAnsi="Times New Roman"/>
          <w:lang w:eastAsia="en-US"/>
        </w:rPr>
        <w:t xml:space="preserve"> 61). In addition, the Commission has engaged in a successful strategy to address fisheries conservation issues at international level in this area, thr</w:t>
      </w:r>
      <w:r>
        <w:rPr>
          <w:rFonts w:ascii="Times New Roman" w:hAnsi="Times New Roman"/>
          <w:lang w:eastAsia="en-US"/>
        </w:rPr>
        <w:t>ough work under the GFCM. T</w:t>
      </w:r>
      <w:r w:rsidRPr="00D615C5">
        <w:rPr>
          <w:rFonts w:ascii="Times New Roman" w:hAnsi="Times New Roman"/>
          <w:lang w:eastAsia="en-US"/>
        </w:rPr>
        <w:t xml:space="preserve">he Commission also notes that EMFF 2014 – 2020 funds </w:t>
      </w:r>
      <w:proofErr w:type="gramStart"/>
      <w:r w:rsidRPr="00D615C5">
        <w:rPr>
          <w:rFonts w:ascii="Times New Roman" w:hAnsi="Times New Roman"/>
          <w:lang w:eastAsia="en-US"/>
        </w:rPr>
        <w:t>are used</w:t>
      </w:r>
      <w:proofErr w:type="gramEnd"/>
      <w:r w:rsidRPr="00D615C5">
        <w:rPr>
          <w:rFonts w:ascii="Times New Roman" w:hAnsi="Times New Roman"/>
          <w:lang w:eastAsia="en-US"/>
        </w:rPr>
        <w:t xml:space="preserve"> from both Black Sea Member States to improve their fisheries management and support CFP implementation.</w:t>
      </w:r>
    </w:p>
    <w:sectPr w:rsidR="0084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F6" w:rsidRDefault="00BA05F6" w:rsidP="00BA05F6">
      <w:pPr>
        <w:spacing w:after="0"/>
      </w:pPr>
      <w:r>
        <w:separator/>
      </w:r>
    </w:p>
  </w:endnote>
  <w:endnote w:type="continuationSeparator" w:id="0">
    <w:p w:rsidR="00BA05F6" w:rsidRDefault="00BA05F6" w:rsidP="00BA05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F6" w:rsidRDefault="00BA05F6" w:rsidP="00BA05F6">
      <w:pPr>
        <w:spacing w:after="0"/>
      </w:pPr>
      <w:r>
        <w:separator/>
      </w:r>
    </w:p>
  </w:footnote>
  <w:footnote w:type="continuationSeparator" w:id="0">
    <w:p w:rsidR="00BA05F6" w:rsidRDefault="00BA05F6" w:rsidP="00BA05F6">
      <w:pPr>
        <w:spacing w:after="0"/>
      </w:pPr>
      <w:r>
        <w:continuationSeparator/>
      </w:r>
    </w:p>
  </w:footnote>
  <w:footnote w:id="1">
    <w:p w:rsidR="00BA05F6" w:rsidRPr="00B93C2C" w:rsidRDefault="00BA05F6" w:rsidP="00BA05F6">
      <w:pPr>
        <w:pStyle w:val="Default"/>
        <w:ind w:left="357" w:hanging="357"/>
        <w:jc w:val="both"/>
        <w:rPr>
          <w:sz w:val="20"/>
          <w:szCs w:val="20"/>
          <w:lang w:val="en-IE"/>
        </w:rPr>
      </w:pPr>
      <w:r w:rsidRPr="00FF3979">
        <w:rPr>
          <w:rStyle w:val="FootnoteReference"/>
          <w:sz w:val="16"/>
          <w:szCs w:val="16"/>
        </w:rPr>
        <w:footnoteRef/>
      </w:r>
      <w:r w:rsidRPr="00FF3979">
        <w:rPr>
          <w:sz w:val="16"/>
          <w:szCs w:val="16"/>
          <w:lang w:val="en-GB"/>
        </w:rPr>
        <w:t xml:space="preserve"> </w:t>
      </w:r>
      <w:r>
        <w:rPr>
          <w:sz w:val="16"/>
          <w:szCs w:val="16"/>
          <w:lang w:val="en-GB"/>
        </w:rPr>
        <w:tab/>
      </w:r>
      <w:r w:rsidRPr="00B93C2C">
        <w:rPr>
          <w:bCs/>
          <w:sz w:val="20"/>
          <w:szCs w:val="20"/>
          <w:lang w:val="en-GB" w:eastAsia="fr-BE"/>
        </w:rPr>
        <w:t>R</w:t>
      </w:r>
      <w:r>
        <w:rPr>
          <w:bCs/>
          <w:sz w:val="20"/>
          <w:szCs w:val="20"/>
          <w:lang w:val="en-GB" w:eastAsia="fr-BE"/>
        </w:rPr>
        <w:t>egulation</w:t>
      </w:r>
      <w:r w:rsidRPr="00B93C2C">
        <w:rPr>
          <w:bCs/>
          <w:sz w:val="20"/>
          <w:szCs w:val="20"/>
          <w:lang w:val="en-GB" w:eastAsia="fr-BE"/>
        </w:rPr>
        <w:t xml:space="preserve"> (EU) 2021/1139 </w:t>
      </w:r>
      <w:r>
        <w:rPr>
          <w:bCs/>
          <w:sz w:val="20"/>
          <w:szCs w:val="20"/>
          <w:lang w:val="en-GB" w:eastAsia="fr-BE"/>
        </w:rPr>
        <w:t>of the European Parliament and of the C</w:t>
      </w:r>
      <w:r w:rsidRPr="00B93C2C">
        <w:rPr>
          <w:bCs/>
          <w:sz w:val="20"/>
          <w:szCs w:val="20"/>
          <w:lang w:val="en-GB" w:eastAsia="fr-BE"/>
        </w:rPr>
        <w:t>ouncil of 7 July 2021 establishing the European Maritime, Fisheries and Aquaculture Fund and amending Regulation (EU) 2017/1004, OJ L 247, 13.07.2021</w:t>
      </w:r>
    </w:p>
  </w:footnote>
  <w:footnote w:id="2">
    <w:p w:rsidR="00BA05F6" w:rsidRPr="00B93C2C" w:rsidRDefault="00BA05F6" w:rsidP="00BA05F6">
      <w:pPr>
        <w:pStyle w:val="Default"/>
        <w:ind w:left="357" w:hanging="357"/>
        <w:jc w:val="both"/>
        <w:rPr>
          <w:sz w:val="20"/>
          <w:szCs w:val="20"/>
          <w:lang w:val="en-IE"/>
        </w:rPr>
      </w:pPr>
      <w:r w:rsidRPr="00B93C2C">
        <w:rPr>
          <w:rStyle w:val="FootnoteReference"/>
          <w:sz w:val="20"/>
          <w:szCs w:val="20"/>
        </w:rPr>
        <w:footnoteRef/>
      </w:r>
      <w:r w:rsidRPr="00B93C2C">
        <w:rPr>
          <w:sz w:val="20"/>
          <w:szCs w:val="20"/>
          <w:lang w:val="en-GB"/>
        </w:rPr>
        <w:t xml:space="preserve"> </w:t>
      </w:r>
      <w:r w:rsidRPr="00B93C2C">
        <w:rPr>
          <w:sz w:val="20"/>
          <w:szCs w:val="20"/>
          <w:lang w:val="en-GB"/>
        </w:rPr>
        <w:tab/>
      </w:r>
      <w:r w:rsidRPr="00B93C2C">
        <w:rPr>
          <w:bCs/>
          <w:sz w:val="20"/>
          <w:szCs w:val="20"/>
          <w:lang w:val="en-GB" w:eastAsia="fr-BE"/>
        </w:rPr>
        <w:t>R</w:t>
      </w:r>
      <w:r>
        <w:rPr>
          <w:bCs/>
          <w:sz w:val="20"/>
          <w:szCs w:val="20"/>
          <w:lang w:val="en-GB" w:eastAsia="fr-BE"/>
        </w:rPr>
        <w:t>egulation</w:t>
      </w:r>
      <w:r w:rsidRPr="00B93C2C">
        <w:rPr>
          <w:bCs/>
          <w:sz w:val="20"/>
          <w:szCs w:val="20"/>
          <w:lang w:val="en-GB" w:eastAsia="fr-BE"/>
        </w:rPr>
        <w:t xml:space="preserve"> (EU) No 508/2014 </w:t>
      </w:r>
      <w:r>
        <w:rPr>
          <w:bCs/>
          <w:sz w:val="20"/>
          <w:szCs w:val="20"/>
          <w:lang w:val="en-GB" w:eastAsia="fr-BE"/>
        </w:rPr>
        <w:t>of the European Parliament and of the C</w:t>
      </w:r>
      <w:r w:rsidRPr="00B93C2C">
        <w:rPr>
          <w:bCs/>
          <w:sz w:val="20"/>
          <w:szCs w:val="20"/>
          <w:lang w:val="en-GB" w:eastAsia="fr-BE"/>
        </w:rPr>
        <w:t>ouncil of 15 May 2014 on the European Maritime and Fisheries Fund and repealing Council Regulations (EC) No 2328/2003, (EC) No 861/2006, (EC) No 1198/2006 and (EC) No 791/2007 and Regulation (EU) No 1255/2011 of the European Parliament and of the Council, L 149, 20.5.2014</w:t>
      </w:r>
    </w:p>
  </w:footnote>
  <w:footnote w:id="3">
    <w:p w:rsidR="00BA05F6" w:rsidRPr="00B93C2C" w:rsidRDefault="00BA05F6" w:rsidP="00BA05F6">
      <w:pPr>
        <w:pStyle w:val="FootnoteText"/>
        <w:spacing w:after="0"/>
        <w:rPr>
          <w:rFonts w:ascii="Times New Roman" w:hAnsi="Times New Roman"/>
          <w:lang w:val="en-IE"/>
        </w:rPr>
      </w:pPr>
      <w:r w:rsidRPr="00B93C2C">
        <w:rPr>
          <w:rStyle w:val="FootnoteReference"/>
          <w:rFonts w:ascii="Times New Roman" w:hAnsi="Times New Roman"/>
        </w:rPr>
        <w:footnoteRef/>
      </w:r>
      <w:r w:rsidRPr="00B93C2C">
        <w:rPr>
          <w:rFonts w:ascii="Times New Roman" w:hAnsi="Times New Roman"/>
        </w:rPr>
        <w:t xml:space="preserve"> </w:t>
      </w:r>
      <w:r w:rsidRPr="00B93C2C">
        <w:rPr>
          <w:rFonts w:ascii="Times New Roman" w:hAnsi="Times New Roman"/>
        </w:rPr>
        <w:tab/>
      </w:r>
      <w:hyperlink r:id="rId1" w:history="1">
        <w:r w:rsidRPr="00B93C2C">
          <w:rPr>
            <w:rStyle w:val="Hyperlink"/>
            <w:rFonts w:ascii="Times New Roman" w:hAnsi="Times New Roman"/>
          </w:rPr>
          <w:t>http://www.fao.org/gfcm/meetings/blackseaconference2018/sofiadeclaration/en/</w:t>
        </w:r>
      </w:hyperlink>
    </w:p>
  </w:footnote>
  <w:footnote w:id="4">
    <w:p w:rsidR="00BA05F6" w:rsidRPr="00FF3979" w:rsidRDefault="00BA05F6" w:rsidP="00BA05F6">
      <w:pPr>
        <w:pStyle w:val="FootnoteText"/>
        <w:spacing w:after="0"/>
        <w:rPr>
          <w:rFonts w:ascii="Times New Roman" w:hAnsi="Times New Roman"/>
          <w:sz w:val="16"/>
          <w:szCs w:val="16"/>
        </w:rPr>
      </w:pPr>
      <w:r w:rsidRPr="00B93C2C">
        <w:rPr>
          <w:rStyle w:val="FootnoteReference"/>
          <w:rFonts w:ascii="Times New Roman" w:hAnsi="Times New Roman"/>
        </w:rPr>
        <w:footnoteRef/>
      </w:r>
      <w:r w:rsidRPr="00B93C2C">
        <w:rPr>
          <w:rFonts w:ascii="Times New Roman" w:hAnsi="Times New Roman"/>
        </w:rPr>
        <w:t xml:space="preserve"> </w:t>
      </w:r>
      <w:r>
        <w:rPr>
          <w:rFonts w:ascii="Times New Roman" w:hAnsi="Times New Roman"/>
        </w:rPr>
        <w:tab/>
      </w:r>
      <w:r w:rsidRPr="00B93C2C">
        <w:rPr>
          <w:rFonts w:ascii="Times New Roman" w:hAnsi="Times New Roman"/>
        </w:rPr>
        <w:t xml:space="preserve">GFCM Strategy 2030 for the sustainable fisheries in the Mediterranean and the Black Sea- </w:t>
      </w:r>
      <w:hyperlink r:id="rId2" w:history="1">
        <w:r w:rsidRPr="00B93C2C">
          <w:rPr>
            <w:rStyle w:val="Hyperlink"/>
            <w:rFonts w:ascii="Times New Roman" w:hAnsi="Times New Roman"/>
          </w:rPr>
          <w:t>https://gfcmsitestorage.blob.core.windows.net/website/4.Publications/GFCM%202030%20STRATEGY_FINAL.pdf</w:t>
        </w:r>
      </w:hyperlink>
    </w:p>
  </w:footnote>
  <w:footnote w:id="5">
    <w:p w:rsidR="00BA05F6" w:rsidRPr="00B93C2C" w:rsidRDefault="00BA05F6" w:rsidP="00BA05F6">
      <w:pPr>
        <w:pStyle w:val="FootnoteText"/>
        <w:spacing w:after="0"/>
        <w:rPr>
          <w:rFonts w:ascii="Times New Roman" w:hAnsi="Times New Roman"/>
        </w:rPr>
      </w:pPr>
      <w:r w:rsidRPr="00FF3979">
        <w:rPr>
          <w:rStyle w:val="FootnoteReference"/>
          <w:rFonts w:ascii="Times New Roman" w:hAnsi="Times New Roman"/>
          <w:sz w:val="16"/>
          <w:szCs w:val="16"/>
        </w:rPr>
        <w:footnoteRef/>
      </w:r>
      <w:r w:rsidRPr="00FF3979">
        <w:rPr>
          <w:rFonts w:ascii="Times New Roman" w:hAnsi="Times New Roman"/>
          <w:sz w:val="16"/>
          <w:szCs w:val="16"/>
        </w:rPr>
        <w:t xml:space="preserve"> </w:t>
      </w:r>
      <w:r>
        <w:rPr>
          <w:rFonts w:ascii="Times New Roman" w:hAnsi="Times New Roman"/>
          <w:sz w:val="16"/>
          <w:szCs w:val="16"/>
        </w:rPr>
        <w:tab/>
      </w:r>
      <w:hyperlink r:id="rId3" w:history="1">
        <w:r w:rsidRPr="00B93C2C">
          <w:rPr>
            <w:rStyle w:val="Hyperlink"/>
            <w:rFonts w:ascii="Times New Roman" w:hAnsi="Times New Roman"/>
          </w:rPr>
          <w:t>http://www.fao.org/gfcm/activities/fisheries/blacksea4fish/ru/</w:t>
        </w:r>
      </w:hyperlink>
    </w:p>
  </w:footnote>
  <w:footnote w:id="6">
    <w:p w:rsidR="00BA05F6" w:rsidRPr="00B93C2C" w:rsidRDefault="00BA05F6" w:rsidP="00BA05F6">
      <w:pPr>
        <w:pStyle w:val="FootnoteText"/>
        <w:spacing w:after="0"/>
        <w:rPr>
          <w:rFonts w:ascii="Times New Roman" w:hAnsi="Times New Roman"/>
        </w:rPr>
      </w:pPr>
      <w:r w:rsidRPr="00B93C2C">
        <w:rPr>
          <w:rStyle w:val="FootnoteReference"/>
          <w:rFonts w:ascii="Times New Roman" w:hAnsi="Times New Roman"/>
        </w:rPr>
        <w:footnoteRef/>
      </w:r>
      <w:r w:rsidRPr="00B93C2C">
        <w:rPr>
          <w:rFonts w:ascii="Times New Roman" w:hAnsi="Times New Roman"/>
        </w:rPr>
        <w:t xml:space="preserve"> </w:t>
      </w:r>
      <w:r w:rsidRPr="00B93C2C">
        <w:rPr>
          <w:rFonts w:ascii="Times New Roman" w:hAnsi="Times New Roman"/>
        </w:rPr>
        <w:tab/>
        <w:t>Recommendation GFCM/41/2017/4 on a multiannual management plan for turbot fisheries in the Black Sea (geographical subarea 29) and Recommendation GFCM/43/2019/3 amending Recommendation GFCM/41/2017/4 on a multiannual management plan for turbot fisheries in the Black Sea (geographical subarea 29)</w:t>
      </w:r>
    </w:p>
  </w:footnote>
  <w:footnote w:id="7">
    <w:p w:rsidR="00BA05F6" w:rsidRPr="00B93C2C" w:rsidRDefault="00BA05F6" w:rsidP="00BA05F6">
      <w:pPr>
        <w:pStyle w:val="FootnoteText"/>
        <w:spacing w:after="0"/>
        <w:rPr>
          <w:rFonts w:ascii="Times New Roman" w:hAnsi="Times New Roman"/>
          <w:lang w:val="en-IE"/>
        </w:rPr>
      </w:pPr>
      <w:r w:rsidRPr="00B93C2C">
        <w:rPr>
          <w:rStyle w:val="FootnoteReference"/>
          <w:rFonts w:ascii="Times New Roman" w:hAnsi="Times New Roman"/>
        </w:rPr>
        <w:footnoteRef/>
      </w:r>
      <w:r w:rsidRPr="00B93C2C">
        <w:rPr>
          <w:rFonts w:ascii="Times New Roman" w:hAnsi="Times New Roman"/>
        </w:rPr>
        <w:t xml:space="preserve"> </w:t>
      </w:r>
      <w:r w:rsidRPr="00B93C2C">
        <w:rPr>
          <w:rFonts w:ascii="Times New Roman" w:hAnsi="Times New Roman"/>
        </w:rPr>
        <w:tab/>
      </w:r>
      <w:hyperlink r:id="rId4" w:history="1">
        <w:r w:rsidRPr="00B93C2C">
          <w:rPr>
            <w:rStyle w:val="Hyperlink"/>
            <w:rFonts w:ascii="Times New Roman" w:hAnsi="Times New Roman"/>
          </w:rPr>
          <w:t>http://www.fao.org/gfcm/meetings/ssf2018/rpoassf/en/</w:t>
        </w:r>
      </w:hyperlink>
    </w:p>
  </w:footnote>
  <w:footnote w:id="8">
    <w:p w:rsidR="00BA05F6" w:rsidRPr="00B93C2C" w:rsidRDefault="00BA05F6" w:rsidP="00BA05F6">
      <w:pPr>
        <w:pStyle w:val="Default"/>
        <w:ind w:left="357" w:hanging="357"/>
        <w:jc w:val="both"/>
        <w:rPr>
          <w:sz w:val="20"/>
          <w:szCs w:val="20"/>
          <w:lang w:val="en-IE"/>
        </w:rPr>
      </w:pPr>
      <w:r w:rsidRPr="00B93C2C">
        <w:rPr>
          <w:rStyle w:val="FootnoteReference"/>
          <w:sz w:val="20"/>
          <w:szCs w:val="20"/>
        </w:rPr>
        <w:footnoteRef/>
      </w:r>
      <w:r w:rsidRPr="00B93C2C">
        <w:rPr>
          <w:sz w:val="20"/>
          <w:szCs w:val="20"/>
          <w:lang w:val="en-GB"/>
        </w:rPr>
        <w:t xml:space="preserve"> </w:t>
      </w:r>
      <w:r w:rsidRPr="00B93C2C">
        <w:rPr>
          <w:sz w:val="20"/>
          <w:szCs w:val="20"/>
          <w:lang w:val="en-GB"/>
        </w:rPr>
        <w:tab/>
      </w:r>
      <w:r w:rsidRPr="00B93C2C">
        <w:rPr>
          <w:bCs/>
          <w:sz w:val="20"/>
          <w:szCs w:val="20"/>
          <w:lang w:val="en-GB" w:eastAsia="fr-BE"/>
        </w:rPr>
        <w:t>R</w:t>
      </w:r>
      <w:r>
        <w:rPr>
          <w:bCs/>
          <w:sz w:val="20"/>
          <w:szCs w:val="20"/>
          <w:lang w:val="en-GB" w:eastAsia="fr-BE"/>
        </w:rPr>
        <w:t>egulation</w:t>
      </w:r>
      <w:r w:rsidRPr="00B93C2C">
        <w:rPr>
          <w:bCs/>
          <w:sz w:val="20"/>
          <w:szCs w:val="20"/>
          <w:lang w:val="en-GB" w:eastAsia="fr-BE"/>
        </w:rPr>
        <w:t xml:space="preserve"> (EU) No 1380/2013 </w:t>
      </w:r>
      <w:r>
        <w:rPr>
          <w:bCs/>
          <w:sz w:val="20"/>
          <w:szCs w:val="20"/>
          <w:lang w:val="en-GB" w:eastAsia="fr-BE"/>
        </w:rPr>
        <w:t>of the European Parliament and of the C</w:t>
      </w:r>
      <w:r w:rsidRPr="00B93C2C">
        <w:rPr>
          <w:bCs/>
          <w:sz w:val="20"/>
          <w:szCs w:val="20"/>
          <w:lang w:val="en-GB" w:eastAsia="fr-BE"/>
        </w:rPr>
        <w:t>ouncil of 11 December 2013 on the Common Fisheries Policy, amending Council Regulations (EC) No 1954/2003 and (EC) No 1224/2009 and repealing Council Regulations (EC) No 2371/2002 and (EC) No 639/2004 and Council Decision 2004/585/EC, OJ L 354, 28.2.2013</w:t>
      </w:r>
    </w:p>
  </w:footnote>
  <w:footnote w:id="9">
    <w:p w:rsidR="00BA05F6" w:rsidRPr="00B93C2C" w:rsidRDefault="00BA05F6" w:rsidP="00BA05F6">
      <w:pPr>
        <w:pStyle w:val="FootnoteText"/>
        <w:spacing w:after="0"/>
        <w:rPr>
          <w:rFonts w:ascii="Times New Roman" w:hAnsi="Times New Roman"/>
        </w:rPr>
      </w:pPr>
      <w:r w:rsidRPr="00FF3979">
        <w:rPr>
          <w:rStyle w:val="FootnoteReference"/>
          <w:rFonts w:ascii="Times New Roman" w:hAnsi="Times New Roman"/>
          <w:sz w:val="16"/>
          <w:szCs w:val="16"/>
        </w:rPr>
        <w:footnoteRef/>
      </w:r>
      <w:r w:rsidRPr="00FF3979">
        <w:rPr>
          <w:rFonts w:ascii="Times New Roman" w:hAnsi="Times New Roman"/>
          <w:sz w:val="16"/>
          <w:szCs w:val="16"/>
        </w:rPr>
        <w:t xml:space="preserve"> </w:t>
      </w:r>
      <w:r>
        <w:rPr>
          <w:rFonts w:ascii="Times New Roman" w:hAnsi="Times New Roman"/>
          <w:sz w:val="16"/>
          <w:szCs w:val="16"/>
        </w:rPr>
        <w:tab/>
      </w:r>
      <w:r w:rsidRPr="00B93C2C">
        <w:rPr>
          <w:rFonts w:ascii="Times New Roman" w:hAnsi="Times New Roman"/>
        </w:rPr>
        <w:t>R</w:t>
      </w:r>
      <w:r>
        <w:rPr>
          <w:rFonts w:ascii="Times New Roman" w:hAnsi="Times New Roman"/>
        </w:rPr>
        <w:t>egulation</w:t>
      </w:r>
      <w:r w:rsidRPr="00B93C2C">
        <w:rPr>
          <w:rFonts w:ascii="Times New Roman" w:hAnsi="Times New Roman"/>
        </w:rPr>
        <w:t xml:space="preserve"> (EU) 2019/1241 </w:t>
      </w:r>
      <w:r w:rsidRPr="00005836">
        <w:rPr>
          <w:rFonts w:ascii="Times New Roman" w:hAnsi="Times New Roman"/>
          <w:bCs/>
        </w:rPr>
        <w:t xml:space="preserve">of the European Parliament and of the Council </w:t>
      </w:r>
      <w:r w:rsidRPr="00B93C2C">
        <w:rPr>
          <w:rFonts w:ascii="Times New Roman" w:hAnsi="Times New Roman"/>
        </w:rPr>
        <w:t>of 20 June 2019 on the conservation of fisheries resources and the protection of marine ecosystems through technical measures, amending Council Regulations (EC) No 1967/2006, (EC) No 1224/2009 and Regulations (EU) No 1380/2013, (EU) 2016/1139, (EU) 2018/973, (EU) 2019/472 and (EU) 2019/1022 of the European Parliament and of the Council, and repealing Council Regulations (EC) No 894/97, (EC) No 850/98, (EC) No 2549/2000, (EC) No 254/2002, (EC) No 812/2004 and (EC) No 2187/2005, L 198, 25.07.2019</w:t>
      </w:r>
    </w:p>
  </w:footnote>
  <w:footnote w:id="10">
    <w:p w:rsidR="00BA05F6" w:rsidRPr="00005836" w:rsidRDefault="00BA05F6" w:rsidP="00BA05F6">
      <w:pPr>
        <w:pStyle w:val="FootnoteText"/>
        <w:spacing w:after="0"/>
        <w:rPr>
          <w:rFonts w:ascii="Times New Roman" w:hAnsi="Times New Roman"/>
          <w:lang w:val="en-US"/>
        </w:rPr>
      </w:pPr>
      <w:r w:rsidRPr="00B93C2C">
        <w:rPr>
          <w:rStyle w:val="FootnoteReference"/>
          <w:rFonts w:ascii="Times New Roman" w:hAnsi="Times New Roman"/>
        </w:rPr>
        <w:footnoteRef/>
      </w:r>
      <w:r w:rsidRPr="00B93C2C">
        <w:rPr>
          <w:rFonts w:ascii="Times New Roman" w:hAnsi="Times New Roman"/>
        </w:rPr>
        <w:t xml:space="preserve"> </w:t>
      </w:r>
      <w:r w:rsidRPr="00B93C2C">
        <w:rPr>
          <w:rFonts w:ascii="Times New Roman" w:hAnsi="Times New Roman"/>
        </w:rPr>
        <w:tab/>
        <w:t>Directive 2008/56/EC of the European Parliament and of the Council of 17 June 2008 establishing a framework for community action in the field of marine environmental policy (the Marine Strategy Framework Directive), OJ L 164, 25.6.2008, p.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F6"/>
    <w:rsid w:val="00841B62"/>
    <w:rsid w:val="00BA0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AD3C9-E02C-4128-BE50-35F8B7F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5F6"/>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BA05F6"/>
    <w:pPr>
      <w:ind w:left="357" w:hanging="357"/>
    </w:pPr>
    <w:rPr>
      <w:sz w:val="20"/>
    </w:rPr>
  </w:style>
  <w:style w:type="character" w:customStyle="1" w:styleId="FootnoteTextChar">
    <w:name w:val="Footnote Text Char"/>
    <w:basedOn w:val="DefaultParagraphFont"/>
    <w:uiPriority w:val="99"/>
    <w:semiHidden/>
    <w:rsid w:val="00BA05F6"/>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A05F6"/>
    <w:rPr>
      <w:vertAlign w:val="superscript"/>
    </w:rPr>
  </w:style>
  <w:style w:type="character" w:styleId="Hyperlink">
    <w:name w:val="Hyperlink"/>
    <w:aliases w:val="Char1"/>
    <w:rsid w:val="00BA05F6"/>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BA05F6"/>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A05F6"/>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Default">
    <w:name w:val="Default"/>
    <w:rsid w:val="00BA05F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gfcm/activities/fisheries/blacksea4fish/ru/" TargetMode="External"/><Relationship Id="rId2" Type="http://schemas.openxmlformats.org/officeDocument/2006/relationships/hyperlink" Target="https://gfcmsitestorage.blob.core.windows.net/website/4.Publications/GFCM%202030%20STRATEGY_FINAL.pdf" TargetMode="External"/><Relationship Id="rId1" Type="http://schemas.openxmlformats.org/officeDocument/2006/relationships/hyperlink" Target="http://www.fao.org/gfcm/meetings/blackseaconference2018/sofiadeclaration/en/" TargetMode="External"/><Relationship Id="rId4" Type="http://schemas.openxmlformats.org/officeDocument/2006/relationships/hyperlink" Target="http://www.fao.org/gfcm/meetings/ssf2018/rpoass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7256</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2021-09-28T08:52:00Z</dcterms:created>
  <dcterms:modified xsi:type="dcterms:W3CDTF">2021-09-28T08:52:00Z</dcterms:modified>
</cp:coreProperties>
</file>