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52B9" w:rsidRPr="002F61D1" w:rsidRDefault="001B52B9" w:rsidP="001B52B9">
      <w:pPr>
        <w:spacing w:after="600"/>
        <w:jc w:val="center"/>
        <w:rPr>
          <w:rFonts w:ascii="Times New Roman" w:hAnsi="Times New Roman"/>
          <w:b/>
          <w:bCs/>
        </w:rPr>
      </w:pPr>
      <w:bookmarkStart w:id="0" w:name="humanitarian"/>
      <w:bookmarkStart w:id="1" w:name="RoL"/>
      <w:bookmarkStart w:id="2" w:name="Blacksea"/>
      <w:bookmarkEnd w:id="0"/>
      <w:bookmarkEnd w:id="1"/>
      <w:r>
        <w:rPr>
          <w:rFonts w:ascii="Times New Roman" w:hAnsi="Times New Roman"/>
          <w:b/>
          <w:bCs/>
        </w:rPr>
        <w:t>Suite donnée à la résolution non législative du Parlement européen sur les défis et perspectives pour le secteur de la pêche en mer Noire</w:t>
      </w:r>
    </w:p>
    <w:bookmarkEnd w:id="2"/>
    <w:p w:rsidR="001B52B9" w:rsidRPr="00586FEA" w:rsidRDefault="001B52B9" w:rsidP="001B52B9">
      <w:pPr>
        <w:numPr>
          <w:ilvl w:val="0"/>
          <w:numId w:val="1"/>
        </w:numPr>
        <w:ind w:left="567" w:hanging="567"/>
        <w:rPr>
          <w:rFonts w:ascii="Times New Roman" w:hAnsi="Times New Roman"/>
          <w:b/>
          <w:bCs/>
        </w:rPr>
      </w:pPr>
      <w:r>
        <w:rPr>
          <w:rFonts w:ascii="Times New Roman" w:hAnsi="Times New Roman"/>
          <w:b/>
          <w:bCs/>
        </w:rPr>
        <w:t xml:space="preserve">Rapporteur: </w:t>
      </w:r>
      <w:r>
        <w:rPr>
          <w:rFonts w:ascii="Times New Roman" w:hAnsi="Times New Roman"/>
          <w:bCs/>
        </w:rPr>
        <w:t>Ivo HRISTOV (S&amp;D / BG)</w:t>
      </w:r>
    </w:p>
    <w:p w:rsidR="001B52B9" w:rsidRPr="002F61D1" w:rsidRDefault="001B52B9" w:rsidP="001B52B9">
      <w:pPr>
        <w:numPr>
          <w:ilvl w:val="0"/>
          <w:numId w:val="1"/>
        </w:numPr>
        <w:ind w:left="567" w:hanging="567"/>
        <w:rPr>
          <w:rFonts w:ascii="Times New Roman" w:hAnsi="Times New Roman"/>
          <w:i/>
          <w:iCs/>
        </w:rPr>
      </w:pPr>
      <w:r>
        <w:rPr>
          <w:rFonts w:ascii="Times New Roman" w:hAnsi="Times New Roman"/>
          <w:b/>
          <w:bCs/>
        </w:rPr>
        <w:t>Numéros de référence:</w:t>
      </w:r>
      <w:r>
        <w:rPr>
          <w:rFonts w:ascii="Times New Roman" w:hAnsi="Times New Roman"/>
          <w:iCs/>
        </w:rPr>
        <w:t xml:space="preserve"> 2019/2159 (INI) / </w:t>
      </w:r>
      <w:bookmarkStart w:id="3" w:name="_GoBack"/>
      <w:r>
        <w:rPr>
          <w:rFonts w:ascii="Times New Roman" w:hAnsi="Times New Roman"/>
          <w:szCs w:val="24"/>
        </w:rPr>
        <w:t>A9-0170/2021</w:t>
      </w:r>
      <w:bookmarkEnd w:id="3"/>
      <w:r>
        <w:rPr>
          <w:rFonts w:ascii="Times New Roman" w:hAnsi="Times New Roman"/>
          <w:szCs w:val="24"/>
        </w:rPr>
        <w:t xml:space="preserve"> / P9_TA-</w:t>
      </w:r>
      <w:proofErr w:type="gramStart"/>
      <w:r>
        <w:rPr>
          <w:rFonts w:ascii="Times New Roman" w:hAnsi="Times New Roman"/>
          <w:szCs w:val="24"/>
        </w:rPr>
        <w:t>PROV(</w:t>
      </w:r>
      <w:proofErr w:type="gramEnd"/>
      <w:r>
        <w:rPr>
          <w:rFonts w:ascii="Times New Roman" w:hAnsi="Times New Roman"/>
          <w:szCs w:val="24"/>
        </w:rPr>
        <w:t>2021)0307</w:t>
      </w:r>
    </w:p>
    <w:p w:rsidR="001B52B9" w:rsidRPr="002F61D1" w:rsidRDefault="001B52B9" w:rsidP="001B52B9">
      <w:pPr>
        <w:numPr>
          <w:ilvl w:val="0"/>
          <w:numId w:val="1"/>
        </w:numPr>
        <w:ind w:left="567" w:hanging="567"/>
        <w:rPr>
          <w:rFonts w:ascii="Times New Roman" w:hAnsi="Times New Roman"/>
        </w:rPr>
      </w:pPr>
      <w:r>
        <w:rPr>
          <w:rFonts w:ascii="Times New Roman" w:hAnsi="Times New Roman"/>
          <w:b/>
          <w:bCs/>
        </w:rPr>
        <w:t xml:space="preserve">Date d'adoption de la résolution: </w:t>
      </w:r>
      <w:r>
        <w:rPr>
          <w:rFonts w:ascii="Times New Roman" w:hAnsi="Times New Roman"/>
          <w:iCs/>
        </w:rPr>
        <w:t>23 juin 2021</w:t>
      </w:r>
    </w:p>
    <w:p w:rsidR="001B52B9" w:rsidRPr="00586FEA" w:rsidRDefault="001B52B9" w:rsidP="001B52B9">
      <w:pPr>
        <w:numPr>
          <w:ilvl w:val="0"/>
          <w:numId w:val="1"/>
        </w:numPr>
        <w:ind w:left="567" w:hanging="567"/>
        <w:rPr>
          <w:rFonts w:ascii="Times New Roman" w:hAnsi="Times New Roman"/>
          <w:i/>
          <w:iCs/>
        </w:rPr>
      </w:pPr>
      <w:r>
        <w:rPr>
          <w:rFonts w:ascii="Times New Roman" w:hAnsi="Times New Roman"/>
          <w:b/>
          <w:bCs/>
        </w:rPr>
        <w:t>Commission parlementaire compétente:</w:t>
      </w:r>
      <w:r>
        <w:rPr>
          <w:rFonts w:ascii="Times New Roman" w:hAnsi="Times New Roman"/>
        </w:rPr>
        <w:t xml:space="preserve"> commission de la pêche (PECH)</w:t>
      </w:r>
    </w:p>
    <w:p w:rsidR="001B52B9" w:rsidRDefault="001B52B9" w:rsidP="001B52B9">
      <w:pPr>
        <w:widowControl w:val="0"/>
        <w:numPr>
          <w:ilvl w:val="0"/>
          <w:numId w:val="1"/>
        </w:numPr>
        <w:ind w:left="567" w:hanging="567"/>
        <w:rPr>
          <w:rFonts w:ascii="Times New Roman" w:hAnsi="Times New Roman"/>
        </w:rPr>
      </w:pPr>
      <w:r>
        <w:rPr>
          <w:rFonts w:ascii="Times New Roman" w:hAnsi="Times New Roman"/>
          <w:b/>
          <w:bCs/>
        </w:rPr>
        <w:t>Analyse/évaluation succincte de la résolution et des demandes qu’elle contient:</w:t>
      </w:r>
    </w:p>
    <w:p w:rsidR="001B52B9" w:rsidRPr="00D615C5" w:rsidRDefault="001B52B9" w:rsidP="001B52B9">
      <w:pPr>
        <w:widowControl w:val="0"/>
        <w:spacing w:after="120"/>
        <w:rPr>
          <w:rFonts w:ascii="Times New Roman" w:hAnsi="Times New Roman"/>
          <w:szCs w:val="24"/>
        </w:rPr>
      </w:pPr>
      <w:r>
        <w:rPr>
          <w:rFonts w:ascii="Times New Roman" w:hAnsi="Times New Roman"/>
          <w:szCs w:val="24"/>
        </w:rPr>
        <w:t>Cette résolution analyse les défis et les perspectives pour le secteur de la pêche en mer Noire. Plus particulièrement, elle reconnaît l’état des principaux stocks commerciaux, les aspects commerciaux et la contribution de la pêche dans les économies régionales et locales de la mer Noire. En outre, elle appelle les États membres à soutenir le secteur par l’intermédiaire de leurs programmes opérationnels et activités de promotion de la sensibilisation à l’exploitation durable des pêcheries et à la consommation de poisson relevant du Fonds européen pour les affaires maritimes, la pêche et l'aquaculture (FEAMPA)</w:t>
      </w:r>
      <w:r>
        <w:rPr>
          <w:rStyle w:val="FootnoteReference"/>
          <w:rFonts w:ascii="Times New Roman" w:hAnsi="Times New Roman"/>
          <w:szCs w:val="24"/>
        </w:rPr>
        <w:footnoteReference w:id="1"/>
      </w:r>
      <w:r>
        <w:rPr>
          <w:rFonts w:ascii="Times New Roman" w:hAnsi="Times New Roman"/>
          <w:szCs w:val="24"/>
        </w:rPr>
        <w:t>, tout en insistant sur l’incidence des modifications de l’environnement et du changement climatique.</w:t>
      </w:r>
    </w:p>
    <w:p w:rsidR="001B52B9" w:rsidRPr="002F61D1" w:rsidRDefault="001B52B9" w:rsidP="001B52B9">
      <w:pPr>
        <w:widowControl w:val="0"/>
        <w:spacing w:after="120"/>
        <w:rPr>
          <w:rFonts w:ascii="Times New Roman" w:hAnsi="Times New Roman"/>
        </w:rPr>
      </w:pPr>
      <w:r>
        <w:rPr>
          <w:rFonts w:ascii="Times New Roman" w:hAnsi="Times New Roman"/>
          <w:szCs w:val="24"/>
        </w:rPr>
        <w:t>La résolution invite également la Commission à agir dans les domaines suivants: mise en place de plans de gestion pluriannuels, amélioration de l’état des stocks consécutivement à leur surexploitation, et mise en œuvre de la politique commune de la pêche en mer Noire, en mettant particulièrement en exergue la manière dont les États membres côtiers ont utilisé le Fonds européen pour les affaires maritimes et la pêche (FEAMP)</w:t>
      </w:r>
      <w:r>
        <w:rPr>
          <w:rStyle w:val="FootnoteReference"/>
          <w:rFonts w:ascii="Times New Roman" w:hAnsi="Times New Roman"/>
          <w:szCs w:val="24"/>
        </w:rPr>
        <w:footnoteReference w:id="2"/>
      </w:r>
      <w:r>
        <w:rPr>
          <w:rFonts w:ascii="Times New Roman" w:hAnsi="Times New Roman"/>
          <w:szCs w:val="24"/>
        </w:rPr>
        <w:t xml:space="preserve"> 2014-2020 en vue de parvenir à une gestion durable des stocks et d’améliorer la biodiversité</w:t>
      </w:r>
    </w:p>
    <w:p w:rsidR="001B52B9" w:rsidRPr="00B474CC" w:rsidRDefault="001B52B9" w:rsidP="001B52B9">
      <w:pPr>
        <w:widowControl w:val="0"/>
        <w:numPr>
          <w:ilvl w:val="0"/>
          <w:numId w:val="1"/>
        </w:numPr>
        <w:ind w:left="567" w:hanging="567"/>
        <w:rPr>
          <w:rFonts w:ascii="Times New Roman" w:hAnsi="Times New Roman"/>
          <w:b/>
          <w:bCs/>
          <w:i/>
          <w:iCs/>
        </w:rPr>
      </w:pPr>
      <w:r>
        <w:rPr>
          <w:rFonts w:ascii="Times New Roman" w:hAnsi="Times New Roman"/>
          <w:b/>
          <w:bCs/>
        </w:rPr>
        <w:t>Réponse à ces demandes et aperçu des mesures que la Commission a prises ou envisage de prendre:</w:t>
      </w:r>
    </w:p>
    <w:p w:rsidR="001B52B9" w:rsidRPr="00D615C5" w:rsidRDefault="001B52B9" w:rsidP="001B52B9">
      <w:pPr>
        <w:widowControl w:val="0"/>
        <w:spacing w:after="120"/>
        <w:rPr>
          <w:rFonts w:ascii="Times New Roman" w:hAnsi="Times New Roman"/>
        </w:rPr>
      </w:pPr>
      <w:r>
        <w:rPr>
          <w:rFonts w:ascii="Times New Roman" w:hAnsi="Times New Roman"/>
          <w:color w:val="000000"/>
          <w:szCs w:val="24"/>
        </w:rPr>
        <w:t>La Commission se félicite de cette résolution et reconnaît pleinement l'importance des questions soulevées. Nombre de paragraphes mentionnés figurent au cœur de la politique commune de la pêche et de la déclaration ministérielle de Sofia de 2018</w:t>
      </w:r>
      <w:r>
        <w:rPr>
          <w:rStyle w:val="FootnoteReference"/>
          <w:rFonts w:ascii="Times New Roman" w:hAnsi="Times New Roman"/>
          <w:color w:val="000000"/>
          <w:szCs w:val="24"/>
        </w:rPr>
        <w:footnoteReference w:id="3"/>
      </w:r>
      <w:r>
        <w:rPr>
          <w:rFonts w:ascii="Times New Roman" w:hAnsi="Times New Roman"/>
          <w:color w:val="000000"/>
          <w:szCs w:val="24"/>
        </w:rPr>
        <w:t>, qui ont façonné la nouvelle gouvernance des pêches en mer Noire. Celle-ci a été ultérieurement renforcée par la nouvelle stratégie pour les dix années à venir (2021-2030) de la Commission générale des pêches pour la Méditerranée (CGPM)</w:t>
      </w:r>
      <w:r>
        <w:rPr>
          <w:rStyle w:val="FootnoteReference"/>
          <w:rFonts w:ascii="Times New Roman" w:hAnsi="Times New Roman"/>
          <w:color w:val="000000"/>
          <w:szCs w:val="24"/>
        </w:rPr>
        <w:footnoteReference w:id="4"/>
      </w:r>
      <w:r>
        <w:rPr>
          <w:rFonts w:ascii="Times New Roman" w:hAnsi="Times New Roman"/>
          <w:color w:val="000000"/>
          <w:szCs w:val="24"/>
        </w:rPr>
        <w:t xml:space="preserve">, adoptée le 9 juillet. </w:t>
      </w:r>
      <w:r>
        <w:rPr>
          <w:rFonts w:ascii="Times New Roman" w:hAnsi="Times New Roman"/>
        </w:rPr>
        <w:t xml:space="preserve">L’exploitation durable des pêcheries et le développement durable de l’aquaculture au moyen d’une coopération renforcée entre les pays de la mer Noire sont des aspects fondamentaux de cette nouvelle gouvernance des pêches. La CGPM organisera en 2022 une conférence consacrée à la mer Noire. La mise </w:t>
      </w:r>
      <w:r>
        <w:rPr>
          <w:rFonts w:ascii="Times New Roman" w:hAnsi="Times New Roman"/>
        </w:rPr>
        <w:lastRenderedPageBreak/>
        <w:t>en œuvre de la déclaration ministérielle de Sofia par toutes les parties contractantes sera évaluée à cette occasion (par. 2).</w:t>
      </w:r>
    </w:p>
    <w:p w:rsidR="001B52B9" w:rsidRPr="00D615C5" w:rsidRDefault="001B52B9" w:rsidP="001B52B9">
      <w:pPr>
        <w:spacing w:after="120"/>
        <w:rPr>
          <w:rFonts w:ascii="Times New Roman" w:hAnsi="Times New Roman"/>
        </w:rPr>
      </w:pPr>
      <w:r>
        <w:rPr>
          <w:rFonts w:ascii="Times New Roman" w:hAnsi="Times New Roman"/>
        </w:rPr>
        <w:t>En ce qui concerne l’</w:t>
      </w:r>
      <w:r>
        <w:rPr>
          <w:rFonts w:ascii="Times New Roman" w:hAnsi="Times New Roman"/>
          <w:u w:val="single"/>
        </w:rPr>
        <w:t>état des stocks</w:t>
      </w:r>
      <w:r>
        <w:rPr>
          <w:rFonts w:ascii="Times New Roman" w:hAnsi="Times New Roman"/>
        </w:rPr>
        <w:t xml:space="preserve"> d’espèces </w:t>
      </w:r>
      <w:r>
        <w:rPr>
          <w:rFonts w:ascii="Times New Roman" w:hAnsi="Times New Roman"/>
          <w:u w:val="single"/>
        </w:rPr>
        <w:t>de la mer Noire</w:t>
      </w:r>
      <w:r>
        <w:rPr>
          <w:rFonts w:ascii="Times New Roman" w:hAnsi="Times New Roman"/>
        </w:rPr>
        <w:t xml:space="preserve"> ayant une grande importance sur le plan économique (paragraphes 1 à 24), la Commission fait valoir les nombreux efforts déployés pour renforcer la coopération régionale en matière de pêche et les multiples mesures adoptées à l’échelon régional dans le cadre de la CGPM, dont la plupart pour la première fois en mer Noire, telles que le plan de gestion pluriannuel pour les pêcheries de turbot, une espèce emblématique ayant une valeur marchande élevée et qui souffrait de la surexploitation et d’activités de pêche illicite, non déclarée et non réglementée.</w:t>
      </w:r>
    </w:p>
    <w:p w:rsidR="001B52B9" w:rsidRPr="00D615C5" w:rsidRDefault="001B52B9" w:rsidP="001B52B9">
      <w:pPr>
        <w:spacing w:after="120"/>
        <w:rPr>
          <w:rFonts w:ascii="Times New Roman" w:hAnsi="Times New Roman"/>
        </w:rPr>
      </w:pPr>
      <w:r>
        <w:rPr>
          <w:rFonts w:ascii="Times New Roman" w:hAnsi="Times New Roman"/>
        </w:rPr>
        <w:t>La mise en œuvre de la nouvelle gouvernance des pêches a donné lieu à d’importantes avancées en matière de collecte des données, de recherche halieutique (par exemple, le tout premier programme régional de recherche concernant la pêche de l’escargot de mer), dont des études en mer, à l’amélioration des connaissances halieutiques et au renforcement des capacités scientifiques au moyen du projet régional exemplaire BlackSea4Fish</w:t>
      </w:r>
      <w:r>
        <w:rPr>
          <w:rStyle w:val="FootnoteReference"/>
          <w:rFonts w:ascii="Times New Roman" w:hAnsi="Times New Roman"/>
        </w:rPr>
        <w:footnoteReference w:id="5"/>
      </w:r>
      <w:r>
        <w:rPr>
          <w:rFonts w:ascii="Times New Roman" w:hAnsi="Times New Roman"/>
        </w:rPr>
        <w:t xml:space="preserve"> de la CGPM, dont l’UE est le donateur financier exclusif.</w:t>
      </w:r>
    </w:p>
    <w:p w:rsidR="001B52B9" w:rsidRPr="00D615C5" w:rsidRDefault="001B52B9" w:rsidP="001B52B9">
      <w:pPr>
        <w:spacing w:after="120"/>
        <w:rPr>
          <w:rFonts w:ascii="Times New Roman" w:hAnsi="Times New Roman"/>
        </w:rPr>
      </w:pPr>
      <w:r>
        <w:rPr>
          <w:rFonts w:ascii="Times New Roman" w:hAnsi="Times New Roman"/>
        </w:rPr>
        <w:t>La gestion de la pêche a été assortie de contrôles et d’un suivi des pêches renforcés. La lutte contre la pêche illicite, non déclarée et non réglementée a été renforcée grâce au projet pilote d'inspection et de contrôle conjoints du turbot au titre de l'assistance de l’Agence européenne de contrôle des pêches. C’est une nouveauté pour la mer Noire.</w:t>
      </w:r>
    </w:p>
    <w:p w:rsidR="001B52B9" w:rsidRPr="00D615C5" w:rsidRDefault="001B52B9" w:rsidP="001B52B9">
      <w:pPr>
        <w:spacing w:after="120"/>
        <w:rPr>
          <w:rFonts w:ascii="Times New Roman" w:hAnsi="Times New Roman"/>
        </w:rPr>
      </w:pPr>
      <w:r>
        <w:rPr>
          <w:rFonts w:ascii="Times New Roman" w:hAnsi="Times New Roman"/>
        </w:rPr>
        <w:t>La gestion de la pêche et la préservation des ressources marines ont été renforcées au moyen de plans de gestion pluriannuels (tels que le plan de gestion pluriannuel pour les pêcheries de turbot de la CGPM</w:t>
      </w:r>
      <w:r>
        <w:rPr>
          <w:rStyle w:val="FootnoteReference"/>
          <w:rFonts w:ascii="Times New Roman" w:hAnsi="Times New Roman"/>
        </w:rPr>
        <w:footnoteReference w:id="6"/>
      </w:r>
      <w:r>
        <w:rPr>
          <w:rFonts w:ascii="Times New Roman" w:hAnsi="Times New Roman"/>
        </w:rPr>
        <w:t>). Les interactions entre la pêche et le milieu marin et la préservation des espèces vulnérables sont des éléments essentiels pour l’élaboration de mesures futures. Malgré les bons progrès accomplis, des efforts supplémentaires sont nécessaires. À cette fin, l’UE travaille sur des mesures supplémentaires. Ainsi, elle est chef de file des travaux de la CGPM sur les nouveaux plans de gestion pluriannuels et les mesures de préservation, sur les interactions entre les pêcheries et le milieu marin et les effets sur le climat, ainsi que sur la préservation des espèces vulnérables et sur les captures accidentelles.</w:t>
      </w:r>
    </w:p>
    <w:p w:rsidR="001B52B9" w:rsidRPr="00D615C5" w:rsidRDefault="001B52B9" w:rsidP="001B52B9">
      <w:pPr>
        <w:spacing w:after="120"/>
        <w:rPr>
          <w:rFonts w:ascii="Times New Roman" w:hAnsi="Times New Roman"/>
        </w:rPr>
      </w:pPr>
      <w:r>
        <w:rPr>
          <w:rFonts w:ascii="Times New Roman" w:hAnsi="Times New Roman"/>
        </w:rPr>
        <w:t>Dans l’UE, un système de contingent autonome était appliqué depuis 2008 aux principaux stocks commerciaux de turbot et de sprat. Il reste d’application pour ce dernier, alors que, pour le turbot, un régime sur les totaux admissibles de captures (TAC) et les quotas a été mis en place au niveau de la CGPM et est transposé annuellement dans le règlement de l’Union établissant les possibilités de pêche.</w:t>
      </w:r>
    </w:p>
    <w:p w:rsidR="001B52B9" w:rsidRPr="00D615C5" w:rsidRDefault="001B52B9" w:rsidP="001B52B9">
      <w:pPr>
        <w:widowControl w:val="0"/>
        <w:spacing w:after="120"/>
        <w:rPr>
          <w:rFonts w:ascii="Times New Roman" w:hAnsi="Times New Roman"/>
          <w:szCs w:val="24"/>
        </w:rPr>
      </w:pPr>
      <w:r>
        <w:rPr>
          <w:rFonts w:ascii="Times New Roman" w:hAnsi="Times New Roman"/>
          <w:szCs w:val="24"/>
        </w:rPr>
        <w:t xml:space="preserve">En ce qui concerne le </w:t>
      </w:r>
      <w:r>
        <w:rPr>
          <w:rFonts w:ascii="Times New Roman" w:hAnsi="Times New Roman"/>
          <w:szCs w:val="24"/>
          <w:u w:val="single"/>
        </w:rPr>
        <w:t>commerce des produits de la pêche de la mer Noire</w:t>
      </w:r>
      <w:r>
        <w:rPr>
          <w:rFonts w:ascii="Times New Roman" w:hAnsi="Times New Roman"/>
          <w:szCs w:val="24"/>
        </w:rPr>
        <w:t xml:space="preserve"> (paragraphes 25 à 30), la Commission soutient résolument et favorise la mise en œuvre du plan d’action régional de la CGPM pour la pêche artisanale en Méditerranée et en mer Noire (PAR-SSF)</w:t>
      </w:r>
      <w:r>
        <w:rPr>
          <w:rStyle w:val="FootnoteReference"/>
          <w:rFonts w:ascii="Times New Roman" w:hAnsi="Times New Roman"/>
          <w:szCs w:val="24"/>
        </w:rPr>
        <w:footnoteReference w:id="7"/>
      </w:r>
      <w:r>
        <w:rPr>
          <w:rFonts w:ascii="Times New Roman" w:hAnsi="Times New Roman"/>
          <w:szCs w:val="24"/>
        </w:rPr>
        <w:t xml:space="preserve"> afin d’améliorer l’accès aux marchés, la sécurité à bord et la formation des pêcheurs, et de renforcer le rôle des femmes dans les pêcheries. La dimension sociale des pêcheries en mer Noire est importante et les travaux à venir devraient se concentrer en particulier sur le développement durable de la pêche artisanale et sur les moyens de subsistance des communautés côtières, en garantissant aux pêcheurs des conditions de travail décentes et une protection sociale, en faisant en sorte de créer des perspectives pour les jeunes et de valoriser </w:t>
      </w:r>
      <w:r>
        <w:rPr>
          <w:rFonts w:ascii="Times New Roman" w:hAnsi="Times New Roman"/>
          <w:szCs w:val="24"/>
        </w:rPr>
        <w:lastRenderedPageBreak/>
        <w:t>le rôle des femmes. Le travail des femmes demeure malheureusement souvent invisible et leurs efforts devraient être compensés de manière équitable.</w:t>
      </w:r>
    </w:p>
    <w:p w:rsidR="001B52B9" w:rsidRDefault="001B52B9" w:rsidP="001B52B9">
      <w:pPr>
        <w:widowControl w:val="0"/>
        <w:spacing w:after="120"/>
        <w:rPr>
          <w:rFonts w:ascii="Times New Roman" w:hAnsi="Times New Roman"/>
          <w:szCs w:val="24"/>
        </w:rPr>
      </w:pPr>
      <w:r>
        <w:rPr>
          <w:rFonts w:ascii="Times New Roman" w:hAnsi="Times New Roman"/>
          <w:szCs w:val="24"/>
        </w:rPr>
        <w:t>L’</w:t>
      </w:r>
      <w:r>
        <w:rPr>
          <w:rFonts w:ascii="Times New Roman" w:hAnsi="Times New Roman"/>
          <w:szCs w:val="24"/>
          <w:u w:val="single"/>
        </w:rPr>
        <w:t>environnement, la biodiversité et le changement climatique</w:t>
      </w:r>
      <w:r>
        <w:rPr>
          <w:rFonts w:ascii="Times New Roman" w:hAnsi="Times New Roman"/>
          <w:szCs w:val="24"/>
        </w:rPr>
        <w:t xml:space="preserve"> (paragraphes 41 à 49) et leurs interactions avec les pêcheries sont des piliers de la politique commune de la pêche (PCP) de l’UE et de la nouvelle gouvernance des pêches en mer Noire de la CGPM. Le règlement de base de la PCP</w:t>
      </w:r>
      <w:r>
        <w:rPr>
          <w:rStyle w:val="FootnoteReference"/>
          <w:rFonts w:ascii="Times New Roman" w:hAnsi="Times New Roman"/>
          <w:szCs w:val="24"/>
        </w:rPr>
        <w:footnoteReference w:id="8"/>
      </w:r>
      <w:r>
        <w:rPr>
          <w:rFonts w:ascii="Times New Roman" w:hAnsi="Times New Roman"/>
          <w:szCs w:val="24"/>
        </w:rPr>
        <w:t xml:space="preserve"> et le règlement relatif aux mesures techniques</w:t>
      </w:r>
      <w:r>
        <w:rPr>
          <w:rStyle w:val="FootnoteReference"/>
          <w:rFonts w:ascii="Times New Roman" w:hAnsi="Times New Roman"/>
          <w:szCs w:val="24"/>
        </w:rPr>
        <w:footnoteReference w:id="9"/>
      </w:r>
      <w:r>
        <w:rPr>
          <w:rFonts w:ascii="Times New Roman" w:hAnsi="Times New Roman"/>
          <w:szCs w:val="24"/>
        </w:rPr>
        <w:t xml:space="preserve"> ont instauré un cadre global, tandis que les multiples mesures adoptées par la CGPM n’ont cessé de fournir des outils efficaces pour réduire au minimum ces incidences. Il est nécessaire, toutefois, de continuer d’aller de l’avant sur les espèces vulnérables et les captures accidentelles, ainsi que sur les conséquences du changement climatique sur les pêcheries. La Commission s’emploie à proposer des mesures concrètes pour relever de tels défis à l’occasion de la prochaine session annuelle de la CGPM en novembre 2021.</w:t>
      </w:r>
    </w:p>
    <w:p w:rsidR="001B52B9" w:rsidRPr="00D615C5" w:rsidRDefault="001B52B9" w:rsidP="001B52B9">
      <w:pPr>
        <w:widowControl w:val="0"/>
        <w:spacing w:after="120"/>
        <w:rPr>
          <w:rFonts w:ascii="Times New Roman" w:hAnsi="Times New Roman"/>
          <w:szCs w:val="24"/>
        </w:rPr>
      </w:pPr>
      <w:r>
        <w:rPr>
          <w:rFonts w:ascii="Times New Roman" w:hAnsi="Times New Roman"/>
          <w:szCs w:val="24"/>
        </w:rPr>
        <w:t>Au titre de la directive-cadre «stratégie pour le milieu marin» (DCSMM)</w:t>
      </w:r>
      <w:r>
        <w:rPr>
          <w:rStyle w:val="FootnoteReference"/>
          <w:rFonts w:ascii="Times New Roman" w:hAnsi="Times New Roman"/>
          <w:szCs w:val="24"/>
        </w:rPr>
        <w:footnoteReference w:id="10"/>
      </w:r>
      <w:r>
        <w:rPr>
          <w:rFonts w:ascii="Times New Roman" w:hAnsi="Times New Roman"/>
          <w:szCs w:val="24"/>
        </w:rPr>
        <w:t>, les États membres (dont la Roumanie et la Bulgarie) ont mis en place des stratégies et des programmes de mesures afin de faire en sorte que leurs eaux parviennent à un bon état écologique. Ils ont aussi élaboré un réseau de surveillance destiné notamment à examiner si leurs eaux obtiennent le statut de bon état écologique. Des fonds de l’UE ont été débloqués pour soutenir la mise en œuvre de la DCSMM. La coopération régionale est également encouragée dans la DCSMM, qui reconnaît le rôle important joué par les conventions sur les mers régionales.</w:t>
      </w:r>
    </w:p>
    <w:p w:rsidR="001B52B9" w:rsidRDefault="001B52B9" w:rsidP="001B52B9">
      <w:pPr>
        <w:spacing w:after="120"/>
        <w:rPr>
          <w:rFonts w:ascii="Times New Roman" w:hAnsi="Times New Roman"/>
          <w:bCs/>
          <w:iCs/>
        </w:rPr>
      </w:pPr>
      <w:r>
        <w:rPr>
          <w:rFonts w:ascii="Times New Roman" w:hAnsi="Times New Roman"/>
          <w:bCs/>
          <w:iCs/>
        </w:rPr>
        <w:t>En ce qui concerne le financement de la recherche sur l’état de la mer Noire (paragraphe 57), la Commission note la possibilité donnée aux États membres de promouvoir des actions au titre du FEAMP en vue d’améliorer les données et les connaissances sur le milieu marin, ainsi que les systèmes de collecte et de gestion des données (dont la mise en œuvre d’études pilotes visant à améliorer lesdits systèmes).</w:t>
      </w:r>
    </w:p>
    <w:p w:rsidR="001B52B9" w:rsidRPr="00DD17DF" w:rsidRDefault="001B52B9" w:rsidP="001B52B9">
      <w:pPr>
        <w:spacing w:after="120"/>
        <w:rPr>
          <w:rFonts w:ascii="Times New Roman" w:hAnsi="Times New Roman"/>
          <w:bCs/>
          <w:iCs/>
          <w:color w:val="1F497D"/>
        </w:rPr>
      </w:pPr>
      <w:r>
        <w:rPr>
          <w:rFonts w:ascii="Times New Roman" w:hAnsi="Times New Roman"/>
        </w:rPr>
        <w:t>Pour ce qui est du statut de protection dont jouissent les espèces d’esturgeons en vertu de la directive Habitats (paragraphe 58), compte tenu des conclusions de l’évaluation effectuée dans le cadre du bilan de qualité des directives Nature, la Commission n’a nullement l’intention de proposer des modifications de la directive Habitats ni de ses annexes. La procédure visant actuellement à répertorier certaines espèces d’esturgeons dans le cadre de l’annexe V de la directive nécessite déjà de la part des États membres qu’ils veillent à parvenir à un état de conservation favorable et à suivre les progrès réalisés par rapport à cet objectif. La Commission œuvre main dans la main avec les États membres à la préservation de l’esturgeon et les fonds de l’UE ont financé plusieurs projets dans ce sens. Un projet pilote en cours évalue les solutions techniques à retenir pour faire en sorte que les barrages des Portes de fer à la frontière entre la Roumanie et la Serbie offrent aux espèces d’esturgeons des passes migratoires vers le bassin du moyen Danube.</w:t>
      </w:r>
    </w:p>
    <w:p w:rsidR="00841B62" w:rsidRDefault="001B52B9" w:rsidP="001B52B9">
      <w:r>
        <w:rPr>
          <w:rFonts w:ascii="Times New Roman" w:hAnsi="Times New Roman"/>
        </w:rPr>
        <w:lastRenderedPageBreak/>
        <w:t>La Commission fait observer qu’elle travaille activement avec les États membres concernés à la réalisation des objectifs de la PCP en mer Noire (paragraphe 61). En outre, la Commission s’est engagée à mettre en place une stratégie efficace pour régler le problème de la conservation des pêcheries à l’échelle internationale dans cette région, au moyen d’actions dans le cadre de la CGPM. La Commission note également que des fonds de la FEAMP 2014-2020 sont utilisés par les États membres de la mer Noire pour améliorer leur gestion de la pêche et soutenir la mise en œuvre de la PCP.</w:t>
      </w:r>
    </w:p>
    <w:sectPr w:rsidR="00841B6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52B9" w:rsidRDefault="001B52B9" w:rsidP="001B52B9">
      <w:pPr>
        <w:spacing w:after="0"/>
      </w:pPr>
      <w:r>
        <w:separator/>
      </w:r>
    </w:p>
  </w:endnote>
  <w:endnote w:type="continuationSeparator" w:id="0">
    <w:p w:rsidR="001B52B9" w:rsidRDefault="001B52B9" w:rsidP="001B52B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52B9" w:rsidRDefault="001B52B9" w:rsidP="001B52B9">
      <w:pPr>
        <w:spacing w:after="0"/>
      </w:pPr>
      <w:r>
        <w:separator/>
      </w:r>
    </w:p>
  </w:footnote>
  <w:footnote w:type="continuationSeparator" w:id="0">
    <w:p w:rsidR="001B52B9" w:rsidRDefault="001B52B9" w:rsidP="001B52B9">
      <w:pPr>
        <w:spacing w:after="0"/>
      </w:pPr>
      <w:r>
        <w:continuationSeparator/>
      </w:r>
    </w:p>
  </w:footnote>
  <w:footnote w:id="1">
    <w:p w:rsidR="001B52B9" w:rsidRPr="00B93C2C" w:rsidRDefault="001B52B9" w:rsidP="001B52B9">
      <w:pPr>
        <w:pStyle w:val="Default"/>
        <w:ind w:left="357" w:hanging="357"/>
        <w:jc w:val="both"/>
        <w:rPr>
          <w:sz w:val="20"/>
          <w:szCs w:val="20"/>
        </w:rPr>
      </w:pPr>
      <w:r>
        <w:rPr>
          <w:rStyle w:val="FootnoteReference"/>
          <w:sz w:val="16"/>
          <w:szCs w:val="16"/>
        </w:rPr>
        <w:footnoteRef/>
      </w:r>
      <w:r>
        <w:rPr>
          <w:sz w:val="16"/>
          <w:szCs w:val="16"/>
        </w:rPr>
        <w:t xml:space="preserve"> </w:t>
      </w:r>
      <w:r>
        <w:tab/>
      </w:r>
      <w:r>
        <w:rPr>
          <w:bCs/>
          <w:sz w:val="20"/>
          <w:szCs w:val="20"/>
        </w:rPr>
        <w:t>Règlement (UE) 2021/1139 du Parlement européen et du Conseil du 7 juillet 2021 instituant le Fonds européen pour les affaires maritimes, la pêche et l’aquaculture et modifiant le règlement (UE) 2017/1004 (JO L 247 du 13.7.2021, p. 1).</w:t>
      </w:r>
    </w:p>
  </w:footnote>
  <w:footnote w:id="2">
    <w:p w:rsidR="001B52B9" w:rsidRPr="00B93C2C" w:rsidRDefault="001B52B9" w:rsidP="001B52B9">
      <w:pPr>
        <w:pStyle w:val="Default"/>
        <w:ind w:left="357" w:hanging="357"/>
        <w:jc w:val="both"/>
        <w:rPr>
          <w:sz w:val="20"/>
          <w:szCs w:val="20"/>
        </w:rPr>
      </w:pPr>
      <w:r>
        <w:rPr>
          <w:rStyle w:val="FootnoteReference"/>
          <w:sz w:val="20"/>
          <w:szCs w:val="20"/>
        </w:rPr>
        <w:footnoteRef/>
      </w:r>
      <w:r>
        <w:rPr>
          <w:sz w:val="20"/>
          <w:szCs w:val="20"/>
        </w:rPr>
        <w:t xml:space="preserve"> </w:t>
      </w:r>
      <w:r>
        <w:tab/>
      </w:r>
      <w:r>
        <w:rPr>
          <w:bCs/>
          <w:sz w:val="20"/>
          <w:szCs w:val="20"/>
        </w:rPr>
        <w:t>Règlement (UE) n° 508/2014 du Parlement européen et du Conseil du 15 mai 2014 relatif au Fonds européen pour les affaires maritimes et la pêche et abrogeant les règlements du Conseil (CE) n° 2328/2003, (CE) n° 861/2006, (CE) n° 1198/2006 et (CE) n° 791/2007 et le règlement (UE) n° 1255/2011 du Parlement européen et du Conseil (JO L 149 du 20.5.2014, p. 1).</w:t>
      </w:r>
    </w:p>
  </w:footnote>
  <w:footnote w:id="3">
    <w:p w:rsidR="001B52B9" w:rsidRPr="00B93C2C" w:rsidRDefault="001B52B9" w:rsidP="001B52B9">
      <w:pPr>
        <w:pStyle w:val="FootnoteText"/>
        <w:spacing w:after="0"/>
        <w:rPr>
          <w:rFonts w:ascii="Times New Roman" w:hAnsi="Times New Roman"/>
        </w:rPr>
      </w:pPr>
      <w:r>
        <w:rPr>
          <w:rStyle w:val="FootnoteReference"/>
          <w:rFonts w:ascii="Times New Roman" w:hAnsi="Times New Roman"/>
        </w:rPr>
        <w:footnoteRef/>
      </w:r>
      <w:r>
        <w:rPr>
          <w:rFonts w:ascii="Times New Roman" w:hAnsi="Times New Roman"/>
        </w:rPr>
        <w:t xml:space="preserve"> </w:t>
      </w:r>
      <w:r>
        <w:tab/>
      </w:r>
      <w:hyperlink r:id="rId1" w:history="1">
        <w:r>
          <w:rPr>
            <w:rStyle w:val="Hyperlink"/>
            <w:rFonts w:ascii="Times New Roman" w:hAnsi="Times New Roman"/>
          </w:rPr>
          <w:t>http://www.fao.org/gfcm/meetings/blackseaconference2018/sofiadeclaration/fr/</w:t>
        </w:r>
      </w:hyperlink>
    </w:p>
  </w:footnote>
  <w:footnote w:id="4">
    <w:p w:rsidR="001B52B9" w:rsidRPr="00FF3979" w:rsidRDefault="001B52B9" w:rsidP="001B52B9">
      <w:pPr>
        <w:pStyle w:val="FootnoteText"/>
        <w:spacing w:after="0"/>
        <w:rPr>
          <w:rFonts w:ascii="Times New Roman" w:hAnsi="Times New Roman"/>
          <w:sz w:val="16"/>
          <w:szCs w:val="16"/>
        </w:rPr>
      </w:pPr>
      <w:r>
        <w:rPr>
          <w:rStyle w:val="FootnoteReference"/>
          <w:rFonts w:ascii="Times New Roman" w:hAnsi="Times New Roman"/>
        </w:rPr>
        <w:footnoteRef/>
      </w:r>
      <w:r>
        <w:rPr>
          <w:rFonts w:ascii="Times New Roman" w:hAnsi="Times New Roman"/>
        </w:rPr>
        <w:t xml:space="preserve"> </w:t>
      </w:r>
      <w:r>
        <w:tab/>
      </w:r>
      <w:r>
        <w:rPr>
          <w:rFonts w:ascii="Times New Roman" w:hAnsi="Times New Roman"/>
        </w:rPr>
        <w:t xml:space="preserve">Stratégie CGPM 2030 pour la durabilité de la pêche en Méditerranée et en mer Noire- </w:t>
      </w:r>
      <w:hyperlink r:id="rId2" w:history="1">
        <w:r>
          <w:rPr>
            <w:rStyle w:val="Hyperlink"/>
            <w:rFonts w:ascii="Times New Roman" w:hAnsi="Times New Roman"/>
          </w:rPr>
          <w:t>https://gfcmsitestorage.blob.core.windows.net/website/4.Publications/GFCM%202030%20STRATEGY_FINAL.pdf</w:t>
        </w:r>
      </w:hyperlink>
    </w:p>
  </w:footnote>
  <w:footnote w:id="5">
    <w:p w:rsidR="001B52B9" w:rsidRPr="00B93C2C" w:rsidRDefault="001B52B9" w:rsidP="001B52B9">
      <w:pPr>
        <w:pStyle w:val="FootnoteText"/>
        <w:spacing w:after="0"/>
        <w:rPr>
          <w:rFonts w:ascii="Times New Roman" w:hAnsi="Times New Roman"/>
        </w:rPr>
      </w:pPr>
      <w:r>
        <w:rPr>
          <w:rStyle w:val="FootnoteReference"/>
          <w:rFonts w:ascii="Times New Roman" w:hAnsi="Times New Roman"/>
          <w:sz w:val="16"/>
          <w:szCs w:val="16"/>
        </w:rPr>
        <w:footnoteRef/>
      </w:r>
      <w:r>
        <w:rPr>
          <w:rFonts w:ascii="Times New Roman" w:hAnsi="Times New Roman"/>
          <w:sz w:val="16"/>
          <w:szCs w:val="16"/>
        </w:rPr>
        <w:t xml:space="preserve"> </w:t>
      </w:r>
      <w:r>
        <w:tab/>
      </w:r>
      <w:hyperlink r:id="rId3" w:history="1">
        <w:r>
          <w:rPr>
            <w:rStyle w:val="Hyperlink"/>
            <w:rFonts w:ascii="Times New Roman" w:hAnsi="Times New Roman"/>
          </w:rPr>
          <w:t>http://www.fao.org/gfcm/activities/fisheries/blacksea4fish/ru/</w:t>
        </w:r>
      </w:hyperlink>
    </w:p>
  </w:footnote>
  <w:footnote w:id="6">
    <w:p w:rsidR="001B52B9" w:rsidRPr="00B93C2C" w:rsidRDefault="001B52B9" w:rsidP="001B52B9">
      <w:pPr>
        <w:pStyle w:val="FootnoteText"/>
        <w:spacing w:after="0"/>
        <w:rPr>
          <w:rFonts w:ascii="Times New Roman" w:hAnsi="Times New Roman"/>
        </w:rPr>
      </w:pPr>
      <w:r>
        <w:rPr>
          <w:rStyle w:val="FootnoteReference"/>
          <w:rFonts w:ascii="Times New Roman" w:hAnsi="Times New Roman"/>
        </w:rPr>
        <w:footnoteRef/>
      </w:r>
      <w:r>
        <w:rPr>
          <w:rFonts w:ascii="Times New Roman" w:hAnsi="Times New Roman"/>
        </w:rPr>
        <w:t xml:space="preserve"> </w:t>
      </w:r>
      <w:r>
        <w:tab/>
      </w:r>
      <w:r>
        <w:rPr>
          <w:rFonts w:ascii="Times New Roman" w:hAnsi="Times New Roman"/>
        </w:rPr>
        <w:t>Recommandation CGPM/41/2017/4 relative à un plan de gestion pluriannuel pour les pêcheries de turbot en mer Noire (sous-région géographique CGPM 29) et recommandation CGPM/43/2019/3 modifiant la recommandation CGPM/41/2017/4 relative à un plan de gestion pluriannuel pour les pêcheries de turbot en mer Noire (sous-région géographique CGPM 29).</w:t>
      </w:r>
    </w:p>
  </w:footnote>
  <w:footnote w:id="7">
    <w:p w:rsidR="001B52B9" w:rsidRPr="00B93C2C" w:rsidRDefault="001B52B9" w:rsidP="001B52B9">
      <w:pPr>
        <w:pStyle w:val="FootnoteText"/>
        <w:spacing w:after="0"/>
        <w:rPr>
          <w:rFonts w:ascii="Times New Roman" w:hAnsi="Times New Roman"/>
        </w:rPr>
      </w:pPr>
      <w:r>
        <w:rPr>
          <w:rStyle w:val="FootnoteReference"/>
          <w:rFonts w:ascii="Times New Roman" w:hAnsi="Times New Roman"/>
        </w:rPr>
        <w:footnoteRef/>
      </w:r>
      <w:r>
        <w:rPr>
          <w:rFonts w:ascii="Times New Roman" w:hAnsi="Times New Roman"/>
        </w:rPr>
        <w:t xml:space="preserve"> </w:t>
      </w:r>
      <w:r>
        <w:tab/>
      </w:r>
      <w:hyperlink r:id="rId4" w:history="1">
        <w:r>
          <w:rPr>
            <w:rStyle w:val="Hyperlink"/>
            <w:rFonts w:ascii="Times New Roman" w:hAnsi="Times New Roman"/>
          </w:rPr>
          <w:t>http://www.fao.org/gfcm/meetings/ssf2018/rpoassf/fr/</w:t>
        </w:r>
      </w:hyperlink>
    </w:p>
  </w:footnote>
  <w:footnote w:id="8">
    <w:p w:rsidR="001B52B9" w:rsidRPr="00B93C2C" w:rsidRDefault="001B52B9" w:rsidP="001B52B9">
      <w:pPr>
        <w:pStyle w:val="Default"/>
        <w:ind w:left="357" w:hanging="357"/>
        <w:jc w:val="both"/>
        <w:rPr>
          <w:sz w:val="20"/>
          <w:szCs w:val="20"/>
        </w:rPr>
      </w:pPr>
      <w:r>
        <w:rPr>
          <w:rStyle w:val="FootnoteReference"/>
          <w:sz w:val="20"/>
          <w:szCs w:val="20"/>
        </w:rPr>
        <w:footnoteRef/>
      </w:r>
      <w:r>
        <w:rPr>
          <w:sz w:val="20"/>
          <w:szCs w:val="20"/>
        </w:rPr>
        <w:t xml:space="preserve"> </w:t>
      </w:r>
      <w:r>
        <w:tab/>
      </w:r>
      <w:r>
        <w:rPr>
          <w:bCs/>
          <w:sz w:val="20"/>
          <w:szCs w:val="20"/>
        </w:rPr>
        <w:t>Règlement (UE) nº 1380/2013 du Parlement européen et du Conseil du 11 décembre 2013 relatif à la politique commune de la pêche, modifiant les règlements (CE) nº 1954/2003 et (CE) nº 1224/2009 du Conseil et abrogeant les règlements (CE) nº 2371/2002 et (CE) nº 639/2004 du Conseil et la décision 2004/585/CE du Conseil (JO L 354 du 28.2.2013, p. 22).</w:t>
      </w:r>
    </w:p>
  </w:footnote>
  <w:footnote w:id="9">
    <w:p w:rsidR="001B52B9" w:rsidRPr="00B93C2C" w:rsidRDefault="001B52B9" w:rsidP="001B52B9">
      <w:pPr>
        <w:pStyle w:val="FootnoteText"/>
        <w:spacing w:after="0"/>
        <w:rPr>
          <w:rFonts w:ascii="Times New Roman" w:hAnsi="Times New Roman"/>
        </w:rPr>
      </w:pPr>
      <w:r>
        <w:rPr>
          <w:rStyle w:val="FootnoteReference"/>
          <w:rFonts w:ascii="Times New Roman" w:hAnsi="Times New Roman"/>
          <w:sz w:val="16"/>
          <w:szCs w:val="16"/>
        </w:rPr>
        <w:footnoteRef/>
      </w:r>
      <w:r>
        <w:rPr>
          <w:rFonts w:ascii="Times New Roman" w:hAnsi="Times New Roman"/>
          <w:sz w:val="16"/>
          <w:szCs w:val="16"/>
        </w:rPr>
        <w:t xml:space="preserve"> </w:t>
      </w:r>
      <w:r>
        <w:tab/>
      </w:r>
      <w:r>
        <w:rPr>
          <w:rFonts w:ascii="Times New Roman" w:hAnsi="Times New Roman"/>
        </w:rPr>
        <w:t xml:space="preserve">Règlement (UE) 2019/1241 </w:t>
      </w:r>
      <w:r>
        <w:rPr>
          <w:rFonts w:ascii="Times New Roman" w:hAnsi="Times New Roman"/>
          <w:bCs/>
        </w:rPr>
        <w:t>du Parlement européen et du Conseil</w:t>
      </w:r>
      <w:r>
        <w:rPr>
          <w:rFonts w:ascii="Times New Roman" w:hAnsi="Times New Roman"/>
        </w:rPr>
        <w:t xml:space="preserve"> du 20 juin 2019 relatif à la conservation des ressources halieutiques et à la protection des écosystèmes marins par des mesures techniques, modifiant les règlements (CE) nº 1967/2006 et (CE) nº 1224/2009 du Conseil et les règlements (UE) nº 1380/2013, (UE) 2016/1139, (UE) 2018/973, (UE) 2019/472 et (UE) 2019/1022 du Parlement européen et du Conseil, et abrogeant les règlements (CE) nº 894/97, (CE) nº 850/98, (CE) nº 2549/2000, (CE) nº 254/2002, (CE) nº 812/2004 et (CE) nº 2187/2005 du Conseil (JO L 198 du 25.7.2019, p. 105).</w:t>
      </w:r>
    </w:p>
  </w:footnote>
  <w:footnote w:id="10">
    <w:p w:rsidR="001B52B9" w:rsidRPr="00005836" w:rsidRDefault="001B52B9" w:rsidP="001B52B9">
      <w:pPr>
        <w:pStyle w:val="FootnoteText"/>
        <w:spacing w:after="0"/>
        <w:rPr>
          <w:rFonts w:ascii="Times New Roman" w:hAnsi="Times New Roman"/>
        </w:rPr>
      </w:pPr>
      <w:r>
        <w:rPr>
          <w:rStyle w:val="FootnoteReference"/>
          <w:rFonts w:ascii="Times New Roman" w:hAnsi="Times New Roman"/>
        </w:rPr>
        <w:footnoteRef/>
      </w:r>
      <w:r>
        <w:rPr>
          <w:rFonts w:ascii="Times New Roman" w:hAnsi="Times New Roman"/>
        </w:rPr>
        <w:t xml:space="preserve"> </w:t>
      </w:r>
      <w:r>
        <w:tab/>
      </w:r>
      <w:r>
        <w:rPr>
          <w:rFonts w:ascii="Times New Roman" w:hAnsi="Times New Roman"/>
        </w:rPr>
        <w:t>Directive 2008/56/CE du Parlement européen et du Conseil du 17 juin 2008 établissant un cadre d'action communautaire dans le domaine de la politique pour le milieu marin (directive-cadre</w:t>
      </w:r>
      <w:proofErr w:type="gramStart"/>
      <w:r>
        <w:rPr>
          <w:rFonts w:ascii="Times New Roman" w:hAnsi="Times New Roman"/>
        </w:rPr>
        <w:t xml:space="preserve"> «stratégie</w:t>
      </w:r>
      <w:proofErr w:type="gramEnd"/>
      <w:r>
        <w:rPr>
          <w:rFonts w:ascii="Times New Roman" w:hAnsi="Times New Roman"/>
        </w:rPr>
        <w:t xml:space="preserve"> pour le milieu marin») (JO L 164 du 25.6.2008, p. 19).</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2973D2"/>
    <w:multiLevelType w:val="hybridMultilevel"/>
    <w:tmpl w:val="C66A48E8"/>
    <w:lvl w:ilvl="0" w:tplc="492C7160">
      <w:start w:val="1"/>
      <w:numFmt w:val="decimal"/>
      <w:lvlText w:val="%1."/>
      <w:lvlJc w:val="left"/>
      <w:pPr>
        <w:ind w:left="720" w:hanging="720"/>
      </w:pPr>
      <w:rPr>
        <w:rFonts w:hint="default"/>
        <w:b/>
        <w:i w:val="0"/>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2B9"/>
    <w:rsid w:val="001B52B9"/>
    <w:rsid w:val="00841B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4705F2-8CD8-4783-B16C-44F00E725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52B9"/>
    <w:pPr>
      <w:spacing w:after="240" w:line="240" w:lineRule="auto"/>
      <w:jc w:val="both"/>
    </w:pPr>
    <w:rPr>
      <w:rFonts w:ascii="Courier New" w:eastAsia="Times New Roman" w:hAnsi="Courier New" w:cs="Times New Roman"/>
      <w:sz w:val="24"/>
      <w:szCs w:val="20"/>
      <w:lang w:val="fr-FR"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1 Char,Footnote Text Char Char Char,Fußnotentext Char Char1 Char Char,Fußnotentext Char1 Char1 Char Char Char,Fußnotentext Char Char Char Char Char Char Char1,Footnote Text Char1,Footnote Text Char Char,o"/>
    <w:basedOn w:val="Normal"/>
    <w:link w:val="FootnoteTextChar2"/>
    <w:uiPriority w:val="99"/>
    <w:qFormat/>
    <w:rsid w:val="001B52B9"/>
    <w:pPr>
      <w:ind w:left="357" w:hanging="357"/>
    </w:pPr>
    <w:rPr>
      <w:sz w:val="20"/>
    </w:rPr>
  </w:style>
  <w:style w:type="character" w:customStyle="1" w:styleId="FootnoteTextChar">
    <w:name w:val="Footnote Text Char"/>
    <w:basedOn w:val="DefaultParagraphFont"/>
    <w:uiPriority w:val="99"/>
    <w:semiHidden/>
    <w:rsid w:val="001B52B9"/>
    <w:rPr>
      <w:rFonts w:ascii="Courier New" w:eastAsia="Times New Roman" w:hAnsi="Courier New" w:cs="Times New Roman"/>
      <w:sz w:val="20"/>
      <w:szCs w:val="20"/>
      <w:lang w:val="fr-FR" w:eastAsia="en-GB"/>
    </w:rPr>
  </w:style>
  <w:style w:type="character" w:styleId="FootnoteReference">
    <w:name w:val="footnote reference"/>
    <w:aliases w:val=" BVI fnr,BVI fnr,SUPERS,Footnote symbol,Footnote,Footnote reference number,Footnote number,Footnote Reference Superscript,note TESI,EN Footnote Reference,-E Fußnotenzeichen,number Char Char,Footnote Reference Superscript Car,number,Re"/>
    <w:link w:val="ftrefCharCharCharCharCharCharCharCharChar"/>
    <w:uiPriority w:val="99"/>
    <w:qFormat/>
    <w:rsid w:val="001B52B9"/>
    <w:rPr>
      <w:vertAlign w:val="superscript"/>
    </w:rPr>
  </w:style>
  <w:style w:type="character" w:styleId="Hyperlink">
    <w:name w:val="Hyperlink"/>
    <w:aliases w:val="Char1"/>
    <w:rsid w:val="001B52B9"/>
    <w:rPr>
      <w:color w:val="0000FF"/>
      <w:u w:val="single"/>
    </w:rPr>
  </w:style>
  <w:style w:type="character" w:customStyle="1" w:styleId="FootnoteTextChar2">
    <w:name w:val="Footnote Text Char2"/>
    <w:aliases w:val="Footnote Text Char1 Char Char,Footnote Text Char Char Char Char,Fußnotentext Char Char1 Char Char Char,Fußnotentext Char1 Char1 Char Char Char Char,Fußnotentext Char Char Char Char Char Char Char1 Char,Footnote Text Char1 Char1"/>
    <w:link w:val="FootnoteText"/>
    <w:uiPriority w:val="99"/>
    <w:rsid w:val="001B52B9"/>
    <w:rPr>
      <w:rFonts w:ascii="Courier New" w:eastAsia="Times New Roman" w:hAnsi="Courier New" w:cs="Times New Roman"/>
      <w:sz w:val="20"/>
      <w:szCs w:val="20"/>
      <w:lang w:val="fr-FR" w:eastAsia="en-GB"/>
    </w:rPr>
  </w:style>
  <w:style w:type="paragraph" w:customStyle="1" w:styleId="ftrefCharCharCharCharCharCharCharCharChar">
    <w:name w:val="ftref Char Char Char Char Char Char Char Char Char"/>
    <w:aliases w:val="Footnote Char Char Char Char Char Char Char Char Char, BVI fnr Char Char Char Char Char Char Char Char Char,BVI fnr Char Char Char Char Char Char Char Char Char Char"/>
    <w:basedOn w:val="Normal"/>
    <w:next w:val="Normal"/>
    <w:link w:val="FootnoteReference"/>
    <w:uiPriority w:val="99"/>
    <w:rsid w:val="001B52B9"/>
    <w:pPr>
      <w:spacing w:after="160" w:line="240" w:lineRule="exact"/>
      <w:jc w:val="left"/>
    </w:pPr>
    <w:rPr>
      <w:rFonts w:asciiTheme="minorHAnsi" w:eastAsiaTheme="minorHAnsi" w:hAnsiTheme="minorHAnsi" w:cstheme="minorBidi"/>
      <w:sz w:val="22"/>
      <w:szCs w:val="22"/>
      <w:vertAlign w:val="superscript"/>
      <w:lang w:val="en-GB" w:eastAsia="en-US"/>
    </w:rPr>
  </w:style>
  <w:style w:type="paragraph" w:customStyle="1" w:styleId="Default">
    <w:name w:val="Default"/>
    <w:rsid w:val="001B52B9"/>
    <w:pPr>
      <w:autoSpaceDE w:val="0"/>
      <w:autoSpaceDN w:val="0"/>
      <w:adjustRightInd w:val="0"/>
      <w:spacing w:after="0" w:line="240" w:lineRule="auto"/>
    </w:pPr>
    <w:rPr>
      <w:rFonts w:ascii="Times New Roman" w:eastAsia="Times New Roman" w:hAnsi="Times New Roman" w:cs="Times New Roman"/>
      <w:color w:val="000000"/>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3" Type="http://schemas.openxmlformats.org/officeDocument/2006/relationships/hyperlink" Target="http://www.fao.org/gfcm/activities/fisheries/blacksea4fish/ru/" TargetMode="External"/><Relationship Id="rId2" Type="http://schemas.openxmlformats.org/officeDocument/2006/relationships/hyperlink" Target="https://gfcmsitestorage.blob.core.windows.net/website/4.Publications/GFCM%202030%20STRATEGY_FINAL.pdf" TargetMode="External"/><Relationship Id="rId1" Type="http://schemas.openxmlformats.org/officeDocument/2006/relationships/hyperlink" Target="http://www.fao.org/gfcm/meetings/blackseaconference2018/sofiadeclaration/fr/" TargetMode="External"/><Relationship Id="rId4" Type="http://schemas.openxmlformats.org/officeDocument/2006/relationships/hyperlink" Target="http://www.fao.org/gfcm/meetings/ssf2018/rpoassf/f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1552</Words>
  <Characters>8350</Characters>
  <Application>Microsoft Office Word</Application>
  <DocSecurity>0</DocSecurity>
  <Lines>117</Lines>
  <Paragraphs>24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9878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DODEKOVA Gabriela (SG)</dc:creator>
  <cp:keywords/>
  <dc:description/>
  <cp:lastModifiedBy>DODEKOVA Gabriela (SG)</cp:lastModifiedBy>
  <cp:revision>1</cp:revision>
  <dcterms:created xsi:type="dcterms:W3CDTF">2021-09-28T08:48:00Z</dcterms:created>
  <dcterms:modified xsi:type="dcterms:W3CDTF">2021-09-28T08:49:00Z</dcterms:modified>
</cp:coreProperties>
</file>