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794" w:rsidRPr="00B44794" w:rsidRDefault="00B44794" w:rsidP="00B44794">
      <w:pPr>
        <w:spacing w:after="600" w:line="240" w:lineRule="auto"/>
        <w:jc w:val="center"/>
        <w:rPr>
          <w:rFonts w:eastAsia="Times New Roman" w:cs="Times New Roman"/>
          <w:b/>
          <w:szCs w:val="24"/>
          <w:lang w:val="fr-FR" w:eastAsia="en-GB"/>
        </w:rPr>
      </w:pPr>
      <w:bookmarkStart w:id="0" w:name="ActiveSubstances"/>
      <w:r w:rsidRPr="00B44794">
        <w:rPr>
          <w:rFonts w:eastAsia="Times New Roman" w:cs="Times New Roman"/>
          <w:b/>
          <w:szCs w:val="24"/>
          <w:lang w:val="fr-FR" w:eastAsia="en-GB"/>
        </w:rPr>
        <w:t>Suite donnée à la résolution non législative du Parlement européen sur le règlement d’exécution (UE) 2021/1449 de la Commission du 3 septembre 2021 modifiant le règlement d’exécution (UE) no 540/2011 en ce qui concerne la prolongation de la validité de l’approbation des substances actives amidosulfuron, bifénox, chlorméquat, chlorotoluron, clofentézine, clomazone, cyperméthrine, daminozide, deltaméthrine, dicamba, difénoconazole, diflufénican, diméthachlore, étofenprox, fenoxaprop-P, fenpropidine, fludioxonyl, flufénacet, fosthiazate, huile de paraffine, huiles de paraffine, hydroxy-8-quinoléine, indoxacarbe, lénacile, MCPA, MCPB, nicosulfuron, penconazole, phénylphénol-2 (y compris ses sels comme le sel de sodium), piclorame, propaquizafop, prosulfocarbe, quizalofop-P-éthyle, quizalofop-P-téfuryle, soufre, tétraconazole, triallate, triflusulfuron et tritosulfuron</w:t>
      </w:r>
    </w:p>
    <w:bookmarkEnd w:id="0"/>
    <w:p w:rsidR="00B44794" w:rsidRPr="00B44794" w:rsidRDefault="00B44794" w:rsidP="00B44794">
      <w:pPr>
        <w:spacing w:after="240" w:line="240" w:lineRule="auto"/>
        <w:ind w:left="720" w:hanging="720"/>
        <w:jc w:val="both"/>
        <w:rPr>
          <w:rFonts w:eastAsia="Times New Roman" w:cs="Times New Roman"/>
          <w:b/>
          <w:szCs w:val="24"/>
          <w:lang w:val="fr-FR" w:eastAsia="en-GB"/>
        </w:rPr>
      </w:pPr>
      <w:r w:rsidRPr="00B44794">
        <w:rPr>
          <w:rFonts w:eastAsia="Times New Roman" w:cs="Times New Roman"/>
          <w:b/>
          <w:szCs w:val="24"/>
          <w:lang w:val="fr-FR" w:eastAsia="en-GB"/>
        </w:rPr>
        <w:t>1.</w:t>
      </w:r>
      <w:r w:rsidRPr="00B44794">
        <w:rPr>
          <w:rFonts w:ascii="Courier New" w:eastAsia="Times New Roman" w:hAnsi="Courier New" w:cs="Times New Roman"/>
          <w:szCs w:val="20"/>
          <w:lang w:val="fr-FR" w:eastAsia="en-GB"/>
        </w:rPr>
        <w:tab/>
      </w:r>
      <w:r w:rsidRPr="00B44794">
        <w:rPr>
          <w:rFonts w:eastAsia="Times New Roman" w:cs="Times New Roman"/>
          <w:b/>
          <w:szCs w:val="24"/>
          <w:lang w:val="fr-FR" w:eastAsia="en-GB"/>
        </w:rPr>
        <w:t>Résolution présentée conformément à l’article 112, paragraphes 2 et 3, du règlement intérieur du Parlement européen</w:t>
      </w:r>
    </w:p>
    <w:p w:rsidR="00B44794" w:rsidRPr="00B44794" w:rsidRDefault="00B44794" w:rsidP="00B44794">
      <w:pPr>
        <w:spacing w:after="240" w:line="240" w:lineRule="auto"/>
        <w:jc w:val="both"/>
        <w:rPr>
          <w:rFonts w:eastAsia="Times New Roman" w:cs="Times New Roman"/>
          <w:i/>
          <w:szCs w:val="24"/>
          <w:lang w:val="fr-FR" w:eastAsia="en-GB"/>
        </w:rPr>
      </w:pPr>
      <w:r w:rsidRPr="00B44794">
        <w:rPr>
          <w:rFonts w:eastAsia="Times New Roman" w:cs="Times New Roman"/>
          <w:b/>
          <w:szCs w:val="24"/>
          <w:lang w:val="fr-FR" w:eastAsia="en-GB"/>
        </w:rPr>
        <w:t>2.</w:t>
      </w:r>
      <w:r w:rsidRPr="00B44794">
        <w:rPr>
          <w:rFonts w:ascii="Courier New" w:eastAsia="Times New Roman" w:hAnsi="Courier New" w:cs="Times New Roman"/>
          <w:szCs w:val="20"/>
          <w:lang w:val="fr-FR" w:eastAsia="en-GB"/>
        </w:rPr>
        <w:tab/>
      </w:r>
      <w:r w:rsidRPr="00B44794">
        <w:rPr>
          <w:rFonts w:eastAsia="Times New Roman" w:cs="Times New Roman"/>
          <w:b/>
          <w:szCs w:val="24"/>
          <w:lang w:val="fr-FR" w:eastAsia="en-GB"/>
        </w:rPr>
        <w:t xml:space="preserve">Numéro de référence: </w:t>
      </w:r>
      <w:r w:rsidRPr="00B44794">
        <w:rPr>
          <w:rFonts w:eastAsia="Times New Roman" w:cs="Times New Roman"/>
          <w:szCs w:val="20"/>
          <w:lang w:val="fr-FR" w:eastAsia="en-GB"/>
        </w:rPr>
        <w:t xml:space="preserve">2021/2869 (RSP) / </w:t>
      </w:r>
      <w:bookmarkStart w:id="1" w:name="_GoBack"/>
      <w:r w:rsidRPr="00B44794">
        <w:rPr>
          <w:rFonts w:eastAsia="Times New Roman" w:cs="Times New Roman"/>
          <w:szCs w:val="20"/>
          <w:lang w:val="fr-FR" w:eastAsia="en-GB"/>
        </w:rPr>
        <w:t>B9-0481/2021</w:t>
      </w:r>
      <w:bookmarkEnd w:id="1"/>
      <w:r w:rsidRPr="00B44794">
        <w:rPr>
          <w:rFonts w:eastAsia="Times New Roman" w:cs="Times New Roman"/>
          <w:szCs w:val="20"/>
          <w:lang w:val="fr-FR" w:eastAsia="en-GB"/>
        </w:rPr>
        <w:t xml:space="preserve"> / P9_TA PROV(2021)0409</w:t>
      </w:r>
    </w:p>
    <w:p w:rsidR="00B44794" w:rsidRPr="00B44794" w:rsidRDefault="00B44794" w:rsidP="00B44794">
      <w:pPr>
        <w:spacing w:after="240" w:line="240" w:lineRule="auto"/>
        <w:jc w:val="both"/>
        <w:rPr>
          <w:rFonts w:eastAsia="Times New Roman" w:cs="Times New Roman"/>
          <w:szCs w:val="24"/>
          <w:lang w:val="fr-FR" w:eastAsia="en-GB"/>
        </w:rPr>
      </w:pPr>
      <w:r w:rsidRPr="00B44794">
        <w:rPr>
          <w:rFonts w:eastAsia="Times New Roman" w:cs="Times New Roman"/>
          <w:b/>
          <w:szCs w:val="24"/>
          <w:lang w:val="fr-FR" w:eastAsia="en-GB"/>
        </w:rPr>
        <w:t>3.</w:t>
      </w:r>
      <w:r w:rsidRPr="00B44794">
        <w:rPr>
          <w:rFonts w:ascii="Courier New" w:eastAsia="Times New Roman" w:hAnsi="Courier New" w:cs="Times New Roman"/>
          <w:szCs w:val="20"/>
          <w:lang w:val="fr-FR" w:eastAsia="en-GB"/>
        </w:rPr>
        <w:tab/>
      </w:r>
      <w:r w:rsidRPr="00B44794">
        <w:rPr>
          <w:rFonts w:eastAsia="Times New Roman" w:cs="Times New Roman"/>
          <w:b/>
          <w:szCs w:val="24"/>
          <w:lang w:val="fr-FR" w:eastAsia="en-GB"/>
        </w:rPr>
        <w:t>Date d’adoption de la résolution:</w:t>
      </w:r>
      <w:r w:rsidRPr="00B44794">
        <w:rPr>
          <w:rFonts w:eastAsia="Times New Roman" w:cs="Times New Roman"/>
          <w:szCs w:val="24"/>
          <w:lang w:val="fr-FR" w:eastAsia="en-GB"/>
        </w:rPr>
        <w:t xml:space="preserve"> 6 octobre 2021</w:t>
      </w:r>
    </w:p>
    <w:p w:rsidR="00B44794" w:rsidRPr="00B44794" w:rsidRDefault="00B44794" w:rsidP="00B44794">
      <w:pPr>
        <w:spacing w:after="240" w:line="240" w:lineRule="auto"/>
        <w:ind w:left="720" w:hanging="720"/>
        <w:jc w:val="both"/>
        <w:rPr>
          <w:rFonts w:eastAsia="Times New Roman" w:cs="Times New Roman"/>
          <w:i/>
          <w:szCs w:val="24"/>
          <w:lang w:val="fr-FR" w:eastAsia="en-GB"/>
        </w:rPr>
      </w:pPr>
      <w:r w:rsidRPr="00B44794">
        <w:rPr>
          <w:rFonts w:eastAsia="Times New Roman" w:cs="Times New Roman"/>
          <w:b/>
          <w:szCs w:val="24"/>
          <w:lang w:val="fr-FR" w:eastAsia="en-GB"/>
        </w:rPr>
        <w:t>4.</w:t>
      </w:r>
      <w:r w:rsidRPr="00B44794">
        <w:rPr>
          <w:rFonts w:ascii="Courier New" w:eastAsia="Times New Roman" w:hAnsi="Courier New" w:cs="Times New Roman"/>
          <w:szCs w:val="20"/>
          <w:lang w:val="fr-FR" w:eastAsia="en-GB"/>
        </w:rPr>
        <w:tab/>
      </w:r>
      <w:r w:rsidRPr="00B44794">
        <w:rPr>
          <w:rFonts w:eastAsia="Times New Roman" w:cs="Times New Roman"/>
          <w:b/>
          <w:szCs w:val="24"/>
          <w:lang w:val="fr-FR" w:eastAsia="en-GB"/>
        </w:rPr>
        <w:t xml:space="preserve">Commission parlementaire compétente: </w:t>
      </w:r>
      <w:r w:rsidRPr="00B44794">
        <w:rPr>
          <w:rFonts w:eastAsia="Times New Roman" w:cs="Times New Roman"/>
          <w:szCs w:val="24"/>
          <w:lang w:val="fr-FR" w:eastAsia="en-GB"/>
        </w:rPr>
        <w:t>commission de l’environnement, de la santé publique et de la sécurité alimentaire (ENVI)</w:t>
      </w:r>
    </w:p>
    <w:p w:rsidR="00B44794" w:rsidRPr="00B44794" w:rsidRDefault="00B44794" w:rsidP="00B44794">
      <w:pPr>
        <w:widowControl w:val="0"/>
        <w:spacing w:after="240" w:line="240" w:lineRule="auto"/>
        <w:jc w:val="both"/>
        <w:rPr>
          <w:rFonts w:eastAsia="Times New Roman" w:cs="Times New Roman"/>
          <w:b/>
          <w:szCs w:val="24"/>
          <w:lang w:val="fr-FR" w:eastAsia="en-GB"/>
        </w:rPr>
      </w:pPr>
      <w:r w:rsidRPr="00B44794">
        <w:rPr>
          <w:rFonts w:eastAsia="Times New Roman" w:cs="Times New Roman"/>
          <w:b/>
          <w:szCs w:val="24"/>
          <w:lang w:val="fr-FR" w:eastAsia="en-GB"/>
        </w:rPr>
        <w:t>5.</w:t>
      </w:r>
      <w:r w:rsidRPr="00B44794">
        <w:rPr>
          <w:rFonts w:ascii="Courier New" w:eastAsia="Times New Roman" w:hAnsi="Courier New" w:cs="Times New Roman"/>
          <w:szCs w:val="20"/>
          <w:lang w:val="fr-FR" w:eastAsia="en-GB"/>
        </w:rPr>
        <w:tab/>
      </w:r>
      <w:r w:rsidRPr="00B44794">
        <w:rPr>
          <w:rFonts w:eastAsia="Times New Roman" w:cs="Times New Roman"/>
          <w:b/>
          <w:szCs w:val="24"/>
          <w:lang w:val="fr-FR" w:eastAsia="en-GB"/>
        </w:rPr>
        <w:t xml:space="preserve">Analyse/évaluation succincte de la résolution et des demandes qu’elle contient: </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La résolution critique le fait que la Commission n’a pas expliqué les raisons de la prolongation de la période d’approbation du chlorotoluron (</w:t>
      </w:r>
      <w:r w:rsidRPr="00B44794">
        <w:rPr>
          <w:rFonts w:eastAsia="Times New Roman" w:cs="Times New Roman"/>
          <w:b/>
          <w:bCs/>
          <w:szCs w:val="24"/>
          <w:lang w:val="fr-FR" w:eastAsia="en-GB"/>
        </w:rPr>
        <w:t>considérant D</w:t>
      </w:r>
      <w:r w:rsidRPr="00B44794">
        <w:rPr>
          <w:rFonts w:eastAsia="Times New Roman" w:cs="Times New Roman"/>
          <w:szCs w:val="24"/>
          <w:lang w:val="fr-FR" w:eastAsia="en-GB"/>
        </w:rPr>
        <w:t>) et rappelle plusieurs dispositions du règlement (CE) n° 1107/2009 (</w:t>
      </w:r>
      <w:r w:rsidRPr="00B44794">
        <w:rPr>
          <w:rFonts w:eastAsia="Times New Roman" w:cs="Times New Roman"/>
          <w:b/>
          <w:bCs/>
          <w:szCs w:val="24"/>
          <w:lang w:val="fr-FR" w:eastAsia="en-GB"/>
        </w:rPr>
        <w:t>considérants E, F, G, I, J et N</w:t>
      </w:r>
      <w:r w:rsidRPr="00B44794">
        <w:rPr>
          <w:rFonts w:eastAsia="Times New Roman" w:cs="Times New Roman"/>
          <w:szCs w:val="24"/>
          <w:lang w:val="fr-FR" w:eastAsia="en-GB"/>
        </w:rPr>
        <w:t>). Elle mentionne diverses propriétés dangereuses du chlorotoluron, par exemple le fait qu’il est un perturbateur endocrinien probable (</w:t>
      </w:r>
      <w:r w:rsidRPr="00B44794">
        <w:rPr>
          <w:rFonts w:eastAsia="Times New Roman" w:cs="Times New Roman"/>
          <w:b/>
          <w:bCs/>
          <w:szCs w:val="24"/>
          <w:lang w:val="fr-FR" w:eastAsia="en-GB"/>
        </w:rPr>
        <w:t>considérants H et L</w:t>
      </w:r>
      <w:r w:rsidRPr="00B44794">
        <w:rPr>
          <w:rFonts w:eastAsia="Times New Roman" w:cs="Times New Roman"/>
          <w:szCs w:val="24"/>
          <w:lang w:val="fr-FR" w:eastAsia="en-GB"/>
        </w:rPr>
        <w:t>), qu’il est très toxique pour les organismes aquatiques, qu’il est susceptible de provoquer le cancer et de nuire au fœtus (</w:t>
      </w:r>
      <w:r w:rsidRPr="00B44794">
        <w:rPr>
          <w:rFonts w:eastAsia="Times New Roman" w:cs="Times New Roman"/>
          <w:b/>
          <w:bCs/>
          <w:szCs w:val="24"/>
          <w:lang w:val="fr-FR" w:eastAsia="en-GB"/>
        </w:rPr>
        <w:t>considérant K</w:t>
      </w:r>
      <w:r w:rsidRPr="00B44794">
        <w:rPr>
          <w:rFonts w:eastAsia="Times New Roman" w:cs="Times New Roman"/>
          <w:szCs w:val="24"/>
          <w:lang w:val="fr-FR" w:eastAsia="en-GB"/>
        </w:rPr>
        <w:t>), qu’il a été inscrit par le règlement d’exécution (UE) 2015/408 de la Commission sur la «liste de substances dont on envisage la substitution» (</w:t>
      </w:r>
      <w:r w:rsidRPr="00B44794">
        <w:rPr>
          <w:rFonts w:eastAsia="Times New Roman" w:cs="Times New Roman"/>
          <w:b/>
          <w:bCs/>
          <w:szCs w:val="24"/>
          <w:lang w:val="fr-FR" w:eastAsia="en-GB"/>
        </w:rPr>
        <w:t>considérant M</w:t>
      </w:r>
      <w:r w:rsidRPr="00B44794">
        <w:rPr>
          <w:rFonts w:eastAsia="Times New Roman" w:cs="Times New Roman"/>
          <w:szCs w:val="24"/>
          <w:lang w:val="fr-FR" w:eastAsia="en-GB"/>
        </w:rPr>
        <w:t>) et qu’il est inacceptable que l’utilisation de substances qui sont dotées de propriétés perturbatrices du système endocrinien continue d’être autorisée (</w:t>
      </w:r>
      <w:r w:rsidRPr="00B44794">
        <w:rPr>
          <w:rFonts w:eastAsia="Times New Roman" w:cs="Times New Roman"/>
          <w:b/>
          <w:bCs/>
          <w:szCs w:val="24"/>
          <w:lang w:val="fr-FR" w:eastAsia="en-GB"/>
        </w:rPr>
        <w:t>considérant O</w:t>
      </w:r>
      <w:r w:rsidRPr="00B44794">
        <w:rPr>
          <w:rFonts w:eastAsia="Times New Roman" w:cs="Times New Roman"/>
          <w:szCs w:val="24"/>
          <w:lang w:val="fr-FR" w:eastAsia="en-GB"/>
        </w:rPr>
        <w:t>). Elle fait valoir que les demandeurs peuvent profiter de l’automaticité des méthodes de travail de la Commission, qui prolonge immédiatement les périodes d’approbation des substances actives si la réévaluation des risques n’a pas été finalisée (</w:t>
      </w:r>
      <w:r w:rsidRPr="00B44794">
        <w:rPr>
          <w:rFonts w:eastAsia="Times New Roman" w:cs="Times New Roman"/>
          <w:b/>
          <w:szCs w:val="24"/>
          <w:lang w:val="fr-FR" w:eastAsia="en-GB"/>
        </w:rPr>
        <w:t>considérant P</w:t>
      </w:r>
      <w:r w:rsidRPr="00B44794">
        <w:rPr>
          <w:rFonts w:eastAsia="Times New Roman" w:cs="Times New Roman"/>
          <w:szCs w:val="24"/>
          <w:lang w:val="fr-FR" w:eastAsia="en-GB"/>
        </w:rPr>
        <w:t>). Elle rappelle la résolution antérieure du Parlement européen du 13 septembre 2018 sur la question de l’extension des approbations (</w:t>
      </w:r>
      <w:r w:rsidRPr="00B44794">
        <w:rPr>
          <w:rFonts w:eastAsia="Times New Roman" w:cs="Times New Roman"/>
          <w:b/>
          <w:bCs/>
          <w:szCs w:val="24"/>
          <w:lang w:val="fr-FR" w:eastAsia="en-GB"/>
        </w:rPr>
        <w:t>considérant Q</w:t>
      </w:r>
      <w:r w:rsidRPr="00B44794">
        <w:rPr>
          <w:rFonts w:eastAsia="Times New Roman" w:cs="Times New Roman"/>
          <w:szCs w:val="24"/>
          <w:lang w:val="fr-FR" w:eastAsia="en-GB"/>
        </w:rPr>
        <w:t>) et le fait qu’il s’est déjà opposé à la précédente extension de la période d’approbation du chlorotoluron dans ses résolutions du 10 octobre 2019 et du 26 novembre 2020 (</w:t>
      </w:r>
      <w:r w:rsidRPr="00B44794">
        <w:rPr>
          <w:rFonts w:eastAsia="Times New Roman" w:cs="Times New Roman"/>
          <w:b/>
          <w:bCs/>
          <w:szCs w:val="24"/>
          <w:lang w:val="fr-FR" w:eastAsia="en-GB"/>
        </w:rPr>
        <w:t>considérant R</w:t>
      </w:r>
      <w:r w:rsidRPr="00B44794">
        <w:rPr>
          <w:rFonts w:eastAsia="Times New Roman" w:cs="Times New Roman"/>
          <w:szCs w:val="24"/>
          <w:lang w:val="fr-FR" w:eastAsia="en-GB"/>
        </w:rPr>
        <w:t>), à la réponse de la Commission à celle-ci (</w:t>
      </w:r>
      <w:r w:rsidRPr="00B44794">
        <w:rPr>
          <w:rFonts w:eastAsia="Times New Roman" w:cs="Times New Roman"/>
          <w:b/>
          <w:bCs/>
          <w:szCs w:val="24"/>
          <w:lang w:val="fr-FR" w:eastAsia="en-GB"/>
        </w:rPr>
        <w:t>considérant S</w:t>
      </w:r>
      <w:r w:rsidRPr="00B44794">
        <w:rPr>
          <w:rFonts w:eastAsia="Times New Roman" w:cs="Times New Roman"/>
          <w:szCs w:val="24"/>
          <w:lang w:val="fr-FR" w:eastAsia="en-GB"/>
        </w:rPr>
        <w:t>) et aux nouvelles étapes de la procédure d’évaluation franchies depuis (</w:t>
      </w:r>
      <w:r w:rsidRPr="00B44794">
        <w:rPr>
          <w:rFonts w:eastAsia="Times New Roman" w:cs="Times New Roman"/>
          <w:b/>
          <w:bCs/>
          <w:szCs w:val="24"/>
          <w:lang w:val="fr-FR" w:eastAsia="en-GB"/>
        </w:rPr>
        <w:t>considérants T, U, V et W</w:t>
      </w:r>
      <w:r w:rsidRPr="00B44794">
        <w:rPr>
          <w:rFonts w:eastAsia="Times New Roman" w:cs="Times New Roman"/>
          <w:szCs w:val="24"/>
          <w:lang w:val="fr-FR" w:eastAsia="en-GB"/>
        </w:rPr>
        <w:t>). La résolution affirme également que le difénoconazole, seul ou associé à différentes azoles, est suspecté d’induire une résistance au triazole à la souche fongique Aspergillus fumigatus, un problème croissant de santé publique et, en particulier, des problèmes de santé liés à la COVID-19 (</w:t>
      </w:r>
      <w:r w:rsidRPr="00B44794">
        <w:rPr>
          <w:rFonts w:eastAsia="Times New Roman" w:cs="Times New Roman"/>
          <w:b/>
          <w:bCs/>
          <w:szCs w:val="24"/>
          <w:lang w:val="fr-FR" w:eastAsia="en-GB"/>
        </w:rPr>
        <w:t>considérants X, Y et Z</w:t>
      </w:r>
      <w:r w:rsidRPr="00B44794">
        <w:rPr>
          <w:rFonts w:eastAsia="Times New Roman" w:cs="Times New Roman"/>
          <w:szCs w:val="24"/>
          <w:lang w:val="fr-FR" w:eastAsia="en-GB"/>
        </w:rPr>
        <w:t>). Elle considère comme inacceptable la prolongation des périodes d’approbation des substances actives telles que le difénoconazole, susceptibles d’entraîner une résistance aux médicaments fongiques (</w:t>
      </w:r>
      <w:r w:rsidRPr="00B44794">
        <w:rPr>
          <w:rFonts w:eastAsia="Times New Roman" w:cs="Times New Roman"/>
          <w:b/>
          <w:bCs/>
          <w:szCs w:val="24"/>
          <w:lang w:val="fr-FR" w:eastAsia="en-GB"/>
        </w:rPr>
        <w:t>considérant AA</w:t>
      </w:r>
      <w:r w:rsidRPr="00B44794">
        <w:rPr>
          <w:rFonts w:eastAsia="Times New Roman" w:cs="Times New Roman"/>
          <w:szCs w:val="24"/>
          <w:lang w:val="fr-FR" w:eastAsia="en-GB"/>
        </w:rPr>
        <w:t>).</w:t>
      </w:r>
    </w:p>
    <w:p w:rsidR="00B44794" w:rsidRPr="00B44794" w:rsidRDefault="00B44794" w:rsidP="00B44794">
      <w:pPr>
        <w:widowControl w:val="0"/>
        <w:spacing w:after="120" w:line="240" w:lineRule="auto"/>
        <w:jc w:val="both"/>
        <w:rPr>
          <w:rFonts w:eastAsia="Times New Roman" w:cs="Times New Roman"/>
          <w:b/>
          <w:szCs w:val="24"/>
          <w:lang w:val="fr-FR" w:eastAsia="en-GB"/>
        </w:rPr>
      </w:pPr>
      <w:r w:rsidRPr="00B44794">
        <w:rPr>
          <w:rFonts w:eastAsia="Times New Roman" w:cs="Times New Roman"/>
          <w:szCs w:val="24"/>
          <w:lang w:val="fr-FR" w:eastAsia="en-GB"/>
        </w:rPr>
        <w:t xml:space="preserve">La résolution estime que le règlement d’exécution (UE) 2021/1449 de la Commission excède </w:t>
      </w:r>
      <w:r w:rsidRPr="00B44794">
        <w:rPr>
          <w:rFonts w:eastAsia="Times New Roman" w:cs="Times New Roman"/>
          <w:szCs w:val="24"/>
          <w:lang w:val="fr-FR" w:eastAsia="en-GB"/>
        </w:rPr>
        <w:lastRenderedPageBreak/>
        <w:t>les compétences d’exécution prévues par le règlement (CE) n° 1107/2009 (</w:t>
      </w:r>
      <w:r w:rsidRPr="00B44794">
        <w:rPr>
          <w:rFonts w:eastAsia="Times New Roman" w:cs="Times New Roman"/>
          <w:b/>
          <w:bCs/>
          <w:szCs w:val="24"/>
          <w:lang w:val="fr-FR" w:eastAsia="en-GB"/>
        </w:rPr>
        <w:t>paragraphe 1</w:t>
      </w:r>
      <w:r w:rsidRPr="00B44794">
        <w:rPr>
          <w:rFonts w:eastAsia="Times New Roman" w:cs="Times New Roman"/>
          <w:szCs w:val="24"/>
          <w:lang w:val="fr-FR" w:eastAsia="en-GB"/>
        </w:rPr>
        <w:t>) et qu’il ne respecte pas le principe de précaution (</w:t>
      </w:r>
      <w:r w:rsidRPr="00B44794">
        <w:rPr>
          <w:rFonts w:eastAsia="Times New Roman" w:cs="Times New Roman"/>
          <w:b/>
          <w:bCs/>
          <w:szCs w:val="24"/>
          <w:lang w:val="fr-FR" w:eastAsia="en-GB"/>
        </w:rPr>
        <w:t>paragraphe 2</w:t>
      </w:r>
      <w:r w:rsidRPr="00B44794">
        <w:rPr>
          <w:rFonts w:eastAsia="Times New Roman" w:cs="Times New Roman"/>
          <w:szCs w:val="24"/>
          <w:lang w:val="fr-FR" w:eastAsia="en-GB"/>
        </w:rPr>
        <w:t>). Elle dénonce les retards importants dans la procédure de renouvellement et dans l’identification des propriétés perturbant le système endocrinien (</w:t>
      </w:r>
      <w:r w:rsidRPr="00B44794">
        <w:rPr>
          <w:rFonts w:eastAsia="Times New Roman" w:cs="Times New Roman"/>
          <w:b/>
          <w:bCs/>
          <w:szCs w:val="24"/>
          <w:lang w:val="fr-FR" w:eastAsia="en-GB"/>
        </w:rPr>
        <w:t>paragraphe 3</w:t>
      </w:r>
      <w:r w:rsidRPr="00B44794">
        <w:rPr>
          <w:rFonts w:eastAsia="Times New Roman" w:cs="Times New Roman"/>
          <w:szCs w:val="24"/>
          <w:lang w:val="fr-FR" w:eastAsia="en-GB"/>
        </w:rPr>
        <w:t>) et estime en outre que la décision de prolonger la période d’approbation du chlorotoluron et du difénoconazole n’est pas conforme aux critères de sécurité établis dans le règlement (CE) n° 1107/2009 et ne repose ni sur des éléments prouvant que cette substance peut être utilisée en toute sécurité, ni sur un besoin urgent avéré de ces substances actives dans la production alimentaire dans l’Union (</w:t>
      </w:r>
      <w:r w:rsidRPr="00B44794">
        <w:rPr>
          <w:rFonts w:eastAsia="Times New Roman" w:cs="Times New Roman"/>
          <w:b/>
          <w:bCs/>
          <w:szCs w:val="24"/>
          <w:lang w:val="fr-FR" w:eastAsia="en-GB"/>
        </w:rPr>
        <w:t>paragraphe 4</w:t>
      </w:r>
      <w:r w:rsidRPr="00B44794">
        <w:rPr>
          <w:rFonts w:eastAsia="Times New Roman" w:cs="Times New Roman"/>
          <w:szCs w:val="24"/>
          <w:lang w:val="fr-FR" w:eastAsia="en-GB"/>
        </w:rPr>
        <w:t>). Le Parlement européen demande à la Commission:</w:t>
      </w:r>
      <w:r w:rsidRPr="00B44794">
        <w:rPr>
          <w:rFonts w:eastAsia="Times New Roman" w:cs="Times New Roman"/>
          <w:b/>
          <w:szCs w:val="24"/>
          <w:lang w:val="fr-FR" w:eastAsia="en-GB"/>
        </w:rPr>
        <w:t xml:space="preserve"> </w:t>
      </w:r>
    </w:p>
    <w:p w:rsidR="00B44794" w:rsidRPr="00B44794" w:rsidRDefault="00B44794" w:rsidP="00B44794">
      <w:pPr>
        <w:widowControl w:val="0"/>
        <w:numPr>
          <w:ilvl w:val="0"/>
          <w:numId w:val="1"/>
        </w:numPr>
        <w:spacing w:after="120" w:line="240" w:lineRule="auto"/>
        <w:ind w:left="360"/>
        <w:jc w:val="both"/>
        <w:rPr>
          <w:rFonts w:eastAsia="Times New Roman" w:cs="Times New Roman"/>
          <w:szCs w:val="24"/>
          <w:lang w:val="fr-FR" w:eastAsia="en-GB"/>
        </w:rPr>
      </w:pPr>
      <w:r w:rsidRPr="00B44794">
        <w:rPr>
          <w:rFonts w:eastAsia="Times New Roman" w:cs="Times New Roman"/>
          <w:szCs w:val="24"/>
          <w:lang w:val="fr-FR" w:eastAsia="en-GB"/>
        </w:rPr>
        <w:t>d’abroger le règlement d’exécution (UE) 2021/1449 et de présenter un nouveau projet qui tient compte des preuves scientifiques des propriétés nocives de toutes les substances concernées, en particulier du chlorotoluron et du difénoconazole (</w:t>
      </w:r>
      <w:r w:rsidRPr="00B44794">
        <w:rPr>
          <w:rFonts w:eastAsia="Times New Roman" w:cs="Times New Roman"/>
          <w:b/>
          <w:bCs/>
          <w:szCs w:val="24"/>
          <w:lang w:val="fr-FR" w:eastAsia="en-GB"/>
        </w:rPr>
        <w:t>paragraphe 5</w:t>
      </w:r>
      <w:r w:rsidRPr="00B44794">
        <w:rPr>
          <w:rFonts w:eastAsia="Times New Roman" w:cs="Times New Roman"/>
          <w:szCs w:val="24"/>
          <w:lang w:val="fr-FR" w:eastAsia="en-GB"/>
        </w:rPr>
        <w:t>);</w:t>
      </w:r>
    </w:p>
    <w:p w:rsidR="00B44794" w:rsidRPr="00B44794" w:rsidRDefault="00B44794" w:rsidP="00B44794">
      <w:pPr>
        <w:widowControl w:val="0"/>
        <w:numPr>
          <w:ilvl w:val="0"/>
          <w:numId w:val="1"/>
        </w:numPr>
        <w:spacing w:after="120" w:line="240" w:lineRule="auto"/>
        <w:ind w:left="360"/>
        <w:jc w:val="both"/>
        <w:rPr>
          <w:rFonts w:eastAsia="Times New Roman" w:cs="Times New Roman"/>
          <w:szCs w:val="24"/>
          <w:lang w:val="fr-FR" w:eastAsia="en-GB"/>
        </w:rPr>
      </w:pPr>
      <w:r w:rsidRPr="00B44794">
        <w:rPr>
          <w:rFonts w:eastAsia="Times New Roman" w:cs="Times New Roman"/>
          <w:szCs w:val="24"/>
          <w:lang w:val="fr-FR" w:eastAsia="en-GB"/>
        </w:rPr>
        <w:t>de ne présenter des projets de règlement d’exécution en vue de prolonger les périodes d’approbation de substances que si, dans l’état actuel de la science, il ne semble pas que la Commission présentera une proposition de non-renouvellement de l’autorisation de la substance active concernée (</w:t>
      </w:r>
      <w:r w:rsidRPr="00B44794">
        <w:rPr>
          <w:rFonts w:eastAsia="Times New Roman" w:cs="Times New Roman"/>
          <w:b/>
          <w:bCs/>
          <w:szCs w:val="24"/>
          <w:lang w:val="fr-FR" w:eastAsia="en-GB"/>
        </w:rPr>
        <w:t>paragraphe 6</w:t>
      </w:r>
      <w:r w:rsidRPr="00B44794">
        <w:rPr>
          <w:rFonts w:eastAsia="Times New Roman" w:cs="Times New Roman"/>
          <w:szCs w:val="24"/>
          <w:lang w:val="fr-FR" w:eastAsia="en-GB"/>
        </w:rPr>
        <w:t>);</w:t>
      </w:r>
    </w:p>
    <w:p w:rsidR="00B44794" w:rsidRPr="00B44794" w:rsidRDefault="00B44794" w:rsidP="00B44794">
      <w:pPr>
        <w:widowControl w:val="0"/>
        <w:numPr>
          <w:ilvl w:val="0"/>
          <w:numId w:val="1"/>
        </w:numPr>
        <w:spacing w:after="120" w:line="240" w:lineRule="auto"/>
        <w:ind w:left="360"/>
        <w:jc w:val="both"/>
        <w:rPr>
          <w:rFonts w:eastAsia="Times New Roman" w:cs="Times New Roman"/>
          <w:szCs w:val="24"/>
          <w:lang w:val="fr-FR" w:eastAsia="en-GB"/>
        </w:rPr>
      </w:pPr>
      <w:r w:rsidRPr="00B44794">
        <w:rPr>
          <w:rFonts w:eastAsia="Times New Roman" w:cs="Times New Roman"/>
          <w:szCs w:val="24"/>
          <w:lang w:val="fr-FR" w:eastAsia="en-GB"/>
        </w:rPr>
        <w:t>de retirer les approbations concernant des substances pour lesquelles il existe des preuves ou des doutes raisonnables qu’elles ne satisferont pas aux critères de sécurité énoncés dans le règlement (CE) nº 1107/2009 (</w:t>
      </w:r>
      <w:r w:rsidRPr="00B44794">
        <w:rPr>
          <w:rFonts w:eastAsia="Times New Roman" w:cs="Times New Roman"/>
          <w:b/>
          <w:bCs/>
          <w:szCs w:val="24"/>
          <w:lang w:val="fr-FR" w:eastAsia="en-GB"/>
        </w:rPr>
        <w:t>paragraphe 7</w:t>
      </w:r>
      <w:r w:rsidRPr="00B44794">
        <w:rPr>
          <w:rFonts w:eastAsia="Times New Roman" w:cs="Times New Roman"/>
          <w:szCs w:val="24"/>
          <w:lang w:val="fr-FR" w:eastAsia="en-GB"/>
        </w:rPr>
        <w:t>).</w:t>
      </w:r>
    </w:p>
    <w:p w:rsidR="00B44794" w:rsidRPr="00B44794" w:rsidRDefault="00B44794" w:rsidP="00B44794">
      <w:pPr>
        <w:widowControl w:val="0"/>
        <w:spacing w:after="240" w:line="240" w:lineRule="auto"/>
        <w:jc w:val="both"/>
        <w:rPr>
          <w:rFonts w:eastAsia="Times New Roman" w:cs="Times New Roman"/>
          <w:szCs w:val="24"/>
          <w:lang w:val="fr-FR" w:eastAsia="en-GB"/>
        </w:rPr>
      </w:pPr>
      <w:r w:rsidRPr="00B44794">
        <w:rPr>
          <w:rFonts w:eastAsia="Times New Roman" w:cs="Times New Roman"/>
          <w:szCs w:val="24"/>
          <w:lang w:val="fr-FR" w:eastAsia="en-GB"/>
        </w:rPr>
        <w:t>Il invite en outre les États membres à assurer la réévaluation rapide des autorisations des substances actives pour lesquelles ils sont les États membres rapporteurs et à résorber les retards actuels de manière efficacement et dans les meilleurs délais (</w:t>
      </w:r>
      <w:r w:rsidRPr="00B44794">
        <w:rPr>
          <w:rFonts w:eastAsia="Times New Roman" w:cs="Times New Roman"/>
          <w:b/>
          <w:bCs/>
          <w:szCs w:val="24"/>
          <w:lang w:val="fr-FR" w:eastAsia="en-GB"/>
        </w:rPr>
        <w:t>paragraphe 8</w:t>
      </w:r>
      <w:r w:rsidRPr="00B44794">
        <w:rPr>
          <w:rFonts w:eastAsia="Times New Roman" w:cs="Times New Roman"/>
          <w:szCs w:val="24"/>
          <w:lang w:val="fr-FR" w:eastAsia="en-GB"/>
        </w:rPr>
        <w:t>).</w:t>
      </w:r>
    </w:p>
    <w:p w:rsidR="00B44794" w:rsidRPr="00B44794" w:rsidRDefault="00B44794" w:rsidP="00B44794">
      <w:pPr>
        <w:widowControl w:val="0"/>
        <w:spacing w:after="240" w:line="240" w:lineRule="auto"/>
        <w:ind w:left="720" w:hanging="720"/>
        <w:jc w:val="both"/>
        <w:rPr>
          <w:rFonts w:eastAsia="Times New Roman" w:cs="Times New Roman"/>
          <w:b/>
          <w:szCs w:val="24"/>
          <w:lang w:val="fr-FR" w:eastAsia="en-GB"/>
        </w:rPr>
      </w:pPr>
      <w:r w:rsidRPr="00B44794">
        <w:rPr>
          <w:rFonts w:eastAsia="Times New Roman" w:cs="Times New Roman"/>
          <w:b/>
          <w:szCs w:val="24"/>
          <w:lang w:val="fr-FR" w:eastAsia="en-GB"/>
        </w:rPr>
        <w:t>6.</w:t>
      </w:r>
      <w:r w:rsidRPr="00B44794">
        <w:rPr>
          <w:rFonts w:ascii="Courier New" w:eastAsia="Times New Roman" w:hAnsi="Courier New" w:cs="Times New Roman"/>
          <w:szCs w:val="20"/>
          <w:lang w:val="fr-FR" w:eastAsia="en-GB"/>
        </w:rPr>
        <w:tab/>
      </w:r>
      <w:r w:rsidRPr="00B44794">
        <w:rPr>
          <w:rFonts w:eastAsia="Times New Roman" w:cs="Times New Roman"/>
          <w:b/>
          <w:szCs w:val="24"/>
          <w:lang w:val="fr-FR" w:eastAsia="en-GB"/>
        </w:rPr>
        <w:t>Réponse à ces demandes et aperçu des mesures que la Commission a prises ou envisage de prendre:</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 xml:space="preserve">En réponse aux </w:t>
      </w:r>
      <w:r w:rsidRPr="00B44794">
        <w:rPr>
          <w:rFonts w:eastAsia="Times New Roman" w:cs="Times New Roman"/>
          <w:b/>
          <w:bCs/>
          <w:szCs w:val="24"/>
          <w:lang w:val="fr-FR" w:eastAsia="en-GB"/>
        </w:rPr>
        <w:t>paragraphes 1 et 5</w:t>
      </w:r>
      <w:r w:rsidRPr="00B44794">
        <w:rPr>
          <w:rFonts w:eastAsia="Times New Roman" w:cs="Times New Roman"/>
          <w:szCs w:val="24"/>
          <w:lang w:val="fr-FR" w:eastAsia="en-GB"/>
        </w:rPr>
        <w:t>, la Commission tient à souligner que le projet de règlement d’exécution (UE) 2021/1449 de la Commission était pleinement conforme aux pouvoirs d’exécution prévus dans l’acte de base.</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Les prolongations prévues par le règlement étaient nécessaires, car il n’a pas été possible d’adopter une décision sur le renouvellement ou le non-renouvellement de l’approbation des substances actives avant l’expiration de l’approbation pour des raisons indépendantes de la volonté des demandeurs. En pareille situation, l’article 17 du règlement (CE) nº 1107/2009 oblige la Commission à prolonger la période d’approbation des substances concernées. Dans le cas du chlorotoluron, l’État membre rapporteur (Bulgarie) n’a remis que récemment le projet de rapport d’évaluation, avec un retard de cinq ans et demi, et l’examen par les pairs par les autres États membres et l’Autorité européenne de sécurité des aliments (EFSA) a seulement débuté le 12 octobre 2021. En ce qui concerne le difénoconazole, le processus d’examen par les pairs est en cours et des données supplémentaires ont été demandées par l’EFSA pour mener à bien l’évaluation des propriétés perturbant le système endocrinien.</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Il convient également de noter que la médiatrice européenne, dans sa décision dans l’affaire 687/2018/TE, a confirmé que la Commission était tenue de prolonger l’approbation des substances actives dans le cas où la réévaluation n’était pas achevée à temps, à condition que le retard ne soit pas causé par le demandeur.</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 xml:space="preserve">La Commission considère par conséquent qu’en adoptant un règlement qui respecte pleinement les phases de procédure et les exigences légales définies par les colégislateurs dans la législation sur les produits phytopharmaceutiques, elle n’outrepassait pas ses </w:t>
      </w:r>
      <w:r w:rsidRPr="00B44794">
        <w:rPr>
          <w:rFonts w:eastAsia="Times New Roman" w:cs="Times New Roman"/>
          <w:szCs w:val="24"/>
          <w:lang w:val="fr-FR" w:eastAsia="en-GB"/>
        </w:rPr>
        <w:lastRenderedPageBreak/>
        <w:t>compétences d’exécution. Par conséquent, il n’y a aucune raison de retirer le règlement d’exécution (UE) 2021/1449.</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les positions exprimées par le Parlement et souhaite formuler les observations qui suivent:</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 xml:space="preserve">En ce qui concerne les </w:t>
      </w:r>
      <w:r w:rsidRPr="00B44794">
        <w:rPr>
          <w:rFonts w:eastAsia="Times New Roman" w:cs="Times New Roman"/>
          <w:b/>
          <w:szCs w:val="24"/>
          <w:lang w:val="fr-FR" w:eastAsia="en-GB"/>
        </w:rPr>
        <w:t>paragraphes 2 et 4</w:t>
      </w:r>
      <w:r w:rsidRPr="00B44794">
        <w:rPr>
          <w:rFonts w:eastAsia="Times New Roman" w:cs="Times New Roman"/>
          <w:szCs w:val="24"/>
          <w:lang w:val="fr-FR" w:eastAsia="en-GB"/>
        </w:rPr>
        <w:t>, la Commission souligne que l’article 17 du règlement (CE) nº 1107/2009 reflète la volonté des colégislateurs qu’il doive être pleinement démontré que les critères d’approbation de la substance active énoncés à l’article 4 devraient être remplis avant qu’une décision sur le renouvellement de l’approbation d’une substance active ne soit prise. L’article 17 dudit règlement ne fait pas de distinction entre les substances qui remplissent les critères d’exclusion, les substances qui remplissent les critères requis pour être considérées comme des substances dont on envisage la substitution, et les substances qui ne remplissent pas ces critères. En ce qui concerne les propriétés spécifiques mentionnées dans la résolution, la Commission tient à faire observer que le chlorotoluron avait été reconnu comme étant un perturbateur endocrinien sur la base des critères provisoires précisés dans le règlement (CE) nº 1107/2009, avant l’adoption des critères scientifiques établis par le règlement (UE) 2018/605. Les critères provisoires ne sont plus valables, et le chlorotoluron n’a pas été reconnu comme étant un perturbateur endocrinien potentiel dans l’étude sur laquelle s’est appuyée l’analyse d’impact réalisée avant l’adoption des critères scientifiques énoncés dans le règlement (UE) 2018/605 de la Commission. En ce qui concerne les préoccupations du Parlement relatives au difénoconazole, la Commission a examiné la relation possible entre l’utilisation de fongicides à base d’azole dans les produits phytopharmaceutiques et la résistance d’Aspergillus fumigatus fongi aux azoles médicales avec les États membres au sein du comité permanent des végétaux, des animaux, des denrées alimentaires et des aliments pour animaux, et prépare un mandat à l’intention de l’EFSA, de l’Agence européenne des produits chimiques (ECHA), de l’Agence européenne des médicaments (EMA) et du Centre européen de prévention et de contrôle des maladies (ECDC) pour élaborer un avis conjoint sur le sujet.</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 xml:space="preserve">En ce qui concerne les </w:t>
      </w:r>
      <w:r w:rsidRPr="00B44794">
        <w:rPr>
          <w:rFonts w:eastAsia="Times New Roman" w:cs="Times New Roman"/>
          <w:b/>
          <w:bCs/>
          <w:szCs w:val="24"/>
          <w:lang w:val="fr-FR" w:eastAsia="en-GB"/>
        </w:rPr>
        <w:t>paragraphes 6 et 7</w:t>
      </w:r>
      <w:r w:rsidRPr="00B44794">
        <w:rPr>
          <w:rFonts w:eastAsia="Times New Roman" w:cs="Times New Roman"/>
          <w:szCs w:val="24"/>
          <w:lang w:val="fr-FR" w:eastAsia="en-GB"/>
        </w:rPr>
        <w:t>, la Commission souhaite insister sur le fait qu’au stade actuel des procédures respectives, il n’y a pas de raisons manifestes de penser que les approbations du chlorotoluron et du difénoconazole ne puissent pas être renouvelées. Il en va différemment pour d’autres substances, par exemple le chlorpyrifos ou le chlorpyriphos-méthyl, pour lesquelles il est apparu clairement, au cours de l’examen par les pairs du projet d’évaluation présenté par l’État membre rapporteur, que les critères d’approbation n’étaient plus remplis. En conséquence, la Commission n’a pas renouvelé l’approbation de ces deux substances plutôt que d’étendre les approbations existantes pour mener à bien l’évaluation complète.</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 xml:space="preserve">Quant aux </w:t>
      </w:r>
      <w:r w:rsidRPr="00B44794">
        <w:rPr>
          <w:rFonts w:eastAsia="Times New Roman" w:cs="Times New Roman"/>
          <w:b/>
          <w:bCs/>
          <w:szCs w:val="24"/>
          <w:lang w:val="fr-FR" w:eastAsia="en-GB"/>
        </w:rPr>
        <w:t>paragraphes 3 et 8</w:t>
      </w:r>
      <w:r w:rsidRPr="00B44794">
        <w:rPr>
          <w:rFonts w:eastAsia="Times New Roman" w:cs="Times New Roman"/>
          <w:szCs w:val="24"/>
          <w:lang w:val="fr-FR" w:eastAsia="en-GB"/>
        </w:rPr>
        <w:t>, la Commission partage le point de vue du Parlement européen selon lequel les États membres devraient présenter leurs rapports d’évaluation en temps utile.</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 xml:space="preserve">Elle regrette que l’article 17 doive être appliqué régulièrement en raison de retards considérables dans l’achèvement des processus de renouvellement des substances actives. Les écarts par rapport aux délais du processus de renouvellement se produisent pour diverses raisons non liées au demandeur. Les retards peuvent être dus à la complexité de l’évaluation ou à la nécessité d’approfondir des aspects spécifiques de l’évaluation des risques, comme l’évaluation des propriétés perturbant le système endocrinien selon les nouveaux critères ou </w:t>
      </w:r>
      <w:r w:rsidRPr="00B44794">
        <w:rPr>
          <w:rFonts w:eastAsia="Times New Roman" w:cs="Times New Roman"/>
          <w:szCs w:val="24"/>
          <w:lang w:val="fr-FR" w:eastAsia="en-GB"/>
        </w:rPr>
        <w:lastRenderedPageBreak/>
        <w:t xml:space="preserve">l’évaluation des possibilités de dérogation aux critères d’exclusion. La Commission note en outre que, conformément à l’article 13, paragraphe 3 </w:t>
      </w:r>
      <w:r w:rsidRPr="00B44794">
        <w:rPr>
          <w:rFonts w:eastAsia="Times New Roman" w:cs="Times New Roman"/>
          <w:i/>
          <w:iCs/>
          <w:szCs w:val="24"/>
          <w:lang w:val="fr-FR" w:eastAsia="en-GB"/>
        </w:rPr>
        <w:t>bis</w:t>
      </w:r>
      <w:r w:rsidRPr="00B44794">
        <w:rPr>
          <w:rFonts w:eastAsia="Times New Roman" w:cs="Times New Roman"/>
          <w:szCs w:val="24"/>
          <w:lang w:val="fr-FR" w:eastAsia="en-GB"/>
        </w:rPr>
        <w:t>, du règlement (UE) n° 844/2012, il existe une obligation légale pour les procédures de renouvellement qui ont débuté avant l’adoption des critères scientifiques d’identification des propriétés perturbant le système endocrinien énoncés dans le règlement (UE) 2018/605, afin de donner aux demandeurs la possibilité de produire les données nécessaires pour vérifier si les critères sont remplis ou non. Même si cela nécessite un délai supplémentaire, il garantit une évaluation plus rapide des propriétés perturbant le système endocrinien pour les substances concernées qu’en attendant le prochain renouvellement.</w:t>
      </w:r>
    </w:p>
    <w:p w:rsidR="00B44794" w:rsidRPr="00B44794" w:rsidRDefault="00B44794" w:rsidP="00B44794">
      <w:pPr>
        <w:widowControl w:val="0"/>
        <w:spacing w:after="120" w:line="240" w:lineRule="auto"/>
        <w:jc w:val="both"/>
        <w:rPr>
          <w:rFonts w:eastAsia="Times New Roman" w:cs="Times New Roman"/>
          <w:szCs w:val="24"/>
          <w:lang w:val="fr-FR" w:eastAsia="en-GB"/>
        </w:rPr>
      </w:pPr>
      <w:r w:rsidRPr="00B44794">
        <w:rPr>
          <w:rFonts w:eastAsia="Times New Roman" w:cs="Times New Roman"/>
          <w:szCs w:val="24"/>
          <w:lang w:val="fr-FR" w:eastAsia="en-GB"/>
        </w:rPr>
        <w:t>La prolongation proposée est limitée au minimum, c’est-à-dire à la période suffisante pour achever l’évaluation. C’est également la raison pour laquelle la Commission, dans sa décision de prolongation, opte pour une prolongation pour une période limitée (qui sera à nouveau prolongée si nécessaire), plutôt que pour une période de prolongation unique et plus longue. En outre, un considérant type dans les règlements de prolongation précise que la période de prolongation sera annulée si des règlements de non-renouvellement sont adoptés pendant la période d’approbation prolongée en cours.</w:t>
      </w:r>
    </w:p>
    <w:p w:rsidR="00F36993" w:rsidRPr="00B44794" w:rsidRDefault="00F36993">
      <w:pPr>
        <w:rPr>
          <w:lang w:val="fr-FR"/>
        </w:rPr>
      </w:pPr>
    </w:p>
    <w:sectPr w:rsidR="00F36993" w:rsidRPr="00B44794" w:rsidSect="005D60A2">
      <w:headerReference w:type="even" r:id="rId5"/>
      <w:headerReference w:type="default" r:id="rId6"/>
      <w:footerReference w:type="even" r:id="rId7"/>
      <w:footerReference w:type="default" r:id="rId8"/>
      <w:headerReference w:type="first" r:id="rId9"/>
      <w:footerReference w:type="first" r:id="rId10"/>
      <w:footnotePr>
        <w:numRestart w:val="eachSect"/>
      </w:footnotePr>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E" w:rsidRDefault="00B44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148665"/>
      <w:docPartObj>
        <w:docPartGallery w:val="Page Numbers (Bottom of Page)"/>
        <w:docPartUnique/>
      </w:docPartObj>
    </w:sdtPr>
    <w:sdtEndPr>
      <w:rPr>
        <w:noProof/>
        <w:sz w:val="18"/>
      </w:rPr>
    </w:sdtEndPr>
    <w:sdtContent>
      <w:p w:rsidR="005D60A2" w:rsidRPr="00807B13" w:rsidRDefault="00B44794">
        <w:pPr>
          <w:pStyle w:val="Footer"/>
          <w:jc w:val="center"/>
          <w:rPr>
            <w:sz w:val="18"/>
          </w:rPr>
        </w:pPr>
        <w:r>
          <w:rPr>
            <w:sz w:val="18"/>
          </w:rPr>
          <w:fldChar w:fldCharType="begin"/>
        </w:r>
        <w:r>
          <w:rPr>
            <w:sz w:val="18"/>
          </w:rPr>
          <w:instrText xml:space="preserve"> PAGE   \* MERGEFORMAT </w:instrText>
        </w:r>
        <w:r>
          <w:rPr>
            <w:sz w:val="18"/>
          </w:rPr>
          <w:fldChar w:fldCharType="separate"/>
        </w:r>
        <w:r>
          <w:rPr>
            <w:noProof/>
            <w:sz w:val="18"/>
          </w:rPr>
          <w:t>4</w:t>
        </w:r>
        <w:r>
          <w:rPr>
            <w:sz w:val="18"/>
          </w:rPr>
          <w:fldChar w:fldCharType="end"/>
        </w:r>
      </w:p>
    </w:sdtContent>
  </w:sdt>
  <w:p w:rsidR="005D60A2" w:rsidRDefault="00B44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E" w:rsidRDefault="00B4479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E" w:rsidRDefault="00B44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E" w:rsidRDefault="00B44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3CE" w:rsidRDefault="00B44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C0298"/>
    <w:multiLevelType w:val="hybridMultilevel"/>
    <w:tmpl w:val="7494E44A"/>
    <w:lvl w:ilvl="0" w:tplc="3C4813B0">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revisionView w:inkAnnotations="0"/>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94"/>
    <w:rsid w:val="000F15F1"/>
    <w:rsid w:val="001E37D4"/>
    <w:rsid w:val="00512EE8"/>
    <w:rsid w:val="0065281F"/>
    <w:rsid w:val="0076069D"/>
    <w:rsid w:val="00815B75"/>
    <w:rsid w:val="008342CE"/>
    <w:rsid w:val="0095347B"/>
    <w:rsid w:val="00B44794"/>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2971D-4832-4D3C-B190-1EA536B2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794"/>
    <w:pPr>
      <w:tabs>
        <w:tab w:val="center" w:pos="4680"/>
        <w:tab w:val="right" w:pos="9360"/>
      </w:tabs>
      <w:spacing w:after="0" w:line="240" w:lineRule="auto"/>
      <w:jc w:val="both"/>
    </w:pPr>
    <w:rPr>
      <w:rFonts w:ascii="Courier New" w:eastAsia="Times New Roman" w:hAnsi="Courier New" w:cs="Times New Roman"/>
      <w:szCs w:val="20"/>
      <w:lang w:val="fr-FR" w:eastAsia="en-GB"/>
    </w:rPr>
  </w:style>
  <w:style w:type="character" w:customStyle="1" w:styleId="HeaderChar">
    <w:name w:val="Header Char"/>
    <w:basedOn w:val="DefaultParagraphFont"/>
    <w:link w:val="Header"/>
    <w:uiPriority w:val="99"/>
    <w:rsid w:val="00B44794"/>
    <w:rPr>
      <w:rFonts w:ascii="Courier New" w:eastAsia="Times New Roman" w:hAnsi="Courier New" w:cs="Times New Roman"/>
      <w:szCs w:val="20"/>
      <w:lang w:val="fr-FR" w:eastAsia="en-GB"/>
    </w:rPr>
  </w:style>
  <w:style w:type="paragraph" w:styleId="Footer">
    <w:name w:val="footer"/>
    <w:basedOn w:val="Normal"/>
    <w:link w:val="FooterChar"/>
    <w:uiPriority w:val="99"/>
    <w:unhideWhenUsed/>
    <w:rsid w:val="00B44794"/>
    <w:pPr>
      <w:tabs>
        <w:tab w:val="center" w:pos="4680"/>
        <w:tab w:val="right" w:pos="9360"/>
      </w:tabs>
      <w:spacing w:after="0" w:line="240" w:lineRule="auto"/>
      <w:jc w:val="both"/>
    </w:pPr>
    <w:rPr>
      <w:rFonts w:ascii="Courier New" w:eastAsia="Times New Roman" w:hAnsi="Courier New" w:cs="Times New Roman"/>
      <w:szCs w:val="20"/>
      <w:lang w:val="fr-FR" w:eastAsia="en-GB"/>
    </w:rPr>
  </w:style>
  <w:style w:type="character" w:customStyle="1" w:styleId="FooterChar">
    <w:name w:val="Footer Char"/>
    <w:basedOn w:val="DefaultParagraphFont"/>
    <w:link w:val="Footer"/>
    <w:uiPriority w:val="99"/>
    <w:rsid w:val="00B44794"/>
    <w:rPr>
      <w:rFonts w:ascii="Courier New" w:eastAsia="Times New Roman" w:hAnsi="Courier New" w:cs="Times New Roman"/>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10844</Characters>
  <Application>Microsoft Office Word</Application>
  <DocSecurity>0</DocSecurity>
  <Lines>154</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2022-01-31T13:12:00Z</dcterms:created>
  <dcterms:modified xsi:type="dcterms:W3CDTF">2022-01-31T13:13:00Z</dcterms:modified>
</cp:coreProperties>
</file>