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788" w:rsidRPr="00BF1788" w:rsidRDefault="00BF1788" w:rsidP="00BF1788">
      <w:pPr>
        <w:spacing w:after="600" w:line="240" w:lineRule="auto"/>
        <w:jc w:val="center"/>
        <w:rPr>
          <w:rFonts w:eastAsia="Times New Roman" w:cs="Times New Roman"/>
          <w:b/>
          <w:bCs/>
          <w:szCs w:val="24"/>
          <w:lang w:val="fr-FR" w:eastAsia="en-GB"/>
        </w:rPr>
      </w:pPr>
      <w:bookmarkStart w:id="0" w:name="GreenlandDenmark"/>
      <w:r w:rsidRPr="00BF1788">
        <w:rPr>
          <w:rFonts w:eastAsia="Times New Roman" w:cs="Times New Roman"/>
          <w:b/>
          <w:szCs w:val="24"/>
          <w:lang w:val="fr-FR" w:eastAsia="en-GB"/>
        </w:rPr>
        <w:t xml:space="preserve">Suite donnée à la résolution non législative du Parlement européen </w:t>
      </w:r>
      <w:bookmarkEnd w:id="0"/>
      <w:r w:rsidRPr="00BF1788">
        <w:rPr>
          <w:rFonts w:eastAsia="Times New Roman" w:cs="Times New Roman"/>
          <w:b/>
          <w:bCs/>
          <w:szCs w:val="24"/>
          <w:lang w:val="fr-FR" w:eastAsia="en-GB"/>
        </w:rPr>
        <w:t xml:space="preserve">sur le projet </w:t>
      </w:r>
      <w:r>
        <w:rPr>
          <w:rFonts w:eastAsia="Times New Roman" w:cs="Times New Roman"/>
          <w:b/>
          <w:bCs/>
          <w:szCs w:val="24"/>
          <w:lang w:val="fr-FR" w:eastAsia="en-GB"/>
        </w:rPr>
        <w:br/>
      </w:r>
      <w:r w:rsidRPr="00BF1788">
        <w:rPr>
          <w:rFonts w:eastAsia="Times New Roman" w:cs="Times New Roman"/>
          <w:b/>
          <w:bCs/>
          <w:szCs w:val="24"/>
          <w:lang w:val="fr-FR" w:eastAsia="en-GB"/>
        </w:rPr>
        <w:t xml:space="preserve">de décision du Conseil relative à la conclusion, au nom de l’Union, de l’accord de partenariat dans le domaine de la pêche durable entre l’Union européenne, d’une part, et le gouvernement du Groenland et le gouvernement du Danemark, d’autre part, </w:t>
      </w:r>
      <w:r>
        <w:rPr>
          <w:rFonts w:eastAsia="Times New Roman" w:cs="Times New Roman"/>
          <w:b/>
          <w:bCs/>
          <w:szCs w:val="24"/>
          <w:lang w:val="fr-FR" w:eastAsia="en-GB"/>
        </w:rPr>
        <w:br/>
      </w:r>
      <w:r w:rsidRPr="00BF1788">
        <w:rPr>
          <w:rFonts w:eastAsia="Times New Roman" w:cs="Times New Roman"/>
          <w:b/>
          <w:bCs/>
          <w:szCs w:val="24"/>
          <w:lang w:val="fr-FR" w:eastAsia="en-GB"/>
        </w:rPr>
        <w:t>ainsi que de son protocole de mise en œuvre</w:t>
      </w:r>
    </w:p>
    <w:p w:rsidR="00BF1788" w:rsidRPr="00BF1788" w:rsidRDefault="00BF1788" w:rsidP="00BF1788">
      <w:pPr>
        <w:spacing w:after="240" w:line="240" w:lineRule="auto"/>
        <w:jc w:val="both"/>
        <w:rPr>
          <w:rFonts w:eastAsia="Times New Roman" w:cs="Times New Roman"/>
          <w:i/>
          <w:szCs w:val="24"/>
          <w:lang w:val="fr-FR" w:eastAsia="en-GB"/>
        </w:rPr>
      </w:pPr>
      <w:r w:rsidRPr="00BF1788">
        <w:rPr>
          <w:rFonts w:eastAsia="Times New Roman" w:cs="Times New Roman"/>
          <w:b/>
          <w:szCs w:val="24"/>
          <w:lang w:val="fr-FR" w:eastAsia="en-GB"/>
        </w:rPr>
        <w:t>1.</w:t>
      </w:r>
      <w:r w:rsidRPr="00BF1788">
        <w:rPr>
          <w:rFonts w:ascii="Courier New" w:eastAsia="Times New Roman" w:hAnsi="Courier New" w:cs="Times New Roman"/>
          <w:szCs w:val="20"/>
          <w:lang w:val="fr-FR" w:eastAsia="en-GB"/>
        </w:rPr>
        <w:tab/>
      </w:r>
      <w:r w:rsidRPr="00BF1788">
        <w:rPr>
          <w:rFonts w:eastAsia="Times New Roman" w:cs="Times New Roman"/>
          <w:b/>
          <w:szCs w:val="24"/>
          <w:lang w:val="fr-FR" w:eastAsia="en-GB"/>
        </w:rPr>
        <w:t>Rapporteur:</w:t>
      </w:r>
      <w:r w:rsidRPr="00BF1788">
        <w:rPr>
          <w:rFonts w:eastAsia="Times New Roman" w:cs="Times New Roman"/>
          <w:szCs w:val="24"/>
          <w:lang w:val="fr-FR" w:eastAsia="en-GB"/>
        </w:rPr>
        <w:t xml:space="preserve"> </w:t>
      </w:r>
      <w:r w:rsidRPr="00BF1788">
        <w:rPr>
          <w:rFonts w:eastAsia="Times New Roman" w:cs="Times New Roman"/>
          <w:szCs w:val="20"/>
          <w:lang w:val="fr-FR" w:eastAsia="en-GB"/>
        </w:rPr>
        <w:t xml:space="preserve">Pierre KARLESKIND </w:t>
      </w:r>
      <w:r w:rsidRPr="00BF1788">
        <w:rPr>
          <w:rFonts w:eastAsia="Times New Roman" w:cs="Times New Roman"/>
          <w:szCs w:val="24"/>
          <w:lang w:val="fr-FR" w:eastAsia="en-GB"/>
        </w:rPr>
        <w:t>(Renew / FR)</w:t>
      </w:r>
    </w:p>
    <w:p w:rsidR="00BF1788" w:rsidRPr="00BF1788" w:rsidRDefault="00BF1788" w:rsidP="00BF1788">
      <w:pPr>
        <w:spacing w:after="240" w:line="240" w:lineRule="auto"/>
        <w:jc w:val="both"/>
        <w:rPr>
          <w:rFonts w:eastAsia="Times New Roman" w:cs="Times New Roman"/>
          <w:i/>
          <w:szCs w:val="24"/>
          <w:lang w:val="fr-FR" w:eastAsia="en-GB"/>
        </w:rPr>
      </w:pPr>
      <w:r w:rsidRPr="00BF1788">
        <w:rPr>
          <w:rFonts w:eastAsia="Times New Roman" w:cs="Times New Roman"/>
          <w:b/>
          <w:szCs w:val="24"/>
          <w:lang w:val="fr-FR" w:eastAsia="en-GB"/>
        </w:rPr>
        <w:t>2.</w:t>
      </w:r>
      <w:r w:rsidRPr="00BF1788">
        <w:rPr>
          <w:rFonts w:ascii="Courier New" w:eastAsia="Times New Roman" w:hAnsi="Courier New" w:cs="Times New Roman"/>
          <w:szCs w:val="20"/>
          <w:lang w:val="fr-FR" w:eastAsia="en-GB"/>
        </w:rPr>
        <w:tab/>
      </w:r>
      <w:r w:rsidRPr="00BF1788">
        <w:rPr>
          <w:rFonts w:eastAsia="Times New Roman" w:cs="Times New Roman"/>
          <w:b/>
          <w:szCs w:val="24"/>
          <w:lang w:val="fr-FR" w:eastAsia="en-GB"/>
        </w:rPr>
        <w:t xml:space="preserve">Numéro de référence: </w:t>
      </w:r>
      <w:r w:rsidRPr="00BF1788">
        <w:rPr>
          <w:rFonts w:eastAsia="Times New Roman" w:cs="Times New Roman"/>
          <w:szCs w:val="20"/>
          <w:lang w:val="fr-FR" w:eastAsia="en-GB"/>
        </w:rPr>
        <w:t xml:space="preserve">2021/0037M (NLE) </w:t>
      </w:r>
      <w:bookmarkStart w:id="1" w:name="_GoBack"/>
      <w:bookmarkEnd w:id="1"/>
      <w:r w:rsidRPr="00BF1788">
        <w:rPr>
          <w:rFonts w:eastAsia="Times New Roman" w:cs="Times New Roman"/>
          <w:szCs w:val="20"/>
          <w:lang w:val="fr-FR" w:eastAsia="en-GB"/>
        </w:rPr>
        <w:t>/ A9-0235/2021 / P9_TA PROV(2021)0400</w:t>
      </w:r>
    </w:p>
    <w:p w:rsidR="00BF1788" w:rsidRPr="00BF1788" w:rsidRDefault="00BF1788" w:rsidP="00BF1788">
      <w:pPr>
        <w:spacing w:after="240" w:line="240" w:lineRule="auto"/>
        <w:jc w:val="both"/>
        <w:rPr>
          <w:rFonts w:eastAsia="Times New Roman" w:cs="Times New Roman"/>
          <w:szCs w:val="24"/>
          <w:lang w:val="fr-FR" w:eastAsia="en-GB"/>
        </w:rPr>
      </w:pPr>
      <w:r w:rsidRPr="00BF1788">
        <w:rPr>
          <w:rFonts w:eastAsia="Times New Roman" w:cs="Times New Roman"/>
          <w:b/>
          <w:szCs w:val="24"/>
          <w:lang w:val="fr-FR" w:eastAsia="en-GB"/>
        </w:rPr>
        <w:t>3.</w:t>
      </w:r>
      <w:r w:rsidRPr="00BF1788">
        <w:rPr>
          <w:rFonts w:ascii="Courier New" w:eastAsia="Times New Roman" w:hAnsi="Courier New" w:cs="Times New Roman"/>
          <w:szCs w:val="20"/>
          <w:lang w:val="fr-FR" w:eastAsia="en-GB"/>
        </w:rPr>
        <w:tab/>
      </w:r>
      <w:r w:rsidRPr="00BF1788">
        <w:rPr>
          <w:rFonts w:eastAsia="Times New Roman" w:cs="Times New Roman"/>
          <w:b/>
          <w:szCs w:val="24"/>
          <w:lang w:val="fr-FR" w:eastAsia="en-GB"/>
        </w:rPr>
        <w:t>Date d'adoption de la résolution:</w:t>
      </w:r>
      <w:r w:rsidRPr="00BF1788">
        <w:rPr>
          <w:rFonts w:eastAsia="Times New Roman" w:cs="Times New Roman"/>
          <w:szCs w:val="24"/>
          <w:lang w:val="fr-FR" w:eastAsia="en-GB"/>
        </w:rPr>
        <w:t xml:space="preserve"> 5 octobre 2021</w:t>
      </w:r>
    </w:p>
    <w:p w:rsidR="00BF1788" w:rsidRPr="00BF1788" w:rsidRDefault="00BF1788" w:rsidP="00BF1788">
      <w:pPr>
        <w:spacing w:after="240" w:line="240" w:lineRule="auto"/>
        <w:jc w:val="both"/>
        <w:rPr>
          <w:rFonts w:eastAsia="Times New Roman" w:cs="Times New Roman"/>
          <w:szCs w:val="24"/>
          <w:lang w:val="fr-FR" w:eastAsia="en-GB"/>
        </w:rPr>
      </w:pPr>
      <w:r w:rsidRPr="00BF1788">
        <w:rPr>
          <w:rFonts w:eastAsia="Times New Roman" w:cs="Times New Roman"/>
          <w:b/>
          <w:szCs w:val="24"/>
          <w:lang w:val="fr-FR" w:eastAsia="en-GB"/>
        </w:rPr>
        <w:t>4.</w:t>
      </w:r>
      <w:r w:rsidRPr="00BF1788">
        <w:rPr>
          <w:rFonts w:ascii="Courier New" w:eastAsia="Times New Roman" w:hAnsi="Courier New" w:cs="Times New Roman"/>
          <w:szCs w:val="20"/>
          <w:lang w:val="fr-FR" w:eastAsia="en-GB"/>
        </w:rPr>
        <w:tab/>
      </w:r>
      <w:r w:rsidRPr="00BF1788">
        <w:rPr>
          <w:rFonts w:eastAsia="Times New Roman" w:cs="Times New Roman"/>
          <w:b/>
          <w:szCs w:val="24"/>
          <w:lang w:val="fr-FR" w:eastAsia="en-GB"/>
        </w:rPr>
        <w:t xml:space="preserve">Commission parlementaire compétente: </w:t>
      </w:r>
      <w:r w:rsidRPr="00BF1788">
        <w:rPr>
          <w:rFonts w:eastAsia="Times New Roman" w:cs="Times New Roman"/>
          <w:szCs w:val="24"/>
          <w:lang w:val="fr-FR" w:eastAsia="en-GB"/>
        </w:rPr>
        <w:t>commission de la pêche (PECH)</w:t>
      </w:r>
    </w:p>
    <w:p w:rsidR="00BF1788" w:rsidRPr="00BF1788" w:rsidRDefault="00BF1788" w:rsidP="00BF1788">
      <w:pPr>
        <w:widowControl w:val="0"/>
        <w:spacing w:after="240" w:line="240" w:lineRule="auto"/>
        <w:jc w:val="both"/>
        <w:rPr>
          <w:rFonts w:eastAsia="Times New Roman" w:cs="Times New Roman"/>
          <w:b/>
          <w:szCs w:val="24"/>
          <w:lang w:val="fr-FR" w:eastAsia="en-GB"/>
        </w:rPr>
      </w:pPr>
      <w:r w:rsidRPr="00BF1788">
        <w:rPr>
          <w:rFonts w:eastAsia="Times New Roman" w:cs="Times New Roman"/>
          <w:b/>
          <w:szCs w:val="24"/>
          <w:lang w:val="fr-FR" w:eastAsia="en-GB"/>
        </w:rPr>
        <w:t>5.</w:t>
      </w:r>
      <w:r w:rsidRPr="00BF1788">
        <w:rPr>
          <w:rFonts w:ascii="Courier New" w:eastAsia="Times New Roman" w:hAnsi="Courier New" w:cs="Times New Roman"/>
          <w:szCs w:val="20"/>
          <w:lang w:val="fr-FR" w:eastAsia="en-GB"/>
        </w:rPr>
        <w:tab/>
      </w:r>
      <w:r w:rsidRPr="00BF1788">
        <w:rPr>
          <w:rFonts w:eastAsia="Times New Roman" w:cs="Times New Roman"/>
          <w:b/>
          <w:szCs w:val="24"/>
          <w:lang w:val="fr-FR" w:eastAsia="en-GB"/>
        </w:rPr>
        <w:t xml:space="preserve">Analyse/évaluation succincte de la résolution et des demandes qu’elle contient: </w:t>
      </w:r>
    </w:p>
    <w:p w:rsidR="00BF1788" w:rsidRPr="00BF1788" w:rsidRDefault="00BF1788" w:rsidP="00BF1788">
      <w:pPr>
        <w:widowControl w:val="0"/>
        <w:suppressAutoHyphens/>
        <w:spacing w:after="120" w:line="240" w:lineRule="auto"/>
        <w:jc w:val="both"/>
        <w:rPr>
          <w:rFonts w:eastAsia="Times New Roman" w:cs="Times New Roman"/>
          <w:szCs w:val="24"/>
          <w:lang w:val="fr-FR" w:eastAsia="en-GB"/>
        </w:rPr>
      </w:pPr>
      <w:r w:rsidRPr="00BF1788">
        <w:rPr>
          <w:rFonts w:eastAsia="Times New Roman" w:cs="Times New Roman"/>
          <w:szCs w:val="24"/>
          <w:lang w:val="fr-FR" w:eastAsia="en-GB"/>
        </w:rPr>
        <w:t>La résolution analyse l’accord de partenariat dans le domaine de la pêche durable (APPD) entre l’Union européenne, d’une part, et le Groenland, et son protocole de mise en œuvre, ainsi que les précédents accord et protocole en la matière. La résolution procède à une analyse factuelle du précédent accord en mettant notamment l’accent sur les bénéfices qu’il a apporté aux deux parties, mais aussi sur l’établissement de quotas de pêche qui ont dépassé les recommandations scientifiques; de même que sur l’absence d’informations scientifiques. À la lumière de l’accord de pêche nouvellement renégocié, signé le 22 avril 2021, la résolution passe en revue les principaux éléments du processus de négociation, ainsi que le contenu du nouvel accord et de son protocole de mise en œuvre, notamment la durée de l’accord, les espèces en relevant et l’enveloppe financière globale.</w:t>
      </w:r>
    </w:p>
    <w:p w:rsidR="00BF1788" w:rsidRPr="00BF1788" w:rsidRDefault="00BF1788" w:rsidP="00BF1788">
      <w:pPr>
        <w:widowControl w:val="0"/>
        <w:spacing w:after="120" w:line="240" w:lineRule="auto"/>
        <w:jc w:val="both"/>
        <w:rPr>
          <w:rFonts w:eastAsia="Times New Roman" w:cs="Times New Roman"/>
          <w:b/>
          <w:szCs w:val="24"/>
          <w:lang w:val="fr-FR" w:eastAsia="en-GB"/>
        </w:rPr>
      </w:pPr>
      <w:r w:rsidRPr="00BF1788">
        <w:rPr>
          <w:rFonts w:eastAsia="Times New Roman" w:cs="Times New Roman"/>
          <w:szCs w:val="24"/>
          <w:lang w:val="fr-FR" w:eastAsia="en-GB"/>
        </w:rPr>
        <w:t>La résolution invite également la Commission à agir dans les différents domaines suivants: collecte de données, aspects scientifiques, possibilités de pêche, durabilité, durée de l’accord et aspects internationaux.</w:t>
      </w:r>
    </w:p>
    <w:p w:rsidR="00BF1788" w:rsidRPr="00BF1788" w:rsidRDefault="00BF1788" w:rsidP="00BF1788">
      <w:pPr>
        <w:widowControl w:val="0"/>
        <w:spacing w:after="240" w:line="240" w:lineRule="auto"/>
        <w:ind w:left="720" w:hanging="720"/>
        <w:jc w:val="both"/>
        <w:rPr>
          <w:rFonts w:eastAsia="Times New Roman" w:cs="Times New Roman"/>
          <w:b/>
          <w:szCs w:val="24"/>
          <w:lang w:val="fr-FR" w:eastAsia="en-GB"/>
        </w:rPr>
      </w:pPr>
      <w:r w:rsidRPr="00BF1788">
        <w:rPr>
          <w:rFonts w:eastAsia="Times New Roman" w:cs="Times New Roman"/>
          <w:b/>
          <w:szCs w:val="24"/>
          <w:lang w:val="fr-FR" w:eastAsia="en-GB"/>
        </w:rPr>
        <w:t>6.</w:t>
      </w:r>
      <w:r w:rsidRPr="00BF1788">
        <w:rPr>
          <w:rFonts w:ascii="Courier New" w:eastAsia="Times New Roman" w:hAnsi="Courier New" w:cs="Times New Roman"/>
          <w:szCs w:val="20"/>
          <w:lang w:val="fr-FR" w:eastAsia="en-GB"/>
        </w:rPr>
        <w:tab/>
      </w:r>
      <w:r w:rsidRPr="00BF1788">
        <w:rPr>
          <w:rFonts w:eastAsia="Times New Roman" w:cs="Times New Roman"/>
          <w:b/>
          <w:szCs w:val="24"/>
          <w:lang w:val="fr-FR" w:eastAsia="en-GB"/>
        </w:rPr>
        <w:t>Réponse à ces demandes et aperçu des mesures que la Commission a prises ou envisage de prendre:</w:t>
      </w:r>
    </w:p>
    <w:p w:rsidR="00BF1788" w:rsidRPr="00BF1788" w:rsidRDefault="00BF1788" w:rsidP="00BF1788">
      <w:pPr>
        <w:widowControl w:val="0"/>
        <w:spacing w:after="120" w:line="240" w:lineRule="auto"/>
        <w:jc w:val="both"/>
        <w:rPr>
          <w:rFonts w:eastAsia="Times New Roman" w:cs="Times New Roman"/>
          <w:szCs w:val="20"/>
          <w:lang w:val="fr-FR" w:eastAsia="en-GB"/>
        </w:rPr>
      </w:pPr>
      <w:r w:rsidRPr="00BF1788">
        <w:rPr>
          <w:rFonts w:eastAsia="Times New Roman" w:cs="Times New Roman"/>
          <w:color w:val="000000"/>
          <w:szCs w:val="24"/>
          <w:lang w:val="fr-FR" w:eastAsia="en-GB"/>
        </w:rPr>
        <w:t xml:space="preserve">La Commission se félicite de cette résolution, </w:t>
      </w:r>
      <w:r w:rsidRPr="00BF1788">
        <w:rPr>
          <w:rFonts w:eastAsia="Times New Roman" w:cs="Times New Roman"/>
          <w:szCs w:val="20"/>
          <w:lang w:val="fr-FR" w:eastAsia="en-GB"/>
        </w:rPr>
        <w:t>de son analyse approfondie de l’accord en cours, ainsi que de ses conclusions et recommandations.</w:t>
      </w:r>
    </w:p>
    <w:p w:rsidR="00BF1788" w:rsidRPr="00BF1788" w:rsidRDefault="00BF1788" w:rsidP="00BF1788">
      <w:pPr>
        <w:widowControl w:val="0"/>
        <w:spacing w:after="120" w:line="240" w:lineRule="auto"/>
        <w:jc w:val="both"/>
        <w:rPr>
          <w:rFonts w:eastAsia="Times New Roman" w:cs="Times New Roman"/>
          <w:szCs w:val="20"/>
          <w:lang w:val="fr-FR" w:eastAsia="en-GB"/>
        </w:rPr>
      </w:pPr>
      <w:r w:rsidRPr="00BF1788">
        <w:rPr>
          <w:rFonts w:eastAsia="Times New Roman" w:cs="Times New Roman"/>
          <w:szCs w:val="20"/>
          <w:lang w:val="fr-FR" w:eastAsia="en-GB"/>
        </w:rPr>
        <w:t>En ce qui concerne le fait d’</w:t>
      </w:r>
      <w:r w:rsidRPr="00BF1788">
        <w:rPr>
          <w:rFonts w:eastAsia="Times New Roman" w:cs="Times New Roman"/>
          <w:szCs w:val="20"/>
          <w:u w:val="single"/>
          <w:lang w:val="fr-FR" w:eastAsia="en-GB"/>
        </w:rPr>
        <w:t>informer le Parlement européen en permanence</w:t>
      </w:r>
      <w:r w:rsidRPr="00BF1788">
        <w:rPr>
          <w:rFonts w:eastAsia="Times New Roman" w:cs="Times New Roman"/>
          <w:szCs w:val="20"/>
          <w:lang w:val="fr-FR" w:eastAsia="en-GB"/>
        </w:rPr>
        <w:t xml:space="preserve"> [paragraphe 16, point a)], la Commission communiquera au Parlement européen en temps utile le compte rendu des réunions conjointes de commissions tenues régulièrement (en avril/mai sur la mise en œuvre du programme de soutien sectoriel et en novembre sur l’adoption des quotas de pêche pour l’année suivante). Telle est la pratique constante pour l’ensemble des APPD. La Commission communiquera aussi au Parlement européen le compte rendu de toute réunion conjointe de commissions extraordinaire convoquée pour examiner d’éventuelles questions particulières relatives à la mise en œuvre de l’accord.</w:t>
      </w:r>
    </w:p>
    <w:p w:rsidR="00BF1788" w:rsidRPr="00BF1788" w:rsidRDefault="00BF1788" w:rsidP="00BF1788">
      <w:pPr>
        <w:widowControl w:val="0"/>
        <w:spacing w:after="120" w:line="240" w:lineRule="auto"/>
        <w:jc w:val="both"/>
        <w:rPr>
          <w:rFonts w:eastAsia="Times New Roman" w:cs="Times New Roman"/>
          <w:szCs w:val="20"/>
          <w:lang w:val="fr-FR" w:eastAsia="en-GB"/>
        </w:rPr>
      </w:pPr>
      <w:r w:rsidRPr="00BF1788">
        <w:rPr>
          <w:rFonts w:eastAsia="Times New Roman" w:cs="Times New Roman"/>
          <w:szCs w:val="20"/>
          <w:lang w:val="fr-FR" w:eastAsia="en-GB"/>
        </w:rPr>
        <w:t xml:space="preserve">En ce qui concerne </w:t>
      </w:r>
      <w:r w:rsidRPr="00BF1788">
        <w:rPr>
          <w:rFonts w:eastAsia="Times New Roman" w:cs="Times New Roman"/>
          <w:szCs w:val="20"/>
          <w:u w:val="single"/>
          <w:lang w:val="fr-FR" w:eastAsia="en-GB"/>
        </w:rPr>
        <w:t>la collecte de données et les aspects scientifiques</w:t>
      </w:r>
      <w:r w:rsidRPr="00BF1788">
        <w:rPr>
          <w:rFonts w:eastAsia="Times New Roman" w:cs="Times New Roman"/>
          <w:szCs w:val="20"/>
          <w:lang w:val="fr-FR" w:eastAsia="en-GB"/>
        </w:rPr>
        <w:t xml:space="preserve"> [paragraphe 16, points d) et e)], la Commission et le Groenland ont adopté, à l’occasion de la réunion conjointe de commissions, les 7 et 8 juin 2021, le programme de politique sectorielle 2021-2024. Au titre de l’axe n° 3 «Recherche et avis scientifiques sur l'état du stock» du programme de politique sectorielle, une feuille de route a été établie pour améliorer la collecte de données et </w:t>
      </w:r>
      <w:r w:rsidRPr="00BF1788">
        <w:rPr>
          <w:rFonts w:eastAsia="Times New Roman" w:cs="Times New Roman"/>
          <w:szCs w:val="20"/>
          <w:lang w:val="fr-FR" w:eastAsia="en-GB"/>
        </w:rPr>
        <w:lastRenderedPageBreak/>
        <w:t>l’estimation des excédents, en incorporant davantage de connaissances de l’utilisateur, mais aussi en renforçant l’appui à l’institut des ressources naturelles du Groenland, dans le cadre du programme de politique sectorielle.</w:t>
      </w:r>
    </w:p>
    <w:p w:rsidR="00BF1788" w:rsidRPr="00BF1788" w:rsidRDefault="00BF1788" w:rsidP="00BF1788">
      <w:pPr>
        <w:widowControl w:val="0"/>
        <w:spacing w:after="120" w:line="240" w:lineRule="auto"/>
        <w:jc w:val="both"/>
        <w:rPr>
          <w:rFonts w:eastAsia="Times New Roman" w:cs="Times New Roman"/>
          <w:i/>
          <w:szCs w:val="20"/>
          <w:lang w:val="fr-FR" w:eastAsia="en-GB"/>
        </w:rPr>
      </w:pPr>
      <w:r w:rsidRPr="00BF1788">
        <w:rPr>
          <w:rFonts w:eastAsia="Times New Roman" w:cs="Times New Roman"/>
          <w:szCs w:val="20"/>
          <w:lang w:val="fr-FR" w:eastAsia="en-GB"/>
        </w:rPr>
        <w:t>Afin d’obtenir suffisamment de données, cet institut effectuera des prospections annuelles avec ses propres navires de recherche (les nouveaux navires océanographiques TARAJOQ et R/V SANNA). Les données seront analysées et interprétées de manière à fournir la base scientifique d’une utilisation durable et continue des ressources vivantes. Tous les résultats seront publiés par l’institut des ressources naturelles du Groenland.</w:t>
      </w:r>
    </w:p>
    <w:p w:rsidR="00BF1788" w:rsidRPr="00BF1788" w:rsidRDefault="00BF1788" w:rsidP="00BF1788">
      <w:pPr>
        <w:widowControl w:val="0"/>
        <w:spacing w:after="120" w:line="240" w:lineRule="auto"/>
        <w:jc w:val="both"/>
        <w:rPr>
          <w:rFonts w:eastAsia="Times New Roman" w:cs="Times New Roman"/>
          <w:szCs w:val="20"/>
          <w:lang w:val="fr-FR" w:eastAsia="en-GB"/>
        </w:rPr>
      </w:pPr>
      <w:r w:rsidRPr="00BF1788">
        <w:rPr>
          <w:rFonts w:eastAsia="Times New Roman" w:cs="Times New Roman"/>
          <w:szCs w:val="20"/>
          <w:lang w:val="fr-FR" w:eastAsia="en-GB"/>
        </w:rPr>
        <w:t>Il y a également lieu de noter que l’UE couvrira les actions suivantes au titre de l’axe n° 3 «Recherche et avis scientifiques sur l'état du stock» (le budget alloué à chaque action est couvert</w:t>
      </w:r>
      <w:r w:rsidRPr="00BF1788">
        <w:rPr>
          <w:rFonts w:ascii="Courier New" w:eastAsia="Times New Roman" w:hAnsi="Courier New" w:cs="Times New Roman"/>
          <w:szCs w:val="20"/>
          <w:lang w:val="fr-FR" w:eastAsia="en-GB"/>
        </w:rPr>
        <w:t xml:space="preserve"> </w:t>
      </w:r>
      <w:r w:rsidRPr="00BF1788">
        <w:rPr>
          <w:rFonts w:eastAsia="Times New Roman" w:cs="Times New Roman"/>
          <w:szCs w:val="20"/>
          <w:lang w:val="fr-FR" w:eastAsia="en-GB"/>
        </w:rPr>
        <w:t>dans le cadre de l’APPD en cours sans budget supplémentaire nécessaire) au titre du programme de soutien sectoriel:</w:t>
      </w:r>
    </w:p>
    <w:p w:rsidR="00BF1788" w:rsidRPr="00BF1788" w:rsidRDefault="00BF1788" w:rsidP="00CA4FBD">
      <w:pPr>
        <w:widowControl w:val="0"/>
        <w:numPr>
          <w:ilvl w:val="0"/>
          <w:numId w:val="2"/>
        </w:numPr>
        <w:suppressAutoHyphens/>
        <w:spacing w:after="120" w:line="240" w:lineRule="auto"/>
        <w:jc w:val="both"/>
        <w:rPr>
          <w:rFonts w:eastAsia="Times New Roman" w:cs="Times New Roman"/>
          <w:szCs w:val="20"/>
          <w:lang w:val="fr-FR" w:eastAsia="en-GB"/>
        </w:rPr>
      </w:pPr>
      <w:r w:rsidRPr="00BF1788">
        <w:rPr>
          <w:rFonts w:eastAsia="Times New Roman" w:cs="Times New Roman"/>
          <w:szCs w:val="20"/>
          <w:lang w:val="fr-FR" w:eastAsia="en-GB"/>
        </w:rPr>
        <w:t>rédaction et présentation d’avis sur l'état du stock (240 200 EUR par an);</w:t>
      </w:r>
    </w:p>
    <w:p w:rsidR="00BF1788" w:rsidRPr="00BF1788" w:rsidRDefault="00BF1788" w:rsidP="00CA4FBD">
      <w:pPr>
        <w:widowControl w:val="0"/>
        <w:numPr>
          <w:ilvl w:val="0"/>
          <w:numId w:val="2"/>
        </w:numPr>
        <w:suppressAutoHyphens/>
        <w:spacing w:after="120" w:line="240" w:lineRule="auto"/>
        <w:jc w:val="both"/>
        <w:rPr>
          <w:rFonts w:eastAsia="Times New Roman" w:cs="Times New Roman"/>
          <w:szCs w:val="20"/>
          <w:lang w:val="fr-FR" w:eastAsia="en-GB"/>
        </w:rPr>
      </w:pPr>
      <w:r w:rsidRPr="00BF1788">
        <w:rPr>
          <w:rFonts w:eastAsia="Times New Roman" w:cs="Times New Roman"/>
          <w:szCs w:val="20"/>
          <w:lang w:val="fr-FR" w:eastAsia="en-GB"/>
        </w:rPr>
        <w:t>réalisation de recherches et de prospections dans la zone économique exclusive groenlandaise (840 700 EUR par an);</w:t>
      </w:r>
    </w:p>
    <w:p w:rsidR="00BF1788" w:rsidRPr="00BF1788" w:rsidRDefault="00BF1788" w:rsidP="00CA4FBD">
      <w:pPr>
        <w:widowControl w:val="0"/>
        <w:numPr>
          <w:ilvl w:val="0"/>
          <w:numId w:val="2"/>
        </w:numPr>
        <w:suppressAutoHyphens/>
        <w:spacing w:after="120" w:line="240" w:lineRule="auto"/>
        <w:jc w:val="both"/>
        <w:rPr>
          <w:rFonts w:eastAsia="Times New Roman" w:cs="Times New Roman"/>
          <w:szCs w:val="20"/>
          <w:lang w:val="fr-FR" w:eastAsia="en-GB"/>
        </w:rPr>
      </w:pPr>
      <w:r w:rsidRPr="00BF1788">
        <w:rPr>
          <w:rFonts w:eastAsia="Times New Roman" w:cs="Times New Roman"/>
          <w:szCs w:val="20"/>
          <w:lang w:val="fr-FR" w:eastAsia="en-GB"/>
        </w:rPr>
        <w:t>rédaction et publication de publications scientifiques concernant ces recherches (120 100 EUR par an).</w:t>
      </w:r>
    </w:p>
    <w:p w:rsidR="00BF1788" w:rsidRPr="00BF1788" w:rsidRDefault="00BF1788" w:rsidP="00BF1788">
      <w:pPr>
        <w:widowControl w:val="0"/>
        <w:spacing w:after="120" w:line="240" w:lineRule="auto"/>
        <w:jc w:val="both"/>
        <w:rPr>
          <w:rFonts w:eastAsia="Times New Roman" w:cs="Times New Roman"/>
          <w:szCs w:val="24"/>
          <w:lang w:val="fr-FR" w:eastAsia="en-GB"/>
        </w:rPr>
      </w:pPr>
      <w:bookmarkStart w:id="2" w:name="__DdeLink__575_963673442"/>
      <w:r w:rsidRPr="00BF1788">
        <w:rPr>
          <w:rFonts w:eastAsia="Times New Roman" w:cs="Times New Roman"/>
          <w:szCs w:val="24"/>
          <w:lang w:val="fr-FR" w:eastAsia="en-GB"/>
        </w:rPr>
        <w:t xml:space="preserve">En ce qui concerne les </w:t>
      </w:r>
      <w:r w:rsidRPr="00BF1788">
        <w:rPr>
          <w:rFonts w:eastAsia="Times New Roman" w:cs="Times New Roman"/>
          <w:szCs w:val="24"/>
          <w:u w:val="single"/>
          <w:lang w:val="fr-FR" w:eastAsia="en-GB"/>
        </w:rPr>
        <w:t>possibilités de pêche</w:t>
      </w:r>
      <w:r w:rsidRPr="00BF1788">
        <w:rPr>
          <w:rFonts w:eastAsia="Times New Roman" w:cs="Times New Roman"/>
          <w:szCs w:val="24"/>
          <w:lang w:val="fr-FR" w:eastAsia="en-GB"/>
        </w:rPr>
        <w:t xml:space="preserve"> et plus concrètement la recommandation de transférer à 2022 tout ou partie des quotas non utilisés dus au retard de l’application provisoire de l’accord [</w:t>
      </w:r>
      <w:r w:rsidRPr="00BF1788">
        <w:rPr>
          <w:rFonts w:eastAsia="Times New Roman" w:cs="Times New Roman"/>
          <w:szCs w:val="20"/>
          <w:lang w:val="fr-FR" w:eastAsia="en-GB"/>
        </w:rPr>
        <w:t>paragraphe</w:t>
      </w:r>
      <w:r w:rsidRPr="00BF1788">
        <w:rPr>
          <w:rFonts w:eastAsia="Times New Roman" w:cs="Times New Roman"/>
          <w:szCs w:val="24"/>
          <w:lang w:val="fr-FR" w:eastAsia="en-GB"/>
        </w:rPr>
        <w:t xml:space="preserve"> 16, point h)], la Commission et le Groenland ont examiné la possibilité de transférer les quotas lors de la réunion conjointe de commissions extraordinaire qui s’est tenue le 26 avril 2021. </w:t>
      </w:r>
      <w:bookmarkEnd w:id="2"/>
      <w:r w:rsidRPr="00BF1788">
        <w:rPr>
          <w:rFonts w:eastAsia="Times New Roman" w:cs="Times New Roman"/>
          <w:szCs w:val="24"/>
          <w:lang w:val="fr-FR" w:eastAsia="en-GB"/>
        </w:rPr>
        <w:t>Du fait du raccourcissement de la période de pêche lors de la première année de mise en œuvre du protocole, l’UE, à l’occasion de la réunion conjointe de commissions extraordinaire susmentionnée, a pré-notifié son intention de transférer à 2022 5 % du quota des crevettes nordiques, dans l’hypothèse où la flotte de pêche de l'Union ne serait pas capable de pêcher la totalité des quotas alloués en 2021. Le Groenland a reconnu le caractère particulier de cette situation et s’est déclaré prêt à donner suite à cette demande. De plus, en raison de l’entrée en vigueur tardive du protocole, s’il advenait que la flotte de pêche de l'Union ne parvienne pas à pêcher la totalité des quotas des autres espèces au cours de la première année d’application du protocole, le Groenland a également convenu d’étudier la possibilité de transférer à titre exceptionnel tout quota non épuisé à la deuxième année d’application du protocole, par échange de lettres.</w:t>
      </w:r>
    </w:p>
    <w:p w:rsidR="00BF1788" w:rsidRPr="00BF1788" w:rsidRDefault="00BF1788" w:rsidP="00BF1788">
      <w:pPr>
        <w:spacing w:after="120" w:line="240" w:lineRule="auto"/>
        <w:jc w:val="both"/>
        <w:rPr>
          <w:rFonts w:eastAsia="Times New Roman" w:cs="Times New Roman"/>
          <w:color w:val="000000"/>
          <w:szCs w:val="20"/>
          <w:lang w:val="fr-FR" w:eastAsia="en-GB"/>
        </w:rPr>
      </w:pPr>
      <w:r w:rsidRPr="00BF1788">
        <w:rPr>
          <w:rFonts w:eastAsia="Times New Roman" w:cs="Times New Roman"/>
          <w:szCs w:val="24"/>
          <w:lang w:val="fr-FR" w:eastAsia="en-GB"/>
        </w:rPr>
        <w:t xml:space="preserve">En ce qui concerne la recommandation de tout mettre en œuvre pour éviter </w:t>
      </w:r>
      <w:r w:rsidRPr="00BF1788">
        <w:rPr>
          <w:rFonts w:eastAsia="Times New Roman" w:cs="Times New Roman"/>
          <w:szCs w:val="24"/>
          <w:u w:val="single"/>
          <w:lang w:val="fr-FR" w:eastAsia="en-GB"/>
        </w:rPr>
        <w:t>une réduction des possibilités de pêche</w:t>
      </w:r>
      <w:r w:rsidRPr="00BF1788">
        <w:rPr>
          <w:rFonts w:eastAsia="Times New Roman" w:cs="Times New Roman"/>
          <w:szCs w:val="24"/>
          <w:lang w:val="fr-FR" w:eastAsia="en-GB"/>
        </w:rPr>
        <w:t xml:space="preserve"> [</w:t>
      </w:r>
      <w:r w:rsidRPr="00BF1788">
        <w:rPr>
          <w:rFonts w:eastAsia="Times New Roman" w:cs="Times New Roman"/>
          <w:szCs w:val="20"/>
          <w:lang w:val="fr-FR" w:eastAsia="en-GB"/>
        </w:rPr>
        <w:t>paragraphe</w:t>
      </w:r>
      <w:r w:rsidRPr="00BF1788">
        <w:rPr>
          <w:rFonts w:eastAsia="Times New Roman" w:cs="Times New Roman"/>
          <w:szCs w:val="24"/>
          <w:lang w:val="fr-FR" w:eastAsia="en-GB"/>
        </w:rPr>
        <w:t xml:space="preserve"> 16, point g)], </w:t>
      </w:r>
      <w:r w:rsidRPr="00BF1788">
        <w:rPr>
          <w:rFonts w:eastAsia="Times New Roman" w:cs="Times New Roman"/>
          <w:color w:val="000000"/>
          <w:szCs w:val="20"/>
          <w:lang w:val="fr-FR" w:eastAsia="en-GB"/>
        </w:rPr>
        <w:t xml:space="preserve">la Commission se doit de suivre les meilleurs avis scientifiques disponibles, </w:t>
      </w:r>
      <w:r w:rsidRPr="00BF1788">
        <w:rPr>
          <w:rFonts w:eastAsia="Times New Roman" w:cs="Times New Roman"/>
          <w:szCs w:val="24"/>
          <w:lang w:val="fr-FR" w:eastAsia="en-GB"/>
        </w:rPr>
        <w:t xml:space="preserve">conformément à la politique commune de la pêche et aux plans pluriannuels applicables. Cela comprend </w:t>
      </w:r>
      <w:r w:rsidRPr="00BF1788">
        <w:rPr>
          <w:rFonts w:eastAsia="Times New Roman" w:cs="Times New Roman"/>
          <w:color w:val="000000"/>
          <w:szCs w:val="20"/>
          <w:lang w:val="fr-FR" w:eastAsia="en-GB"/>
        </w:rPr>
        <w:t>les informations scientifiques les plus récentes fournies par les différents organismes scientifiques internationaux et par les comités scientifiques des différentes organisations régionales de gestion des pêches (au premier rang desquelles l’Organisation des pêches de l'Atlantique du Nord-Ouest). La Commission défendra les intérêts du secteur de l’UE dans les limites définies par les avis scientifiques lors de la négociation des possibilités de pêche pour l’UE.</w:t>
      </w:r>
    </w:p>
    <w:p w:rsidR="00BF1788" w:rsidRPr="00BF1788" w:rsidRDefault="00BF1788" w:rsidP="00BF1788">
      <w:pPr>
        <w:spacing w:after="120" w:line="240" w:lineRule="auto"/>
        <w:jc w:val="both"/>
        <w:rPr>
          <w:rFonts w:ascii="Courier New" w:eastAsia="Times New Roman" w:hAnsi="Courier New" w:cs="Times New Roman"/>
          <w:szCs w:val="20"/>
          <w:lang w:val="fr-FR" w:eastAsia="en-GB"/>
        </w:rPr>
      </w:pPr>
      <w:r w:rsidRPr="00BF1788">
        <w:rPr>
          <w:rFonts w:eastAsia="Times New Roman" w:cs="Times New Roman"/>
          <w:szCs w:val="20"/>
          <w:lang w:val="fr-FR" w:eastAsia="en-GB"/>
        </w:rPr>
        <w:t>L’axe n° 3 («Recherche et avis scientifiques sur l'état du stock») du programme de politique sectorielle</w:t>
      </w:r>
      <w:r w:rsidRPr="00BF1788">
        <w:rPr>
          <w:rFonts w:eastAsia="Times New Roman" w:cs="Times New Roman"/>
          <w:szCs w:val="24"/>
          <w:lang w:val="fr-FR" w:eastAsia="en-GB"/>
        </w:rPr>
        <w:t xml:space="preserve"> répond aussi partiellement aux recommandations relatives à la </w:t>
      </w:r>
      <w:r w:rsidRPr="00BF1788">
        <w:rPr>
          <w:rFonts w:eastAsia="Times New Roman" w:cs="Times New Roman"/>
          <w:szCs w:val="24"/>
          <w:u w:val="single"/>
          <w:lang w:val="fr-FR" w:eastAsia="en-GB"/>
        </w:rPr>
        <w:t>durabilité, y compris pour ce qui est de l’atténuation du réchauffement climatique</w:t>
      </w:r>
      <w:r w:rsidRPr="00BF1788">
        <w:rPr>
          <w:rFonts w:eastAsia="Times New Roman" w:cs="Times New Roman"/>
          <w:szCs w:val="24"/>
          <w:lang w:val="fr-FR" w:eastAsia="en-GB"/>
        </w:rPr>
        <w:t xml:space="preserve"> [</w:t>
      </w:r>
      <w:r w:rsidRPr="00BF1788">
        <w:rPr>
          <w:rFonts w:eastAsia="Times New Roman" w:cs="Times New Roman"/>
          <w:szCs w:val="20"/>
          <w:lang w:val="fr-FR" w:eastAsia="en-GB"/>
        </w:rPr>
        <w:t>paragraphe</w:t>
      </w:r>
      <w:r w:rsidRPr="00BF1788">
        <w:rPr>
          <w:rFonts w:eastAsia="Times New Roman" w:cs="Times New Roman"/>
          <w:szCs w:val="24"/>
          <w:lang w:val="fr-FR" w:eastAsia="en-GB"/>
        </w:rPr>
        <w:t xml:space="preserve"> 16, point b)], au recours à une </w:t>
      </w:r>
      <w:r w:rsidRPr="00BF1788">
        <w:rPr>
          <w:rFonts w:eastAsia="Times New Roman" w:cs="Times New Roman"/>
          <w:szCs w:val="24"/>
          <w:u w:val="single"/>
          <w:lang w:val="fr-FR" w:eastAsia="en-GB"/>
        </w:rPr>
        <w:t xml:space="preserve">approche écosystémique pour le cabillaud </w:t>
      </w:r>
      <w:r w:rsidRPr="00BF1788">
        <w:rPr>
          <w:rFonts w:eastAsia="Times New Roman" w:cs="Times New Roman"/>
          <w:szCs w:val="24"/>
          <w:lang w:val="fr-FR" w:eastAsia="en-GB"/>
        </w:rPr>
        <w:t>[</w:t>
      </w:r>
      <w:r w:rsidRPr="00BF1788">
        <w:rPr>
          <w:rFonts w:eastAsia="Times New Roman" w:cs="Times New Roman"/>
          <w:szCs w:val="20"/>
          <w:lang w:val="fr-FR" w:eastAsia="en-GB"/>
        </w:rPr>
        <w:t>paragraphe </w:t>
      </w:r>
      <w:r w:rsidRPr="00BF1788">
        <w:rPr>
          <w:rFonts w:eastAsia="Times New Roman" w:cs="Times New Roman"/>
          <w:szCs w:val="24"/>
          <w:lang w:val="fr-FR" w:eastAsia="en-GB"/>
        </w:rPr>
        <w:t xml:space="preserve">16, point c)], et à la nécessité d’accorder une attention particulière aux </w:t>
      </w:r>
      <w:r w:rsidRPr="00BF1788">
        <w:rPr>
          <w:rFonts w:eastAsia="Times New Roman" w:cs="Times New Roman"/>
          <w:szCs w:val="24"/>
          <w:u w:val="single"/>
          <w:lang w:val="fr-FR" w:eastAsia="en-GB"/>
        </w:rPr>
        <w:t>filets de pêche</w:t>
      </w:r>
      <w:r w:rsidRPr="00BF1788">
        <w:rPr>
          <w:rFonts w:eastAsia="Times New Roman" w:cs="Times New Roman"/>
          <w:szCs w:val="24"/>
          <w:lang w:val="fr-FR" w:eastAsia="en-GB"/>
        </w:rPr>
        <w:t xml:space="preserve"> perdus, à la </w:t>
      </w:r>
      <w:r w:rsidRPr="00BF1788">
        <w:rPr>
          <w:rFonts w:eastAsia="Times New Roman" w:cs="Times New Roman"/>
          <w:szCs w:val="24"/>
          <w:u w:val="single"/>
          <w:lang w:val="fr-FR" w:eastAsia="en-GB"/>
        </w:rPr>
        <w:lastRenderedPageBreak/>
        <w:t>collecte des déchets marins</w:t>
      </w:r>
      <w:r w:rsidRPr="00BF1788">
        <w:rPr>
          <w:rFonts w:eastAsia="Times New Roman" w:cs="Times New Roman"/>
          <w:szCs w:val="24"/>
          <w:lang w:val="fr-FR" w:eastAsia="en-GB"/>
        </w:rPr>
        <w:t xml:space="preserve">, </w:t>
      </w:r>
      <w:r w:rsidRPr="00BF1788">
        <w:rPr>
          <w:rFonts w:eastAsia="Times New Roman" w:cs="Times New Roman"/>
          <w:szCs w:val="24"/>
          <w:u w:val="single"/>
          <w:lang w:val="fr-FR" w:eastAsia="en-GB"/>
        </w:rPr>
        <w:t>aux écosystèmes marins et aux espèces vulnérables,</w:t>
      </w:r>
      <w:r w:rsidRPr="00BF1788">
        <w:rPr>
          <w:rFonts w:eastAsia="Times New Roman" w:cs="Times New Roman"/>
          <w:szCs w:val="24"/>
          <w:lang w:val="fr-FR" w:eastAsia="en-GB"/>
        </w:rPr>
        <w:t xml:space="preserve"> ainsi qu’au </w:t>
      </w:r>
      <w:r w:rsidRPr="00BF1788">
        <w:rPr>
          <w:rFonts w:eastAsia="Times New Roman" w:cs="Times New Roman"/>
          <w:szCs w:val="24"/>
          <w:u w:val="single"/>
          <w:lang w:val="fr-FR" w:eastAsia="en-GB"/>
        </w:rPr>
        <w:t xml:space="preserve">recensement des habitats et aux prises accessoires d’oiseaux </w:t>
      </w:r>
      <w:r w:rsidRPr="00BF1788">
        <w:rPr>
          <w:rFonts w:eastAsia="Times New Roman" w:cs="Times New Roman"/>
          <w:szCs w:val="24"/>
          <w:lang w:val="fr-FR" w:eastAsia="en-GB"/>
        </w:rPr>
        <w:t>[</w:t>
      </w:r>
      <w:r w:rsidRPr="00BF1788">
        <w:rPr>
          <w:rFonts w:eastAsia="Times New Roman" w:cs="Times New Roman"/>
          <w:szCs w:val="20"/>
          <w:lang w:val="fr-FR" w:eastAsia="en-GB"/>
        </w:rPr>
        <w:t>paragraphe</w:t>
      </w:r>
      <w:r w:rsidRPr="00BF1788">
        <w:rPr>
          <w:rFonts w:eastAsia="Times New Roman" w:cs="Times New Roman"/>
          <w:szCs w:val="24"/>
          <w:lang w:val="fr-FR" w:eastAsia="en-GB"/>
        </w:rPr>
        <w:t> 16, point j)]</w:t>
      </w:r>
      <w:r w:rsidRPr="00BF1788">
        <w:rPr>
          <w:rFonts w:eastAsia="Times New Roman" w:cs="Times New Roman"/>
          <w:szCs w:val="20"/>
          <w:lang w:val="fr-FR" w:eastAsia="en-GB"/>
        </w:rPr>
        <w:t>.</w:t>
      </w:r>
    </w:p>
    <w:p w:rsidR="00BF1788" w:rsidRPr="00BF1788" w:rsidRDefault="00BF1788" w:rsidP="00BF1788">
      <w:pPr>
        <w:widowControl w:val="0"/>
        <w:spacing w:after="120" w:line="240" w:lineRule="auto"/>
        <w:jc w:val="both"/>
        <w:rPr>
          <w:rFonts w:eastAsia="Times New Roman" w:cs="Times New Roman"/>
          <w:szCs w:val="24"/>
          <w:lang w:val="fr-FR" w:eastAsia="en-GB"/>
        </w:rPr>
      </w:pPr>
      <w:r w:rsidRPr="00BF1788">
        <w:rPr>
          <w:rFonts w:eastAsia="Times New Roman" w:cs="Times New Roman"/>
          <w:szCs w:val="24"/>
          <w:lang w:val="fr-FR" w:eastAsia="en-GB"/>
        </w:rPr>
        <w:t>La conservation des ressources et leur exploitation durable sur la base des meilleurs avis scientifiques disponibles sont mises en exergue dans de nombreuses dispositions du nouvel APPD. En outre, le Groenland et l’UE doivent surveiller l’évolution des ressources de la zone économique exclusive (ZEE) groenlandaise, et ont la possibilité d’instituer un comité scientifique conjoint ad hoc chargé de surveiller et d’analyser toute question d’ordre scientifique soulevée par le comité mixte, ainsi que d’établir un rapport y afférent</w:t>
      </w:r>
    </w:p>
    <w:p w:rsidR="00BF1788" w:rsidRPr="00BF1788" w:rsidRDefault="00BF1788" w:rsidP="00BF1788">
      <w:pPr>
        <w:spacing w:after="120" w:line="240" w:lineRule="auto"/>
        <w:jc w:val="both"/>
        <w:rPr>
          <w:rFonts w:eastAsia="Times New Roman" w:cs="Times New Roman"/>
          <w:szCs w:val="24"/>
          <w:lang w:val="fr-FR" w:eastAsia="en-GB"/>
        </w:rPr>
      </w:pPr>
      <w:r w:rsidRPr="00BF1788">
        <w:rPr>
          <w:rFonts w:eastAsia="Times New Roman" w:cs="Times New Roman"/>
          <w:szCs w:val="24"/>
          <w:lang w:val="fr-FR" w:eastAsia="en-GB"/>
        </w:rPr>
        <w:t xml:space="preserve">En ce qui concerne la </w:t>
      </w:r>
      <w:r w:rsidRPr="00BF1788">
        <w:rPr>
          <w:rFonts w:eastAsia="Times New Roman" w:cs="Times New Roman"/>
          <w:szCs w:val="24"/>
          <w:u w:val="single"/>
          <w:lang w:val="fr-FR" w:eastAsia="en-GB"/>
        </w:rPr>
        <w:t>durée de l’accord</w:t>
      </w:r>
      <w:r w:rsidRPr="00BF1788">
        <w:rPr>
          <w:rFonts w:eastAsia="Times New Roman" w:cs="Times New Roman"/>
          <w:szCs w:val="24"/>
          <w:lang w:val="fr-FR" w:eastAsia="en-GB"/>
        </w:rPr>
        <w:t xml:space="preserve"> et la recommandation d’assurer dans quatre ans la reconduction pour deux ans du protocole (</w:t>
      </w:r>
      <w:r w:rsidRPr="00BF1788">
        <w:rPr>
          <w:rFonts w:eastAsia="Times New Roman" w:cs="Times New Roman"/>
          <w:szCs w:val="20"/>
          <w:lang w:val="fr-FR" w:eastAsia="en-GB"/>
        </w:rPr>
        <w:t>paragraphe</w:t>
      </w:r>
      <w:r w:rsidRPr="00BF1788">
        <w:rPr>
          <w:rFonts w:eastAsia="Times New Roman" w:cs="Times New Roman"/>
          <w:szCs w:val="24"/>
          <w:lang w:val="fr-FR" w:eastAsia="en-GB"/>
        </w:rPr>
        <w:t xml:space="preserve"> 16, point f)], la Commission fera tout ce qui est en son pouvoir pour reconduire l’accord pour deux années supplémentaires, conformément à la clause qui prévoit que la durée du protocole peut s’aligner sur les 6 ans de l’accord. </w:t>
      </w:r>
    </w:p>
    <w:p w:rsidR="00BF1788" w:rsidRPr="00BF1788" w:rsidRDefault="00BF1788" w:rsidP="00BF1788">
      <w:pPr>
        <w:widowControl w:val="0"/>
        <w:spacing w:after="120" w:line="240" w:lineRule="auto"/>
        <w:jc w:val="both"/>
        <w:rPr>
          <w:rFonts w:eastAsia="Times New Roman" w:cs="Times New Roman"/>
          <w:szCs w:val="24"/>
          <w:lang w:val="fr-FR" w:eastAsia="en-GB"/>
        </w:rPr>
      </w:pPr>
      <w:r w:rsidRPr="00BF1788">
        <w:rPr>
          <w:rFonts w:eastAsia="Times New Roman" w:cs="Times New Roman"/>
          <w:szCs w:val="24"/>
          <w:lang w:val="fr-FR" w:eastAsia="en-GB"/>
        </w:rPr>
        <w:t xml:space="preserve">La Commission donnera suite aux recommandations concernant </w:t>
      </w:r>
      <w:r w:rsidRPr="00BF1788">
        <w:rPr>
          <w:rFonts w:eastAsia="Times New Roman" w:cs="Times New Roman"/>
          <w:szCs w:val="24"/>
          <w:u w:val="single"/>
          <w:lang w:val="fr-FR" w:eastAsia="en-GB"/>
        </w:rPr>
        <w:t>les aspects internationaux</w:t>
      </w:r>
      <w:r w:rsidRPr="00BF1788">
        <w:rPr>
          <w:rFonts w:eastAsia="Times New Roman" w:cs="Times New Roman"/>
          <w:szCs w:val="24"/>
          <w:lang w:val="fr-FR" w:eastAsia="en-GB"/>
        </w:rPr>
        <w:t xml:space="preserve"> de la façon suivante:</w:t>
      </w:r>
    </w:p>
    <w:p w:rsidR="00BF1788" w:rsidRPr="00BF1788" w:rsidRDefault="00BF1788" w:rsidP="00BF1788">
      <w:pPr>
        <w:widowControl w:val="0"/>
        <w:spacing w:after="120" w:line="240" w:lineRule="auto"/>
        <w:jc w:val="both"/>
        <w:rPr>
          <w:rFonts w:eastAsia="Times New Roman" w:cs="Times New Roman"/>
          <w:szCs w:val="24"/>
          <w:lang w:val="fr-FR" w:eastAsia="en-GB"/>
        </w:rPr>
      </w:pPr>
      <w:r w:rsidRPr="00BF1788">
        <w:rPr>
          <w:rFonts w:eastAsia="Times New Roman" w:cs="Times New Roman"/>
          <w:szCs w:val="20"/>
          <w:lang w:val="fr-FR" w:eastAsia="en-GB"/>
        </w:rPr>
        <w:t>Paragraphe</w:t>
      </w:r>
      <w:r w:rsidRPr="00BF1788">
        <w:rPr>
          <w:rFonts w:eastAsia="Times New Roman" w:cs="Times New Roman"/>
          <w:szCs w:val="24"/>
          <w:lang w:val="fr-FR" w:eastAsia="en-GB"/>
        </w:rPr>
        <w:t> 16, point i) - encourager le Groenland à signer l’</w:t>
      </w:r>
      <w:r w:rsidRPr="00BF1788">
        <w:rPr>
          <w:rFonts w:eastAsia="Times New Roman" w:cs="Times New Roman"/>
          <w:szCs w:val="24"/>
          <w:u w:val="single"/>
          <w:lang w:val="fr-FR" w:eastAsia="en-GB"/>
        </w:rPr>
        <w:t>accord des États côtiers</w:t>
      </w:r>
      <w:r w:rsidRPr="00BF1788">
        <w:rPr>
          <w:rFonts w:eastAsia="Times New Roman" w:cs="Times New Roman"/>
          <w:szCs w:val="24"/>
          <w:lang w:val="fr-FR" w:eastAsia="en-GB"/>
        </w:rPr>
        <w:t xml:space="preserve"> sur la gestion du maquereau commun; La Commission mettra tout en œuvre, tant dans le cadre de ses relations bilatérales avec le Groenland au titre de l’APPD que dans le contexte multilatéral des organisations régionales de gestion des pêches (ORGP), pour mener les discussions et négociations nécessaires en vue de l’adoption, par le Groenland, de mesures de gestion (y compris des accords de répartition) pour le maquereau commun, le merlan bleu et le hareng norvégien à frai printanier. Ces mesures portent aussi sur la signature, par le Groenland, d’accords relatifs à des mesures de contrôle pour les stocks pélagiques. Cet accord des États côtiers revêt une importance particulière, car il devrait fournir des possibilités de pêche supplémentaires dont les États membres privés de telles possibilités en vertu de l’accord actuel pourraient bénéficier.</w:t>
      </w:r>
    </w:p>
    <w:p w:rsidR="00BF1788" w:rsidRPr="00BF1788" w:rsidRDefault="00BF1788" w:rsidP="00BF1788">
      <w:pPr>
        <w:widowControl w:val="0"/>
        <w:spacing w:after="120" w:line="240" w:lineRule="auto"/>
        <w:jc w:val="both"/>
        <w:rPr>
          <w:rFonts w:eastAsia="Times New Roman" w:cs="Times New Roman"/>
          <w:szCs w:val="24"/>
          <w:lang w:val="fr-FR" w:eastAsia="en-GB"/>
        </w:rPr>
      </w:pPr>
      <w:r w:rsidRPr="00BF1788">
        <w:rPr>
          <w:rFonts w:eastAsia="Times New Roman" w:cs="Times New Roman"/>
          <w:szCs w:val="20"/>
          <w:lang w:val="fr-FR" w:eastAsia="en-GB"/>
        </w:rPr>
        <w:t>Paragraphe</w:t>
      </w:r>
      <w:r w:rsidRPr="00BF1788">
        <w:rPr>
          <w:rFonts w:eastAsia="Times New Roman" w:cs="Times New Roman"/>
          <w:szCs w:val="24"/>
          <w:lang w:val="fr-FR" w:eastAsia="en-GB"/>
        </w:rPr>
        <w:t xml:space="preserve"> 16, point k) - pour améliorer la </w:t>
      </w:r>
      <w:r w:rsidRPr="00BF1788">
        <w:rPr>
          <w:rFonts w:eastAsia="Times New Roman" w:cs="Times New Roman"/>
          <w:szCs w:val="24"/>
          <w:u w:val="single"/>
          <w:lang w:val="fr-FR" w:eastAsia="en-GB"/>
        </w:rPr>
        <w:t>connexion entre l’APPD UE-Groenland et la décision d’association outre-mer</w:t>
      </w:r>
      <w:r w:rsidRPr="00BF1788">
        <w:rPr>
          <w:rFonts w:eastAsia="Times New Roman" w:cs="Times New Roman"/>
          <w:szCs w:val="24"/>
          <w:lang w:val="fr-FR" w:eastAsia="en-GB"/>
        </w:rPr>
        <w:t>, la Commission devra veiller à ce que, lors de la phase de mise en œuvre de la décision d’association outre-mer, les intérêts de la pêche découlant de l’APPD soient pris en compte et que les interconnexions avec les politiques de développement soient renforcées.</w:t>
      </w:r>
    </w:p>
    <w:p w:rsidR="00BF1788" w:rsidRPr="00BF1788" w:rsidRDefault="00BF1788" w:rsidP="00BF1788">
      <w:pPr>
        <w:widowControl w:val="0"/>
        <w:spacing w:after="120" w:line="240" w:lineRule="auto"/>
        <w:jc w:val="both"/>
        <w:rPr>
          <w:rFonts w:eastAsia="Times New Roman" w:cs="Times New Roman"/>
          <w:szCs w:val="24"/>
          <w:lang w:val="fr-FR" w:eastAsia="en-GB"/>
        </w:rPr>
      </w:pPr>
      <w:r w:rsidRPr="00BF1788">
        <w:rPr>
          <w:rFonts w:eastAsia="Times New Roman" w:cs="Times New Roman"/>
          <w:szCs w:val="20"/>
          <w:lang w:val="fr-FR" w:eastAsia="en-GB"/>
        </w:rPr>
        <w:t>Paragraphe</w:t>
      </w:r>
      <w:r w:rsidRPr="00BF1788">
        <w:rPr>
          <w:rFonts w:eastAsia="Times New Roman" w:cs="Times New Roman"/>
          <w:szCs w:val="24"/>
          <w:lang w:val="fr-FR" w:eastAsia="en-GB"/>
        </w:rPr>
        <w:t xml:space="preserve"> 16, point l) - pour améliorer la </w:t>
      </w:r>
      <w:r w:rsidRPr="00BF1788">
        <w:rPr>
          <w:rFonts w:eastAsia="Times New Roman" w:cs="Times New Roman"/>
          <w:szCs w:val="24"/>
          <w:u w:val="single"/>
          <w:lang w:val="fr-FR" w:eastAsia="en-GB"/>
        </w:rPr>
        <w:t>visibilité et la transparence entre les différents instruments internationaux de gestion des stocks dans la région</w:t>
      </w:r>
      <w:r w:rsidRPr="00BF1788">
        <w:rPr>
          <w:rFonts w:eastAsia="Times New Roman" w:cs="Times New Roman"/>
          <w:szCs w:val="24"/>
          <w:lang w:val="fr-FR" w:eastAsia="en-GB"/>
        </w:rPr>
        <w:t>, la Commission a l’intention d’améliorer les processus décisionnels au sein des ORGP, afin, d’une part, d’améliorer le suivi, le contrôle et la surveillance des activités de pêche et, d’autre part, de renforcer les aspects scientifiques essentiels de la prise de décision au sein des ORGP. Lors du processus de négociation de l’APPD entre l’Union et le Groenland, la Commission a introduit des dispositions concernant les ORGP, afin de tenir dûment compte des mesures de conservation et de gestion adoptées par les ORGP compétentes. À cet égard, l’article 4 du nouvel APPD sur la coopération scientifique stipule que les parties se consultent, soit directement, soit au sein des ORGP et des organisations régionales de pêche (ORP) concernées, afin d’assurer la gestion et la conservation des ressources biologiques de la mer et de coopérer dans le cadre des travaux de recherche scientifiques pertinents.</w:t>
      </w:r>
    </w:p>
    <w:p w:rsidR="00BF1788" w:rsidRPr="00BF1788" w:rsidRDefault="00BF1788" w:rsidP="00BF1788">
      <w:pPr>
        <w:widowControl w:val="0"/>
        <w:spacing w:after="120" w:line="240" w:lineRule="auto"/>
        <w:jc w:val="both"/>
        <w:rPr>
          <w:rFonts w:eastAsia="Times New Roman" w:cs="Times New Roman"/>
          <w:szCs w:val="24"/>
          <w:lang w:val="fr-FR" w:eastAsia="en-GB"/>
        </w:rPr>
      </w:pPr>
      <w:r w:rsidRPr="00BF1788">
        <w:rPr>
          <w:rFonts w:eastAsia="Times New Roman" w:cs="Times New Roman"/>
          <w:szCs w:val="20"/>
          <w:lang w:val="fr-FR" w:eastAsia="en-GB"/>
        </w:rPr>
        <w:t>Paragraphe</w:t>
      </w:r>
      <w:r w:rsidRPr="00BF1788">
        <w:rPr>
          <w:rFonts w:eastAsia="Times New Roman" w:cs="Times New Roman"/>
          <w:szCs w:val="24"/>
          <w:lang w:val="fr-FR" w:eastAsia="en-GB"/>
        </w:rPr>
        <w:t xml:space="preserve"> 16, points m) et n) - en ce qui concerne le processus de réflexion à mettre en place pour </w:t>
      </w:r>
      <w:r w:rsidRPr="00BF1788">
        <w:rPr>
          <w:rFonts w:eastAsia="Times New Roman" w:cs="Times New Roman"/>
          <w:szCs w:val="24"/>
          <w:u w:val="single"/>
          <w:lang w:val="fr-FR" w:eastAsia="en-GB"/>
        </w:rPr>
        <w:t>formaliser les relations avec nos partenaires dans la région</w:t>
      </w:r>
      <w:r w:rsidRPr="00BF1788">
        <w:rPr>
          <w:rFonts w:eastAsia="Times New Roman" w:cs="Times New Roman"/>
          <w:szCs w:val="24"/>
          <w:lang w:val="fr-FR" w:eastAsia="en-GB"/>
        </w:rPr>
        <w:t xml:space="preserve"> et pour diminuer l’instabilité créée par le départ du Royaume-Uni de l’Union européenne, ainsi que le </w:t>
      </w:r>
      <w:r w:rsidRPr="00BF1788">
        <w:rPr>
          <w:rFonts w:eastAsia="Times New Roman" w:cs="Times New Roman"/>
          <w:szCs w:val="24"/>
          <w:u w:val="single"/>
          <w:lang w:val="fr-FR" w:eastAsia="en-GB"/>
        </w:rPr>
        <w:t>lien avec les accords de pêche signés avec la Norvège</w:t>
      </w:r>
      <w:r w:rsidRPr="00BF1788">
        <w:rPr>
          <w:rFonts w:eastAsia="Times New Roman" w:cs="Times New Roman"/>
          <w:szCs w:val="24"/>
          <w:lang w:val="fr-FR" w:eastAsia="en-GB"/>
        </w:rPr>
        <w:t xml:space="preserve">, la Commission est engagée dans un processus interne de </w:t>
      </w:r>
      <w:r w:rsidRPr="00BF1788">
        <w:rPr>
          <w:rFonts w:eastAsia="Times New Roman" w:cs="Times New Roman"/>
          <w:szCs w:val="24"/>
          <w:lang w:val="fr-FR" w:eastAsia="en-GB"/>
        </w:rPr>
        <w:lastRenderedPageBreak/>
        <w:t>réflexion continue en vue de garantir la stabilité dans la gestion des ressources halieutiques partagées à la suite du retrait du Royaume-Uni de l’Union européenne. En ce qui concerne l’APPD avec le Groenland et l’accord avec la Norvège, les services de la Commission participent à des consultations bilatérales régulières avec la Norvège dans le but de gérer les intérêts communs dans les relations de pêche entre les deux pays. Dans ces consultations, une partie des possibilités de pêche accordées par l’accord avec le Groenland servent à des échanges de quotas et des travaux sont réalisés pour améliorer les synergies entre les deux accords.</w:t>
      </w:r>
    </w:p>
    <w:p w:rsidR="00BF1788" w:rsidRPr="00BF1788" w:rsidRDefault="00BF1788" w:rsidP="00BF1788">
      <w:pPr>
        <w:spacing w:after="120" w:line="240" w:lineRule="auto"/>
        <w:jc w:val="both"/>
        <w:rPr>
          <w:rFonts w:eastAsia="Times New Roman" w:cs="Times New Roman"/>
          <w:szCs w:val="20"/>
          <w:lang w:val="fr-FR" w:eastAsia="en-GB"/>
        </w:rPr>
      </w:pPr>
      <w:r w:rsidRPr="00BF1788">
        <w:rPr>
          <w:rFonts w:eastAsia="Times New Roman" w:cs="Times New Roman"/>
          <w:szCs w:val="20"/>
          <w:lang w:val="fr-FR" w:eastAsia="en-GB"/>
        </w:rPr>
        <w:t>Paragraphe</w:t>
      </w:r>
      <w:r w:rsidRPr="00BF1788">
        <w:rPr>
          <w:rFonts w:eastAsia="Times New Roman" w:cs="Times New Roman"/>
          <w:szCs w:val="24"/>
          <w:lang w:val="fr-FR" w:eastAsia="en-GB"/>
        </w:rPr>
        <w:t xml:space="preserve"> 16, point o) - en ce qui concerne </w:t>
      </w:r>
      <w:r w:rsidRPr="00BF1788">
        <w:rPr>
          <w:rFonts w:eastAsia="Times New Roman" w:cs="Times New Roman"/>
          <w:szCs w:val="24"/>
          <w:u w:val="single"/>
          <w:lang w:val="fr-FR" w:eastAsia="en-GB"/>
        </w:rPr>
        <w:t>l’APPD et la position géostratégique de l’Union dans l’océan Arctique</w:t>
      </w:r>
      <w:r w:rsidRPr="00BF1788">
        <w:rPr>
          <w:rFonts w:eastAsia="Times New Roman" w:cs="Times New Roman"/>
          <w:szCs w:val="24"/>
          <w:lang w:val="fr-FR" w:eastAsia="en-GB"/>
        </w:rPr>
        <w:t>, les priorités de l’UE pour l’Arctique sont énoncées dans une communication conjointe sur un engagement renforcé de l’UE en faveur d’une région arctique pacifique, durable et prospère, adoptée le 13 octobre 2021</w:t>
      </w:r>
      <w:r w:rsidRPr="00BF1788">
        <w:rPr>
          <w:rFonts w:eastAsia="Times New Roman" w:cs="Times New Roman"/>
          <w:szCs w:val="24"/>
          <w:vertAlign w:val="superscript"/>
          <w:lang w:val="fr-FR" w:eastAsia="en-GB"/>
        </w:rPr>
        <w:footnoteReference w:id="1"/>
      </w:r>
      <w:r w:rsidRPr="00BF1788">
        <w:rPr>
          <w:rFonts w:eastAsia="Times New Roman" w:cs="Times New Roman"/>
          <w:szCs w:val="24"/>
          <w:lang w:val="fr-FR" w:eastAsia="en-GB"/>
        </w:rPr>
        <w:t>, à la suite d’une consultation publique organisée en 2020. Cette communication conjointe fait directement référence à l’APPD. Elle reconnaît aussi l’importance géostratégique du Groenland dans l’Arctique, comme l’illustre, par exemple, l’établissement prévu d’un bureau de l’UE à Nuuk.</w:t>
      </w:r>
    </w:p>
    <w:p w:rsidR="00F36993" w:rsidRPr="00BF1788" w:rsidRDefault="00F36993">
      <w:pPr>
        <w:rPr>
          <w:lang w:val="fr-FR"/>
        </w:rPr>
      </w:pPr>
    </w:p>
    <w:sectPr w:rsidR="00F36993" w:rsidRPr="00BF1788" w:rsidSect="005D60A2">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788" w:rsidRDefault="00BF1788" w:rsidP="00BF1788">
      <w:pPr>
        <w:spacing w:after="0" w:line="240" w:lineRule="auto"/>
      </w:pPr>
      <w:r>
        <w:separator/>
      </w:r>
    </w:p>
  </w:endnote>
  <w:endnote w:type="continuationSeparator" w:id="0">
    <w:p w:rsidR="00BF1788" w:rsidRDefault="00BF1788" w:rsidP="00BF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81" w:rsidRDefault="00CA4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148665"/>
      <w:docPartObj>
        <w:docPartGallery w:val="Page Numbers (Bottom of Page)"/>
        <w:docPartUnique/>
      </w:docPartObj>
    </w:sdtPr>
    <w:sdtEndPr>
      <w:rPr>
        <w:noProof/>
        <w:sz w:val="18"/>
      </w:rPr>
    </w:sdtEndPr>
    <w:sdtContent>
      <w:p w:rsidR="005D60A2" w:rsidRPr="00807B13" w:rsidRDefault="00CA4FBD">
        <w:pPr>
          <w:pStyle w:val="Footer"/>
          <w:jc w:val="center"/>
          <w:rPr>
            <w:sz w:val="18"/>
          </w:rPr>
        </w:pPr>
        <w:r>
          <w:rPr>
            <w:sz w:val="18"/>
          </w:rPr>
          <w:fldChar w:fldCharType="begin"/>
        </w:r>
        <w:r>
          <w:rPr>
            <w:sz w:val="18"/>
          </w:rPr>
          <w:instrText xml:space="preserve"> PAGE   \* MERGEFORMAT </w:instrText>
        </w:r>
        <w:r>
          <w:rPr>
            <w:sz w:val="18"/>
          </w:rPr>
          <w:fldChar w:fldCharType="separate"/>
        </w:r>
        <w:r>
          <w:rPr>
            <w:noProof/>
            <w:sz w:val="18"/>
          </w:rPr>
          <w:t>2</w:t>
        </w:r>
        <w:r>
          <w:rPr>
            <w:sz w:val="18"/>
          </w:rPr>
          <w:fldChar w:fldCharType="end"/>
        </w:r>
      </w:p>
    </w:sdtContent>
  </w:sdt>
  <w:p w:rsidR="005D60A2" w:rsidRDefault="00CA4F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81" w:rsidRDefault="00CA4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788" w:rsidRDefault="00BF1788" w:rsidP="00BF1788">
      <w:pPr>
        <w:spacing w:after="0" w:line="240" w:lineRule="auto"/>
      </w:pPr>
      <w:r>
        <w:separator/>
      </w:r>
    </w:p>
  </w:footnote>
  <w:footnote w:type="continuationSeparator" w:id="0">
    <w:p w:rsidR="00BF1788" w:rsidRDefault="00BF1788" w:rsidP="00BF1788">
      <w:pPr>
        <w:spacing w:after="0" w:line="240" w:lineRule="auto"/>
      </w:pPr>
      <w:r>
        <w:continuationSeparator/>
      </w:r>
    </w:p>
  </w:footnote>
  <w:footnote w:id="1">
    <w:p w:rsidR="00BF1788" w:rsidRPr="001906AB" w:rsidRDefault="00BF1788" w:rsidP="00CA4FBD">
      <w:pPr>
        <w:pStyle w:val="FootnoteText"/>
        <w:tabs>
          <w:tab w:val="left" w:pos="284"/>
        </w:tabs>
      </w:pPr>
      <w:r>
        <w:rPr>
          <w:rStyle w:val="FootnoteCharacters"/>
        </w:rPr>
        <w:footnoteRef/>
      </w:r>
      <w:r>
        <w:t xml:space="preserve"> </w:t>
      </w:r>
      <w:r>
        <w:tab/>
        <w:t>JOIN(2021) 27 du 13.10.2021.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81" w:rsidRDefault="00CA4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81" w:rsidRDefault="00CA4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81" w:rsidRDefault="00CA4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43396"/>
    <w:multiLevelType w:val="multilevel"/>
    <w:tmpl w:val="A066E0D4"/>
    <w:lvl w:ilvl="0">
      <w:start w:val="1"/>
      <w:numFmt w:val="bullet"/>
      <w:lvlText w:val="-"/>
      <w:lvlJc w:val="left"/>
      <w:pPr>
        <w:tabs>
          <w:tab w:val="num" w:pos="0"/>
        </w:tabs>
        <w:ind w:left="720" w:hanging="360"/>
      </w:pPr>
      <w:rPr>
        <w:rFonts w:ascii="Courier New" w:hAnsi="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72C2BDC"/>
    <w:multiLevelType w:val="multilevel"/>
    <w:tmpl w:val="8E10A226"/>
    <w:lvl w:ilvl="0">
      <w:start w:val="3"/>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inkAnnotations="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88"/>
    <w:rsid w:val="000F15F1"/>
    <w:rsid w:val="001E37D4"/>
    <w:rsid w:val="00512EE8"/>
    <w:rsid w:val="0065281F"/>
    <w:rsid w:val="0076069D"/>
    <w:rsid w:val="00815B75"/>
    <w:rsid w:val="008342CE"/>
    <w:rsid w:val="0095347B"/>
    <w:rsid w:val="00BF1788"/>
    <w:rsid w:val="00CA4FBD"/>
    <w:rsid w:val="00EF1DA5"/>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CB89"/>
  <w15:chartTrackingRefBased/>
  <w15:docId w15:val="{0E700C94-438A-4FAF-9BFC-D897E569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F17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788"/>
    <w:rPr>
      <w:sz w:val="20"/>
      <w:szCs w:val="20"/>
    </w:rPr>
  </w:style>
  <w:style w:type="paragraph" w:styleId="Header">
    <w:name w:val="header"/>
    <w:basedOn w:val="Normal"/>
    <w:link w:val="HeaderChar"/>
    <w:uiPriority w:val="99"/>
    <w:unhideWhenUsed/>
    <w:rsid w:val="00BF1788"/>
    <w:pPr>
      <w:tabs>
        <w:tab w:val="center" w:pos="4680"/>
        <w:tab w:val="right" w:pos="9360"/>
      </w:tabs>
      <w:spacing w:after="0" w:line="240" w:lineRule="auto"/>
      <w:jc w:val="both"/>
    </w:pPr>
    <w:rPr>
      <w:rFonts w:ascii="Courier New" w:eastAsia="Times New Roman" w:hAnsi="Courier New" w:cs="Times New Roman"/>
      <w:szCs w:val="20"/>
      <w:lang w:val="fr-FR" w:eastAsia="en-GB"/>
    </w:rPr>
  </w:style>
  <w:style w:type="character" w:customStyle="1" w:styleId="HeaderChar">
    <w:name w:val="Header Char"/>
    <w:basedOn w:val="DefaultParagraphFont"/>
    <w:link w:val="Header"/>
    <w:uiPriority w:val="99"/>
    <w:rsid w:val="00BF1788"/>
    <w:rPr>
      <w:rFonts w:ascii="Courier New" w:eastAsia="Times New Roman" w:hAnsi="Courier New" w:cs="Times New Roman"/>
      <w:szCs w:val="20"/>
      <w:lang w:val="fr-FR" w:eastAsia="en-GB"/>
    </w:rPr>
  </w:style>
  <w:style w:type="paragraph" w:styleId="Footer">
    <w:name w:val="footer"/>
    <w:basedOn w:val="Normal"/>
    <w:link w:val="FooterChar"/>
    <w:uiPriority w:val="99"/>
    <w:unhideWhenUsed/>
    <w:rsid w:val="00BF1788"/>
    <w:pPr>
      <w:tabs>
        <w:tab w:val="center" w:pos="4680"/>
        <w:tab w:val="right" w:pos="9360"/>
      </w:tabs>
      <w:spacing w:after="0" w:line="240" w:lineRule="auto"/>
      <w:jc w:val="both"/>
    </w:pPr>
    <w:rPr>
      <w:rFonts w:ascii="Courier New" w:eastAsia="Times New Roman" w:hAnsi="Courier New" w:cs="Times New Roman"/>
      <w:szCs w:val="20"/>
      <w:lang w:val="fr-FR" w:eastAsia="en-GB"/>
    </w:rPr>
  </w:style>
  <w:style w:type="character" w:customStyle="1" w:styleId="FooterChar">
    <w:name w:val="Footer Char"/>
    <w:basedOn w:val="DefaultParagraphFont"/>
    <w:link w:val="Footer"/>
    <w:uiPriority w:val="99"/>
    <w:rsid w:val="00BF1788"/>
    <w:rPr>
      <w:rFonts w:ascii="Courier New" w:eastAsia="Times New Roman" w:hAnsi="Courier New" w:cs="Times New Roman"/>
      <w:szCs w:val="20"/>
      <w:lang w:val="fr-FR" w:eastAsia="en-GB"/>
    </w:rPr>
  </w:style>
  <w:style w:type="character" w:customStyle="1" w:styleId="FootnoteCharacters">
    <w:name w:val="Footnote Characters"/>
    <w:uiPriority w:val="99"/>
    <w:qFormat/>
    <w:rsid w:val="00BF17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1857</Words>
  <Characters>10385</Characters>
  <Application>Microsoft Office Word</Application>
  <DocSecurity>0</DocSecurity>
  <Lines>146</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2022-01-25T13:00:00Z</dcterms:created>
  <dcterms:modified xsi:type="dcterms:W3CDTF">2022-01-25T13:02:00Z</dcterms:modified>
</cp:coreProperties>
</file>