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34" w:rsidRPr="00BF0980" w:rsidRDefault="001F0934" w:rsidP="001F0934">
      <w:pPr>
        <w:spacing w:after="600"/>
        <w:jc w:val="center"/>
        <w:rPr>
          <w:rFonts w:ascii="Times New Roman" w:hAnsi="Times New Roman"/>
          <w:b/>
          <w:bCs/>
          <w:szCs w:val="24"/>
        </w:rPr>
      </w:pPr>
      <w:bookmarkStart w:id="0" w:name="_GoBack"/>
      <w:bookmarkEnd w:id="0"/>
      <w:r w:rsidRPr="00BF0980">
        <w:rPr>
          <w:rFonts w:ascii="Times New Roman" w:hAnsi="Times New Roman"/>
          <w:b/>
          <w:bCs/>
          <w:szCs w:val="24"/>
        </w:rPr>
        <w:t xml:space="preserve">Follow up to the </w:t>
      </w:r>
      <w:r w:rsidRPr="00BF0980">
        <w:rPr>
          <w:rFonts w:ascii="Times New Roman" w:hAnsi="Times New Roman"/>
          <w:b/>
          <w:szCs w:val="24"/>
        </w:rPr>
        <w:t>European Parliament non-legislative resolution</w:t>
      </w:r>
      <w:r w:rsidRPr="00BF0980">
        <w:rPr>
          <w:rFonts w:ascii="Times New Roman" w:hAnsi="Times New Roman"/>
          <w:noProof/>
          <w:szCs w:val="24"/>
        </w:rPr>
        <w:t xml:space="preserve"> </w:t>
      </w:r>
      <w:r w:rsidRPr="00C50CA4">
        <w:rPr>
          <w:rFonts w:ascii="Times New Roman" w:hAnsi="Times New Roman"/>
          <w:b/>
          <w:szCs w:val="24"/>
          <w:shd w:val="clear" w:color="auto" w:fill="FFFFFF"/>
        </w:rPr>
        <w:t>on the future of European education in the context of COVID-19</w:t>
      </w:r>
    </w:p>
    <w:p w:rsidR="001F0934" w:rsidRPr="00C50CA4" w:rsidRDefault="001F0934" w:rsidP="001F0934">
      <w:pPr>
        <w:numPr>
          <w:ilvl w:val="0"/>
          <w:numId w:val="1"/>
        </w:numPr>
        <w:spacing w:after="240" w:line="240" w:lineRule="auto"/>
        <w:ind w:left="720"/>
        <w:jc w:val="both"/>
        <w:rPr>
          <w:rFonts w:ascii="Times New Roman" w:hAnsi="Times New Roman"/>
          <w:b/>
          <w:szCs w:val="24"/>
        </w:rPr>
      </w:pPr>
      <w:r w:rsidRPr="00BF0980">
        <w:rPr>
          <w:rFonts w:ascii="Times New Roman" w:hAnsi="Times New Roman"/>
          <w:b/>
          <w:bCs/>
          <w:szCs w:val="24"/>
        </w:rPr>
        <w:t>Resolution tabled pursuant to Rule 1</w:t>
      </w:r>
      <w:r>
        <w:rPr>
          <w:rFonts w:ascii="Times New Roman" w:hAnsi="Times New Roman"/>
          <w:b/>
          <w:bCs/>
          <w:szCs w:val="24"/>
        </w:rPr>
        <w:t>36</w:t>
      </w:r>
      <w:r w:rsidRPr="00BF0980">
        <w:rPr>
          <w:rFonts w:ascii="Times New Roman" w:hAnsi="Times New Roman"/>
          <w:b/>
          <w:bCs/>
          <w:szCs w:val="24"/>
        </w:rPr>
        <w:t>(</w:t>
      </w:r>
      <w:r>
        <w:rPr>
          <w:rFonts w:ascii="Times New Roman" w:hAnsi="Times New Roman"/>
          <w:b/>
          <w:bCs/>
          <w:szCs w:val="24"/>
        </w:rPr>
        <w:t>5</w:t>
      </w:r>
      <w:r w:rsidRPr="00BF0980">
        <w:rPr>
          <w:rFonts w:ascii="Times New Roman" w:hAnsi="Times New Roman"/>
          <w:b/>
          <w:bCs/>
          <w:szCs w:val="24"/>
        </w:rPr>
        <w:t xml:space="preserve">) of the European </w:t>
      </w:r>
      <w:r>
        <w:rPr>
          <w:rFonts w:ascii="Times New Roman" w:hAnsi="Times New Roman"/>
          <w:b/>
          <w:bCs/>
          <w:szCs w:val="24"/>
        </w:rPr>
        <w:t>Parliament's Rules of Procedure</w:t>
      </w:r>
    </w:p>
    <w:p w:rsidR="001F0934" w:rsidRPr="00BF0980" w:rsidRDefault="001F0934" w:rsidP="001F0934">
      <w:pPr>
        <w:numPr>
          <w:ilvl w:val="0"/>
          <w:numId w:val="1"/>
        </w:numPr>
        <w:spacing w:after="240" w:line="240" w:lineRule="auto"/>
        <w:ind w:left="720"/>
        <w:jc w:val="both"/>
        <w:rPr>
          <w:rFonts w:ascii="Times New Roman" w:hAnsi="Times New Roman"/>
          <w:i/>
          <w:szCs w:val="24"/>
        </w:rPr>
      </w:pPr>
      <w:r w:rsidRPr="00BF0980">
        <w:rPr>
          <w:rFonts w:ascii="Times New Roman" w:hAnsi="Times New Roman"/>
          <w:b/>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w:t>
      </w:r>
      <w:r>
        <w:rPr>
          <w:rFonts w:ascii="Times New Roman" w:hAnsi="Times New Roman"/>
          <w:szCs w:val="24"/>
        </w:rPr>
        <w:t>2760</w:t>
      </w:r>
      <w:r w:rsidRPr="00BF0980">
        <w:rPr>
          <w:rFonts w:ascii="Times New Roman" w:hAnsi="Times New Roman"/>
          <w:szCs w:val="24"/>
        </w:rPr>
        <w:t xml:space="preserve"> (</w:t>
      </w:r>
      <w:r>
        <w:rPr>
          <w:rFonts w:ascii="Times New Roman" w:hAnsi="Times New Roman"/>
          <w:szCs w:val="24"/>
        </w:rPr>
        <w:t>RSP) / B</w:t>
      </w:r>
      <w:r w:rsidRPr="00BF0980">
        <w:rPr>
          <w:rFonts w:ascii="Times New Roman" w:hAnsi="Times New Roman"/>
          <w:szCs w:val="24"/>
        </w:rPr>
        <w:t>9-0</w:t>
      </w:r>
      <w:r>
        <w:rPr>
          <w:rFonts w:ascii="Times New Roman" w:hAnsi="Times New Roman"/>
          <w:szCs w:val="24"/>
        </w:rPr>
        <w:t>338</w:t>
      </w:r>
      <w:r w:rsidRPr="00BF0980">
        <w:rPr>
          <w:rFonts w:ascii="Times New Roman" w:hAnsi="Times New Roman"/>
          <w:szCs w:val="24"/>
        </w:rPr>
        <w:t>/2020 / P9_TA-PROV(2020)0</w:t>
      </w:r>
      <w:r>
        <w:rPr>
          <w:rFonts w:ascii="Times New Roman" w:hAnsi="Times New Roman"/>
          <w:szCs w:val="24"/>
        </w:rPr>
        <w:t>282</w:t>
      </w:r>
    </w:p>
    <w:p w:rsidR="001F0934" w:rsidRPr="00BF0980" w:rsidRDefault="001F0934" w:rsidP="001F0934">
      <w:pPr>
        <w:numPr>
          <w:ilvl w:val="0"/>
          <w:numId w:val="1"/>
        </w:numPr>
        <w:spacing w:after="240" w:line="240" w:lineRule="auto"/>
        <w:ind w:left="720"/>
        <w:jc w:val="both"/>
        <w:rPr>
          <w:rFonts w:ascii="Times New Roman" w:hAnsi="Times New Roman"/>
          <w:szCs w:val="24"/>
        </w:rPr>
      </w:pPr>
      <w:r w:rsidRPr="00BF0980">
        <w:rPr>
          <w:rFonts w:ascii="Times New Roman" w:hAnsi="Times New Roman"/>
          <w:b/>
          <w:szCs w:val="24"/>
        </w:rPr>
        <w:t>Date of adoption of the resolution:</w:t>
      </w:r>
      <w:r w:rsidRPr="00BF0980">
        <w:rPr>
          <w:rFonts w:ascii="Times New Roman" w:hAnsi="Times New Roman"/>
          <w:szCs w:val="24"/>
        </w:rPr>
        <w:t xml:space="preserve"> </w:t>
      </w:r>
      <w:r>
        <w:rPr>
          <w:rFonts w:ascii="Times New Roman" w:hAnsi="Times New Roman"/>
          <w:szCs w:val="24"/>
        </w:rPr>
        <w:t>22 October 2020</w:t>
      </w:r>
    </w:p>
    <w:p w:rsidR="001F0934" w:rsidRPr="00BF0980" w:rsidRDefault="001F0934" w:rsidP="001F0934">
      <w:pPr>
        <w:pStyle w:val="ListParagraph"/>
        <w:numPr>
          <w:ilvl w:val="0"/>
          <w:numId w:val="1"/>
        </w:numPr>
        <w:spacing w:after="240"/>
        <w:ind w:left="720"/>
        <w:jc w:val="both"/>
        <w:rPr>
          <w:rFonts w:ascii="Times New Roman" w:hAnsi="Times New Roman"/>
          <w:sz w:val="24"/>
          <w:szCs w:val="24"/>
          <w:lang w:val="en-GB"/>
        </w:rPr>
      </w:pPr>
      <w:r w:rsidRPr="00BF0980">
        <w:rPr>
          <w:rFonts w:ascii="Times New Roman" w:hAnsi="Times New Roman"/>
          <w:b/>
          <w:sz w:val="24"/>
          <w:szCs w:val="24"/>
          <w:lang w:val="en-GB"/>
        </w:rPr>
        <w:t>Competent Parliamentary Committee:</w:t>
      </w:r>
      <w:r w:rsidRPr="00BF0980">
        <w:rPr>
          <w:rFonts w:ascii="Times New Roman" w:hAnsi="Times New Roman"/>
          <w:sz w:val="24"/>
          <w:szCs w:val="24"/>
          <w:lang w:val="en-GB"/>
        </w:rPr>
        <w:t xml:space="preserve"> </w:t>
      </w:r>
      <w:r w:rsidRPr="00D65062">
        <w:rPr>
          <w:rFonts w:ascii="Times New Roman" w:hAnsi="Times New Roman"/>
          <w:sz w:val="24"/>
          <w:szCs w:val="24"/>
          <w:lang w:val="en-GB"/>
        </w:rPr>
        <w:t xml:space="preserve">Committee on </w:t>
      </w:r>
      <w:r w:rsidRPr="00D65062">
        <w:rPr>
          <w:rStyle w:val="epname"/>
          <w:rFonts w:ascii="Times New Roman" w:hAnsi="Times New Roman"/>
          <w:sz w:val="24"/>
          <w:szCs w:val="24"/>
          <w:bdr w:val="none" w:sz="0" w:space="0" w:color="auto" w:frame="1"/>
        </w:rPr>
        <w:t xml:space="preserve">Culture and Education </w:t>
      </w:r>
      <w:r w:rsidRPr="00D65062">
        <w:rPr>
          <w:rFonts w:ascii="Times New Roman" w:hAnsi="Times New Roman"/>
          <w:sz w:val="24"/>
          <w:szCs w:val="24"/>
          <w:lang w:val="en-GB"/>
        </w:rPr>
        <w:t>(CULT)</w:t>
      </w:r>
    </w:p>
    <w:p w:rsidR="001F0934" w:rsidRPr="00186C17" w:rsidRDefault="001F0934" w:rsidP="001F0934">
      <w:pPr>
        <w:widowControl w:val="0"/>
        <w:numPr>
          <w:ilvl w:val="0"/>
          <w:numId w:val="1"/>
        </w:numPr>
        <w:spacing w:after="240" w:line="240" w:lineRule="auto"/>
        <w:ind w:left="720"/>
        <w:jc w:val="both"/>
        <w:rPr>
          <w:rFonts w:ascii="Times New Roman" w:hAnsi="Times New Roman"/>
          <w:szCs w:val="24"/>
        </w:rPr>
      </w:pPr>
      <w:r w:rsidRPr="00BF0980">
        <w:rPr>
          <w:rFonts w:ascii="Times New Roman" w:hAnsi="Times New Roman"/>
          <w:b/>
          <w:szCs w:val="24"/>
        </w:rPr>
        <w:t>Brief analysis/assessment of the resolution and requests made in it:</w:t>
      </w:r>
    </w:p>
    <w:p w:rsidR="001F0934" w:rsidRPr="00657A93" w:rsidRDefault="001F0934" w:rsidP="0057291F">
      <w:pPr>
        <w:widowControl w:val="0"/>
        <w:spacing w:after="120"/>
        <w:jc w:val="both"/>
        <w:rPr>
          <w:rFonts w:ascii="Times New Roman" w:hAnsi="Times New Roman"/>
          <w:b/>
          <w:i/>
          <w:szCs w:val="24"/>
        </w:rPr>
      </w:pPr>
      <w:r>
        <w:rPr>
          <w:rFonts w:ascii="Times New Roman" w:hAnsi="Times New Roman"/>
          <w:szCs w:val="24"/>
        </w:rPr>
        <w:t>The r</w:t>
      </w:r>
      <w:r w:rsidRPr="00657A93">
        <w:rPr>
          <w:rFonts w:ascii="Times New Roman" w:hAnsi="Times New Roman"/>
          <w:szCs w:val="24"/>
        </w:rPr>
        <w:t>esolution addresses the COVID-19 pandemic and the future of education in Europe, referring to the importance of distance and online learning during the crisis as a way to ensure continuity of the teaching and learning process. It points out gaps in digital education and digital divides, related to infrastructure, digital equipment, online teaching</w:t>
      </w:r>
      <w:r>
        <w:rPr>
          <w:rFonts w:ascii="Times New Roman" w:hAnsi="Times New Roman"/>
          <w:szCs w:val="24"/>
        </w:rPr>
        <w:t>,</w:t>
      </w:r>
      <w:r w:rsidRPr="00657A93">
        <w:rPr>
          <w:rFonts w:ascii="Times New Roman" w:hAnsi="Times New Roman"/>
          <w:szCs w:val="24"/>
        </w:rPr>
        <w:t xml:space="preserve"> digital skills and competences. In view of that, it calls for reinforced investments in addressing the digital divide. The </w:t>
      </w:r>
      <w:r>
        <w:rPr>
          <w:rFonts w:ascii="Times New Roman" w:hAnsi="Times New Roman"/>
          <w:szCs w:val="24"/>
        </w:rPr>
        <w:t>r</w:t>
      </w:r>
      <w:r w:rsidRPr="00657A93">
        <w:rPr>
          <w:rFonts w:ascii="Times New Roman" w:hAnsi="Times New Roman"/>
          <w:szCs w:val="24"/>
        </w:rPr>
        <w:t xml:space="preserve">esolution also underlines that the pandemic </w:t>
      </w:r>
      <w:r>
        <w:rPr>
          <w:rFonts w:ascii="Times New Roman" w:hAnsi="Times New Roman"/>
          <w:szCs w:val="24"/>
        </w:rPr>
        <w:t>is</w:t>
      </w:r>
      <w:r w:rsidRPr="00657A93">
        <w:rPr>
          <w:rFonts w:ascii="Times New Roman" w:hAnsi="Times New Roman"/>
          <w:szCs w:val="24"/>
        </w:rPr>
        <w:t xml:space="preserve"> an opportunity to rethink education and </w:t>
      </w:r>
      <w:r>
        <w:rPr>
          <w:rFonts w:ascii="Times New Roman" w:hAnsi="Times New Roman"/>
          <w:szCs w:val="24"/>
        </w:rPr>
        <w:t xml:space="preserve">to </w:t>
      </w:r>
      <w:r w:rsidRPr="00657A93">
        <w:rPr>
          <w:rFonts w:ascii="Times New Roman" w:hAnsi="Times New Roman"/>
          <w:szCs w:val="24"/>
        </w:rPr>
        <w:t>modernise it, in line with the approach taken in the new Digital E</w:t>
      </w:r>
      <w:r>
        <w:rPr>
          <w:rFonts w:ascii="Times New Roman" w:hAnsi="Times New Roman"/>
          <w:szCs w:val="24"/>
        </w:rPr>
        <w:t>ducation Action Plan 2021-2027.</w:t>
      </w:r>
    </w:p>
    <w:p w:rsidR="001F0934" w:rsidRPr="00206474" w:rsidRDefault="001F0934" w:rsidP="0057291F">
      <w:pPr>
        <w:widowControl w:val="0"/>
        <w:spacing w:after="120"/>
        <w:jc w:val="both"/>
        <w:rPr>
          <w:rFonts w:ascii="Times New Roman" w:hAnsi="Times New Roman"/>
          <w:szCs w:val="24"/>
        </w:rPr>
      </w:pPr>
      <w:r w:rsidRPr="00657A93">
        <w:rPr>
          <w:rFonts w:ascii="Times New Roman" w:hAnsi="Times New Roman"/>
          <w:szCs w:val="24"/>
        </w:rPr>
        <w:t xml:space="preserve">The Commission welcomes the </w:t>
      </w:r>
      <w:r>
        <w:rPr>
          <w:rFonts w:ascii="Times New Roman" w:hAnsi="Times New Roman"/>
          <w:szCs w:val="24"/>
        </w:rPr>
        <w:t>r</w:t>
      </w:r>
      <w:r w:rsidRPr="00657A93">
        <w:rPr>
          <w:rFonts w:ascii="Times New Roman" w:hAnsi="Times New Roman"/>
          <w:szCs w:val="24"/>
        </w:rPr>
        <w:t>esolution and confirms its strong commitment to support education and training systems</w:t>
      </w:r>
      <w:r>
        <w:rPr>
          <w:rFonts w:ascii="Times New Roman" w:hAnsi="Times New Roman"/>
          <w:szCs w:val="24"/>
        </w:rPr>
        <w:t xml:space="preserve">, </w:t>
      </w:r>
      <w:r w:rsidRPr="00657A93">
        <w:rPr>
          <w:rFonts w:ascii="Times New Roman" w:hAnsi="Times New Roman"/>
          <w:szCs w:val="24"/>
        </w:rPr>
        <w:t xml:space="preserve">to address the implications of the COVID-19 crisis and </w:t>
      </w:r>
      <w:r>
        <w:rPr>
          <w:rFonts w:ascii="Times New Roman" w:hAnsi="Times New Roman"/>
          <w:szCs w:val="24"/>
        </w:rPr>
        <w:t xml:space="preserve">to help </w:t>
      </w:r>
      <w:r w:rsidRPr="00657A93">
        <w:rPr>
          <w:rFonts w:ascii="Times New Roman" w:hAnsi="Times New Roman"/>
          <w:szCs w:val="24"/>
        </w:rPr>
        <w:t>implement effective and high-quality digital education</w:t>
      </w:r>
      <w:r>
        <w:rPr>
          <w:rFonts w:ascii="Times New Roman" w:hAnsi="Times New Roman"/>
          <w:szCs w:val="24"/>
        </w:rPr>
        <w:t>, while acknowledging that digital education does not represent by itself the total future of education, which lies instead into an optimal blending of physical and distance learning</w:t>
      </w:r>
      <w:r w:rsidRPr="00657A93">
        <w:rPr>
          <w:rFonts w:ascii="Times New Roman" w:hAnsi="Times New Roman"/>
          <w:szCs w:val="24"/>
        </w:rPr>
        <w:t>.</w:t>
      </w:r>
    </w:p>
    <w:p w:rsidR="001F0934" w:rsidRPr="00055E03" w:rsidRDefault="001F0934" w:rsidP="0057291F">
      <w:pPr>
        <w:numPr>
          <w:ilvl w:val="0"/>
          <w:numId w:val="1"/>
        </w:numPr>
        <w:spacing w:after="240" w:line="240" w:lineRule="auto"/>
        <w:ind w:left="720"/>
        <w:jc w:val="both"/>
        <w:rPr>
          <w:rFonts w:ascii="Times New Roman" w:hAnsi="Times New Roman"/>
          <w:szCs w:val="24"/>
        </w:rPr>
      </w:pPr>
      <w:r w:rsidRPr="00BF0980">
        <w:rPr>
          <w:rFonts w:ascii="Times New Roman" w:hAnsi="Times New Roman"/>
          <w:b/>
          <w:szCs w:val="24"/>
        </w:rPr>
        <w:t>Response to the requests in the resolution and overview of the action taken, or intended to be taken, by the Commission:</w:t>
      </w:r>
    </w:p>
    <w:p w:rsidR="001F0934" w:rsidRPr="00657A93" w:rsidRDefault="001F0934" w:rsidP="0057291F">
      <w:pPr>
        <w:widowControl w:val="0"/>
        <w:spacing w:after="120"/>
        <w:jc w:val="both"/>
        <w:rPr>
          <w:rFonts w:ascii="Times New Roman" w:hAnsi="Times New Roman"/>
          <w:szCs w:val="24"/>
        </w:rPr>
      </w:pPr>
      <w:r w:rsidRPr="00657A93">
        <w:rPr>
          <w:rFonts w:ascii="Times New Roman" w:hAnsi="Times New Roman"/>
          <w:szCs w:val="24"/>
        </w:rPr>
        <w:t>In relation to the call on the Commission to provide a platform for Member States to share good practices and explore possibilities for new initiatives, such as the creation of a European Online University (</w:t>
      </w:r>
      <w:r w:rsidRPr="00657A93">
        <w:rPr>
          <w:rFonts w:ascii="Times New Roman" w:hAnsi="Times New Roman"/>
          <w:b/>
          <w:szCs w:val="24"/>
        </w:rPr>
        <w:t>paragraph 1</w:t>
      </w:r>
      <w:r w:rsidRPr="00657A93">
        <w:rPr>
          <w:rFonts w:ascii="Times New Roman" w:hAnsi="Times New Roman"/>
          <w:szCs w:val="24"/>
        </w:rPr>
        <w:t xml:space="preserve">), </w:t>
      </w:r>
      <w:r w:rsidRPr="00754830">
        <w:rPr>
          <w:rFonts w:ascii="Times New Roman" w:hAnsi="Times New Roman"/>
        </w:rPr>
        <w:t>the Commission</w:t>
      </w:r>
      <w:r w:rsidRPr="00657A93">
        <w:rPr>
          <w:rFonts w:ascii="Times New Roman" w:hAnsi="Times New Roman"/>
        </w:rPr>
        <w:t xml:space="preserve"> fully recognises the importance of ensuring better coordination at EU level. </w:t>
      </w:r>
      <w:r>
        <w:rPr>
          <w:rFonts w:ascii="Times New Roman" w:hAnsi="Times New Roman"/>
        </w:rPr>
        <w:t>T</w:t>
      </w:r>
      <w:r w:rsidRPr="00657A93">
        <w:rPr>
          <w:rFonts w:ascii="Times New Roman" w:hAnsi="Times New Roman"/>
        </w:rPr>
        <w:t xml:space="preserve">he COVID-19 crisis </w:t>
      </w:r>
      <w:r>
        <w:rPr>
          <w:rFonts w:ascii="Times New Roman" w:hAnsi="Times New Roman"/>
        </w:rPr>
        <w:t>has indeed brought to the fore</w:t>
      </w:r>
      <w:r w:rsidRPr="00657A93">
        <w:rPr>
          <w:rFonts w:ascii="Times New Roman" w:hAnsi="Times New Roman"/>
        </w:rPr>
        <w:t xml:space="preserve"> a number of good </w:t>
      </w:r>
      <w:r>
        <w:rPr>
          <w:rFonts w:ascii="Times New Roman" w:hAnsi="Times New Roman"/>
        </w:rPr>
        <w:t>practices</w:t>
      </w:r>
      <w:r w:rsidRPr="00657A93">
        <w:rPr>
          <w:rFonts w:ascii="Times New Roman" w:hAnsi="Times New Roman"/>
        </w:rPr>
        <w:t xml:space="preserve"> that </w:t>
      </w:r>
      <w:r>
        <w:rPr>
          <w:rFonts w:ascii="Times New Roman" w:hAnsi="Times New Roman"/>
        </w:rPr>
        <w:t>deserve</w:t>
      </w:r>
      <w:r w:rsidRPr="00657A93">
        <w:rPr>
          <w:rFonts w:ascii="Times New Roman" w:hAnsi="Times New Roman"/>
        </w:rPr>
        <w:t xml:space="preserve"> be</w:t>
      </w:r>
      <w:r>
        <w:rPr>
          <w:rFonts w:ascii="Times New Roman" w:hAnsi="Times New Roman"/>
        </w:rPr>
        <w:t>ing</w:t>
      </w:r>
      <w:r w:rsidRPr="00657A93">
        <w:rPr>
          <w:rFonts w:ascii="Times New Roman" w:hAnsi="Times New Roman"/>
        </w:rPr>
        <w:t xml:space="preserve"> promoted and scaled up. To </w:t>
      </w:r>
      <w:r>
        <w:rPr>
          <w:rFonts w:ascii="Times New Roman" w:hAnsi="Times New Roman"/>
        </w:rPr>
        <w:t>this effect</w:t>
      </w:r>
      <w:r w:rsidRPr="00657A93">
        <w:rPr>
          <w:rFonts w:ascii="Times New Roman" w:hAnsi="Times New Roman"/>
        </w:rPr>
        <w:t xml:space="preserve">, </w:t>
      </w:r>
      <w:r>
        <w:rPr>
          <w:rFonts w:ascii="Times New Roman" w:hAnsi="Times New Roman"/>
        </w:rPr>
        <w:t xml:space="preserve">the Commission launched an </w:t>
      </w:r>
      <w:r w:rsidRPr="00874DFC">
        <w:rPr>
          <w:rFonts w:ascii="Times New Roman" w:hAnsi="Times New Roman"/>
        </w:rPr>
        <w:t xml:space="preserve">online platform (Distance Learning Network) </w:t>
      </w:r>
      <w:r>
        <w:rPr>
          <w:rFonts w:ascii="Times New Roman" w:hAnsi="Times New Roman"/>
        </w:rPr>
        <w:t xml:space="preserve">for secondary and tertiary education, where representatives from Member States could share their experience and exchange their views on all topics related to online and distance learning during the pandemic and beyond. Member States participated very actively in this platform. Furthermore, the Commission created </w:t>
      </w:r>
      <w:r w:rsidRPr="00467292">
        <w:rPr>
          <w:rFonts w:ascii="Times New Roman" w:hAnsi="Times New Roman"/>
        </w:rPr>
        <w:t xml:space="preserve">a webpage </w:t>
      </w:r>
      <w:r>
        <w:rPr>
          <w:rFonts w:ascii="Times New Roman" w:hAnsi="Times New Roman"/>
        </w:rPr>
        <w:t>collecting all</w:t>
      </w:r>
      <w:r w:rsidRPr="00467292">
        <w:rPr>
          <w:rFonts w:ascii="Times New Roman" w:hAnsi="Times New Roman"/>
        </w:rPr>
        <w:t xml:space="preserve"> available </w:t>
      </w:r>
      <w:r>
        <w:rPr>
          <w:rFonts w:ascii="Times New Roman" w:hAnsi="Times New Roman"/>
        </w:rPr>
        <w:t xml:space="preserve">EU-level </w:t>
      </w:r>
      <w:r w:rsidRPr="00467292">
        <w:rPr>
          <w:rFonts w:ascii="Times New Roman" w:hAnsi="Times New Roman"/>
        </w:rPr>
        <w:t>online learning materials</w:t>
      </w:r>
      <w:r>
        <w:rPr>
          <w:rStyle w:val="FootnoteReference"/>
          <w:rFonts w:ascii="Times New Roman" w:hAnsi="Times New Roman"/>
        </w:rPr>
        <w:footnoteReference w:id="1"/>
      </w:r>
      <w:r>
        <w:rPr>
          <w:rFonts w:ascii="Times New Roman" w:hAnsi="Times New Roman"/>
        </w:rPr>
        <w:t>. Finally, within the context of the Digital Education Action Plan</w:t>
      </w:r>
      <w:r>
        <w:rPr>
          <w:rStyle w:val="FootnoteReference"/>
          <w:rFonts w:ascii="Times New Roman" w:hAnsi="Times New Roman"/>
        </w:rPr>
        <w:footnoteReference w:id="2"/>
      </w:r>
      <w:r>
        <w:rPr>
          <w:rFonts w:ascii="Times New Roman" w:hAnsi="Times New Roman"/>
        </w:rPr>
        <w:t xml:space="preserve">, </w:t>
      </w:r>
      <w:r w:rsidRPr="00657A93">
        <w:rPr>
          <w:rFonts w:ascii="Times New Roman" w:hAnsi="Times New Roman"/>
        </w:rPr>
        <w:t xml:space="preserve">the Commission </w:t>
      </w:r>
      <w:r w:rsidRPr="008514AB">
        <w:rPr>
          <w:rFonts w:ascii="Times New Roman" w:hAnsi="Times New Roman"/>
        </w:rPr>
        <w:t>will launch</w:t>
      </w:r>
      <w:r w:rsidRPr="00657A93">
        <w:rPr>
          <w:rFonts w:ascii="Times New Roman" w:hAnsi="Times New Roman"/>
        </w:rPr>
        <w:t xml:space="preserve"> a European Digital Education Hub</w:t>
      </w:r>
      <w:r w:rsidRPr="00564F84">
        <w:rPr>
          <w:rFonts w:ascii="Times New Roman" w:hAnsi="Times New Roman"/>
        </w:rPr>
        <w:t xml:space="preserve">, </w:t>
      </w:r>
      <w:r w:rsidRPr="00657A93">
        <w:rPr>
          <w:rFonts w:ascii="Times New Roman" w:hAnsi="Times New Roman"/>
        </w:rPr>
        <w:t>which will increase exchange</w:t>
      </w:r>
      <w:r>
        <w:rPr>
          <w:rFonts w:ascii="Times New Roman" w:hAnsi="Times New Roman"/>
        </w:rPr>
        <w:t>s</w:t>
      </w:r>
      <w:r w:rsidRPr="00657A93">
        <w:rPr>
          <w:rFonts w:ascii="Times New Roman" w:hAnsi="Times New Roman"/>
        </w:rPr>
        <w:t xml:space="preserve"> of good practices and cooperation at regional, national and EU level. The Hub will have a key role in linking policy, practice</w:t>
      </w:r>
      <w:r>
        <w:rPr>
          <w:rFonts w:ascii="Times New Roman" w:hAnsi="Times New Roman"/>
        </w:rPr>
        <w:t xml:space="preserve"> and</w:t>
      </w:r>
      <w:r w:rsidRPr="00657A93">
        <w:rPr>
          <w:rFonts w:ascii="Times New Roman" w:hAnsi="Times New Roman"/>
        </w:rPr>
        <w:t xml:space="preserve"> research and monitor digital education across the EU.</w:t>
      </w:r>
      <w:r>
        <w:rPr>
          <w:rFonts w:ascii="Times New Roman" w:hAnsi="Times New Roman"/>
        </w:rPr>
        <w:t xml:space="preserve"> Regarding the creation of a European Online University, in line with the competences of the EU in the field of education and training, this is a prerogative of the Member States and the Commission has no competence to act.</w:t>
      </w:r>
    </w:p>
    <w:p w:rsidR="001F0934" w:rsidRDefault="001F0934" w:rsidP="0057291F">
      <w:pPr>
        <w:widowControl w:val="0"/>
        <w:spacing w:after="120"/>
        <w:jc w:val="both"/>
        <w:rPr>
          <w:rFonts w:ascii="Times New Roman" w:hAnsi="Times New Roman"/>
        </w:rPr>
      </w:pPr>
      <w:r>
        <w:rPr>
          <w:rFonts w:ascii="Times New Roman" w:hAnsi="Times New Roman"/>
          <w:szCs w:val="24"/>
        </w:rPr>
        <w:lastRenderedPageBreak/>
        <w:t>Regarding</w:t>
      </w:r>
      <w:r w:rsidRPr="00657A93">
        <w:rPr>
          <w:rFonts w:ascii="Times New Roman" w:hAnsi="Times New Roman"/>
          <w:szCs w:val="24"/>
        </w:rPr>
        <w:t xml:space="preserve"> the call on the Commission to support activities</w:t>
      </w:r>
      <w:r>
        <w:rPr>
          <w:rFonts w:ascii="Times New Roman" w:hAnsi="Times New Roman"/>
          <w:szCs w:val="24"/>
        </w:rPr>
        <w:t>,</w:t>
      </w:r>
      <w:r w:rsidRPr="00657A93">
        <w:rPr>
          <w:rFonts w:ascii="Times New Roman" w:hAnsi="Times New Roman"/>
          <w:szCs w:val="24"/>
        </w:rPr>
        <w:t xml:space="preserve"> which invest in </w:t>
      </w:r>
      <w:r>
        <w:rPr>
          <w:rFonts w:ascii="Times New Roman" w:hAnsi="Times New Roman"/>
          <w:szCs w:val="24"/>
        </w:rPr>
        <w:t xml:space="preserve">the </w:t>
      </w:r>
      <w:r w:rsidRPr="00657A93">
        <w:rPr>
          <w:rFonts w:ascii="Times New Roman" w:hAnsi="Times New Roman"/>
          <w:szCs w:val="24"/>
        </w:rPr>
        <w:t xml:space="preserve">upskilling and </w:t>
      </w:r>
      <w:r>
        <w:rPr>
          <w:rFonts w:ascii="Times New Roman" w:hAnsi="Times New Roman"/>
          <w:szCs w:val="24"/>
        </w:rPr>
        <w:t xml:space="preserve">the </w:t>
      </w:r>
      <w:r w:rsidRPr="00657A93">
        <w:rPr>
          <w:rFonts w:ascii="Times New Roman" w:hAnsi="Times New Roman"/>
          <w:szCs w:val="24"/>
        </w:rPr>
        <w:t xml:space="preserve">professional development </w:t>
      </w:r>
      <w:r>
        <w:rPr>
          <w:rFonts w:ascii="Times New Roman" w:hAnsi="Times New Roman"/>
          <w:szCs w:val="24"/>
        </w:rPr>
        <w:t>of</w:t>
      </w:r>
      <w:r w:rsidRPr="00657A93">
        <w:rPr>
          <w:rFonts w:ascii="Times New Roman" w:hAnsi="Times New Roman"/>
          <w:szCs w:val="24"/>
        </w:rPr>
        <w:t xml:space="preserve"> teachers and trainers across Europe (</w:t>
      </w:r>
      <w:r w:rsidRPr="00657A93">
        <w:rPr>
          <w:rFonts w:ascii="Times New Roman" w:hAnsi="Times New Roman"/>
          <w:b/>
          <w:szCs w:val="24"/>
        </w:rPr>
        <w:t>paragraph 4</w:t>
      </w:r>
      <w:r w:rsidRPr="00657A93">
        <w:rPr>
          <w:rFonts w:ascii="Times New Roman" w:hAnsi="Times New Roman"/>
          <w:szCs w:val="24"/>
        </w:rPr>
        <w:t xml:space="preserve">), </w:t>
      </w:r>
      <w:r w:rsidRPr="00657A93">
        <w:rPr>
          <w:rFonts w:ascii="Times New Roman" w:hAnsi="Times New Roman"/>
        </w:rPr>
        <w:t>developing teacher</w:t>
      </w:r>
      <w:r>
        <w:rPr>
          <w:rFonts w:ascii="Times New Roman" w:hAnsi="Times New Roman"/>
        </w:rPr>
        <w:t>s’</w:t>
      </w:r>
      <w:r w:rsidRPr="00657A93">
        <w:rPr>
          <w:rFonts w:ascii="Times New Roman" w:hAnsi="Times New Roman"/>
        </w:rPr>
        <w:t xml:space="preserve"> digital </w:t>
      </w:r>
      <w:proofErr w:type="gramStart"/>
      <w:r w:rsidRPr="00657A93">
        <w:rPr>
          <w:rFonts w:ascii="Times New Roman" w:hAnsi="Times New Roman"/>
        </w:rPr>
        <w:t>skills</w:t>
      </w:r>
      <w:proofErr w:type="gramEnd"/>
      <w:r w:rsidRPr="00657A93">
        <w:rPr>
          <w:rFonts w:ascii="Times New Roman" w:hAnsi="Times New Roman"/>
        </w:rPr>
        <w:t xml:space="preserve"> is a guiding principle and a horizontal priority </w:t>
      </w:r>
      <w:r>
        <w:rPr>
          <w:rFonts w:ascii="Times New Roman" w:hAnsi="Times New Roman"/>
        </w:rPr>
        <w:t>of</w:t>
      </w:r>
      <w:r w:rsidRPr="00657A93">
        <w:rPr>
          <w:rFonts w:ascii="Times New Roman" w:hAnsi="Times New Roman"/>
        </w:rPr>
        <w:t xml:space="preserve"> the Digital Education Action Plan. Teachers and educators should have the opportunity to develop their digital skills and learn about innovative pedagogies throughout their careers. In particular, teachers will benefit from the launch of </w:t>
      </w:r>
      <w:r>
        <w:rPr>
          <w:rFonts w:ascii="Times New Roman" w:hAnsi="Times New Roman"/>
        </w:rPr>
        <w:t>the</w:t>
      </w:r>
      <w:r w:rsidRPr="00657A93">
        <w:rPr>
          <w:rFonts w:ascii="Times New Roman" w:hAnsi="Times New Roman"/>
        </w:rPr>
        <w:t xml:space="preserve"> SELFIE tool</w:t>
      </w:r>
      <w:r>
        <w:rPr>
          <w:rFonts w:ascii="Times New Roman" w:hAnsi="Times New Roman"/>
        </w:rPr>
        <w:t xml:space="preserve"> </w:t>
      </w:r>
      <w:r w:rsidRPr="00754830">
        <w:rPr>
          <w:rFonts w:ascii="Times New Roman" w:hAnsi="Times New Roman"/>
        </w:rPr>
        <w:t>for teachers</w:t>
      </w:r>
      <w:r w:rsidRPr="00754830">
        <w:rPr>
          <w:rStyle w:val="FootnoteReference"/>
          <w:rFonts w:ascii="Times New Roman" w:hAnsi="Times New Roman"/>
        </w:rPr>
        <w:footnoteReference w:id="3"/>
      </w:r>
      <w:r w:rsidRPr="00754830">
        <w:rPr>
          <w:rFonts w:ascii="Times New Roman" w:hAnsi="Times New Roman"/>
        </w:rPr>
        <w:t xml:space="preserve">, which will allow them to </w:t>
      </w:r>
      <w:r w:rsidRPr="00657A93">
        <w:rPr>
          <w:rFonts w:ascii="Times New Roman" w:hAnsi="Times New Roman"/>
        </w:rPr>
        <w:t>self-assess their level of digital competence. The Digital Opportunity Traineeships</w:t>
      </w:r>
      <w:r>
        <w:rPr>
          <w:rStyle w:val="FootnoteReference"/>
          <w:rFonts w:ascii="Times New Roman" w:hAnsi="Times New Roman"/>
        </w:rPr>
        <w:footnoteReference w:id="4"/>
      </w:r>
      <w:r w:rsidRPr="00657A93">
        <w:rPr>
          <w:rFonts w:ascii="Times New Roman" w:hAnsi="Times New Roman"/>
        </w:rPr>
        <w:t xml:space="preserve"> scheme will also contribute to these aims</w:t>
      </w:r>
      <w:r>
        <w:rPr>
          <w:rFonts w:ascii="Times New Roman" w:hAnsi="Times New Roman"/>
        </w:rPr>
        <w:t>. They are</w:t>
      </w:r>
      <w:r w:rsidRPr="00657A93">
        <w:rPr>
          <w:rFonts w:ascii="Times New Roman" w:hAnsi="Times New Roman"/>
        </w:rPr>
        <w:t xml:space="preserve"> open to teachers, trainers and educators and allow them to develop advanced digital skills. </w:t>
      </w:r>
      <w:r>
        <w:rPr>
          <w:rFonts w:ascii="Times New Roman" w:hAnsi="Times New Roman"/>
        </w:rPr>
        <w:t>Furthermore, t</w:t>
      </w:r>
      <w:r w:rsidRPr="00657A93">
        <w:rPr>
          <w:rFonts w:ascii="Times New Roman" w:hAnsi="Times New Roman"/>
          <w:szCs w:val="24"/>
        </w:rPr>
        <w:t xml:space="preserve">he Commission </w:t>
      </w:r>
      <w:r>
        <w:rPr>
          <w:rFonts w:ascii="Times New Roman" w:hAnsi="Times New Roman"/>
          <w:szCs w:val="24"/>
        </w:rPr>
        <w:t>underlines</w:t>
      </w:r>
      <w:r w:rsidRPr="00657A93">
        <w:rPr>
          <w:rFonts w:ascii="Times New Roman" w:hAnsi="Times New Roman"/>
          <w:szCs w:val="24"/>
        </w:rPr>
        <w:t xml:space="preserve"> the importance of </w:t>
      </w:r>
      <w:r>
        <w:rPr>
          <w:rFonts w:ascii="Times New Roman" w:hAnsi="Times New Roman"/>
          <w:szCs w:val="24"/>
        </w:rPr>
        <w:t>improving the ability to deal with overload of information,</w:t>
      </w:r>
      <w:r w:rsidRPr="00657A93">
        <w:rPr>
          <w:rFonts w:ascii="Times New Roman" w:hAnsi="Times New Roman"/>
          <w:szCs w:val="24"/>
        </w:rPr>
        <w:t xml:space="preserve"> having critical engagement with information and content online and ensuring safe and secure online environments. </w:t>
      </w:r>
      <w:r>
        <w:rPr>
          <w:rFonts w:ascii="Times New Roman" w:hAnsi="Times New Roman"/>
          <w:szCs w:val="24"/>
        </w:rPr>
        <w:t>In this regard and a</w:t>
      </w:r>
      <w:r w:rsidRPr="00657A93">
        <w:rPr>
          <w:rFonts w:ascii="Times New Roman" w:hAnsi="Times New Roman"/>
          <w:szCs w:val="24"/>
        </w:rPr>
        <w:t xml:space="preserve">s part of the Digital Education Action Plan, the Commission will put forward common guidelines for teachers and educational staff to foster digital literacy and </w:t>
      </w:r>
      <w:r w:rsidRPr="00657A93">
        <w:rPr>
          <w:rFonts w:ascii="Times New Roman" w:hAnsi="Times New Roman"/>
        </w:rPr>
        <w:t xml:space="preserve">tackle disinformation through education and training. The guidelines </w:t>
      </w:r>
      <w:proofErr w:type="gramStart"/>
      <w:r w:rsidRPr="00657A93">
        <w:rPr>
          <w:rFonts w:ascii="Times New Roman" w:hAnsi="Times New Roman"/>
        </w:rPr>
        <w:t>will be based</w:t>
      </w:r>
      <w:proofErr w:type="gramEnd"/>
      <w:r w:rsidRPr="00657A93">
        <w:rPr>
          <w:rFonts w:ascii="Times New Roman" w:hAnsi="Times New Roman"/>
        </w:rPr>
        <w:t xml:space="preserve"> on the input of a multi-stakeholder group</w:t>
      </w:r>
      <w:r>
        <w:rPr>
          <w:rFonts w:ascii="Times New Roman" w:hAnsi="Times New Roman"/>
        </w:rPr>
        <w:t xml:space="preserve"> - </w:t>
      </w:r>
      <w:r w:rsidRPr="00657A93">
        <w:rPr>
          <w:rFonts w:ascii="Times New Roman" w:hAnsi="Times New Roman"/>
        </w:rPr>
        <w:t>education and training</w:t>
      </w:r>
      <w:r>
        <w:rPr>
          <w:rFonts w:ascii="Times New Roman" w:hAnsi="Times New Roman"/>
        </w:rPr>
        <w:t xml:space="preserve"> stakeholders</w:t>
      </w:r>
      <w:r w:rsidRPr="00657A93">
        <w:rPr>
          <w:rFonts w:ascii="Times New Roman" w:hAnsi="Times New Roman"/>
        </w:rPr>
        <w:t>, but also parents, media, technology companies and others</w:t>
      </w:r>
      <w:r>
        <w:rPr>
          <w:rFonts w:ascii="Times New Roman" w:hAnsi="Times New Roman"/>
        </w:rPr>
        <w:t xml:space="preserve"> -</w:t>
      </w:r>
      <w:r w:rsidRPr="00657A93">
        <w:rPr>
          <w:rFonts w:ascii="Times New Roman" w:hAnsi="Times New Roman"/>
        </w:rPr>
        <w:t xml:space="preserve"> reflecting the complexity of the domain.</w:t>
      </w:r>
    </w:p>
    <w:p w:rsidR="001F0934" w:rsidRDefault="001F0934" w:rsidP="0057291F">
      <w:pPr>
        <w:widowControl w:val="0"/>
        <w:spacing w:after="120"/>
        <w:jc w:val="both"/>
        <w:rPr>
          <w:rFonts w:ascii="Times New Roman" w:hAnsi="Times New Roman"/>
        </w:rPr>
      </w:pPr>
      <w:r>
        <w:rPr>
          <w:rFonts w:ascii="Times New Roman" w:hAnsi="Times New Roman"/>
        </w:rPr>
        <w:t xml:space="preserve">Additionally, </w:t>
      </w:r>
      <w:r w:rsidRPr="00094C93">
        <w:rPr>
          <w:rFonts w:ascii="Times New Roman" w:hAnsi="Times New Roman"/>
        </w:rPr>
        <w:t xml:space="preserve">the Commission will launch initiatives to better support </w:t>
      </w:r>
      <w:r>
        <w:rPr>
          <w:rFonts w:ascii="Times New Roman" w:hAnsi="Times New Roman"/>
        </w:rPr>
        <w:t xml:space="preserve">the motivation, </w:t>
      </w:r>
      <w:r w:rsidRPr="00094C93">
        <w:rPr>
          <w:rFonts w:ascii="Times New Roman" w:hAnsi="Times New Roman"/>
        </w:rPr>
        <w:t xml:space="preserve">the competence development and career paths of teachers, trainers and school education leaders, and to support the attractiveness of the education profession. </w:t>
      </w:r>
      <w:r>
        <w:rPr>
          <w:rFonts w:ascii="Times New Roman" w:hAnsi="Times New Roman"/>
        </w:rPr>
        <w:t>T</w:t>
      </w:r>
      <w:r w:rsidRPr="00094C93">
        <w:rPr>
          <w:rFonts w:ascii="Times New Roman" w:hAnsi="Times New Roman"/>
        </w:rPr>
        <w:t>he Commission plans to launch Erasmus Teacher Academies within the new Erasmus</w:t>
      </w:r>
      <w:r>
        <w:rPr>
          <w:rFonts w:ascii="Times New Roman" w:hAnsi="Times New Roman"/>
        </w:rPr>
        <w:t>+</w:t>
      </w:r>
      <w:r w:rsidRPr="00094C93">
        <w:rPr>
          <w:rFonts w:ascii="Times New Roman" w:hAnsi="Times New Roman"/>
        </w:rPr>
        <w:t xml:space="preserve"> Programme to create networks of teacher education institutions and teacher associations. In tune with this, the Commission will work together with </w:t>
      </w:r>
      <w:r>
        <w:rPr>
          <w:rFonts w:ascii="Times New Roman" w:hAnsi="Times New Roman"/>
        </w:rPr>
        <w:t xml:space="preserve">the </w:t>
      </w:r>
      <w:r w:rsidRPr="00094C93">
        <w:rPr>
          <w:rFonts w:ascii="Times New Roman" w:hAnsi="Times New Roman"/>
        </w:rPr>
        <w:t xml:space="preserve">Member States and stakeholders </w:t>
      </w:r>
      <w:r>
        <w:rPr>
          <w:rFonts w:ascii="Times New Roman" w:hAnsi="Times New Roman"/>
        </w:rPr>
        <w:t xml:space="preserve">to establish </w:t>
      </w:r>
      <w:r w:rsidRPr="00094C93">
        <w:rPr>
          <w:rFonts w:ascii="Times New Roman" w:hAnsi="Times New Roman"/>
        </w:rPr>
        <w:t>a policy framework</w:t>
      </w:r>
      <w:r>
        <w:rPr>
          <w:rFonts w:ascii="Times New Roman" w:hAnsi="Times New Roman"/>
        </w:rPr>
        <w:t>,</w:t>
      </w:r>
      <w:r w:rsidRPr="00094C93">
        <w:rPr>
          <w:rFonts w:ascii="Times New Roman" w:hAnsi="Times New Roman"/>
        </w:rPr>
        <w:t xml:space="preserve"> </w:t>
      </w:r>
      <w:r>
        <w:rPr>
          <w:rFonts w:ascii="Times New Roman" w:hAnsi="Times New Roman"/>
        </w:rPr>
        <w:t>which aims at</w:t>
      </w:r>
      <w:r w:rsidRPr="00094C93">
        <w:rPr>
          <w:rFonts w:ascii="Times New Roman" w:hAnsi="Times New Roman"/>
        </w:rPr>
        <w:t xml:space="preserve"> increasing the number and quality of learning mobility of teachers. Moreover, the Commission will develop a European guidance for the development of national career frameworks during 2021-2022 and will establish a European Innovative Teaching Award to recognise the work of teachers (and their schools) who make an exceptional contribution to the profession.</w:t>
      </w:r>
      <w:r>
        <w:rPr>
          <w:rFonts w:ascii="Times New Roman" w:hAnsi="Times New Roman"/>
        </w:rPr>
        <w:t xml:space="preserve"> </w:t>
      </w:r>
      <w:r w:rsidRPr="0088292A">
        <w:rPr>
          <w:rFonts w:ascii="Times New Roman" w:hAnsi="Times New Roman"/>
        </w:rPr>
        <w:t xml:space="preserve">The Commission will also encourage </w:t>
      </w:r>
      <w:r>
        <w:rPr>
          <w:rFonts w:ascii="Times New Roman" w:hAnsi="Times New Roman"/>
        </w:rPr>
        <w:t xml:space="preserve">the </w:t>
      </w:r>
      <w:r w:rsidRPr="0088292A">
        <w:rPr>
          <w:rFonts w:ascii="Times New Roman" w:hAnsi="Times New Roman"/>
        </w:rPr>
        <w:t xml:space="preserve">Member States to include support to the </w:t>
      </w:r>
      <w:r>
        <w:rPr>
          <w:rFonts w:ascii="Times New Roman" w:hAnsi="Times New Roman"/>
        </w:rPr>
        <w:t xml:space="preserve">development of </w:t>
      </w:r>
      <w:r w:rsidRPr="0088292A">
        <w:rPr>
          <w:rFonts w:ascii="Times New Roman" w:hAnsi="Times New Roman"/>
        </w:rPr>
        <w:t>digital skills of teachers and trainers as part of their Recovery and Resilience Plans, contributing to the flagship</w:t>
      </w:r>
      <w:r>
        <w:rPr>
          <w:rFonts w:ascii="Times New Roman" w:hAnsi="Times New Roman"/>
        </w:rPr>
        <w:t xml:space="preserve"> area</w:t>
      </w:r>
      <w:r w:rsidRPr="0088292A">
        <w:rPr>
          <w:rFonts w:ascii="Times New Roman" w:hAnsi="Times New Roman"/>
        </w:rPr>
        <w:t xml:space="preserve"> ‘Upskill and Reskill’</w:t>
      </w:r>
      <w:r>
        <w:rPr>
          <w:rFonts w:ascii="Times New Roman" w:hAnsi="Times New Roman"/>
        </w:rPr>
        <w:t xml:space="preserve"> of the Recovery and Resilience Facility</w:t>
      </w:r>
      <w:r w:rsidRPr="0088292A">
        <w:rPr>
          <w:rFonts w:ascii="Times New Roman" w:hAnsi="Times New Roman"/>
        </w:rPr>
        <w:t>.</w:t>
      </w:r>
    </w:p>
    <w:p w:rsidR="001F0934" w:rsidRPr="00094C93" w:rsidRDefault="001F0934" w:rsidP="0057291F">
      <w:pPr>
        <w:widowControl w:val="0"/>
        <w:spacing w:after="120"/>
        <w:jc w:val="both"/>
        <w:rPr>
          <w:rFonts w:ascii="Times New Roman" w:hAnsi="Times New Roman"/>
        </w:rPr>
      </w:pPr>
      <w:r>
        <w:rPr>
          <w:rFonts w:ascii="Times New Roman" w:hAnsi="Times New Roman"/>
        </w:rPr>
        <w:t>As for</w:t>
      </w:r>
      <w:r w:rsidRPr="00094C93">
        <w:rPr>
          <w:rFonts w:ascii="Times New Roman" w:hAnsi="Times New Roman"/>
        </w:rPr>
        <w:t xml:space="preserve"> the impact of distance and online learning and teaching on different educational sectors</w:t>
      </w:r>
      <w:r>
        <w:rPr>
          <w:rFonts w:ascii="Times New Roman" w:hAnsi="Times New Roman"/>
        </w:rPr>
        <w:t>,</w:t>
      </w:r>
      <w:r w:rsidRPr="00094C93">
        <w:rPr>
          <w:rFonts w:ascii="Times New Roman" w:hAnsi="Times New Roman"/>
        </w:rPr>
        <w:t xml:space="preserve"> </w:t>
      </w:r>
      <w:r w:rsidRPr="00657A93">
        <w:rPr>
          <w:rFonts w:ascii="Times New Roman" w:hAnsi="Times New Roman"/>
          <w:szCs w:val="24"/>
        </w:rPr>
        <w:t>learners’ part</w:t>
      </w:r>
      <w:r>
        <w:rPr>
          <w:rFonts w:ascii="Times New Roman" w:hAnsi="Times New Roman"/>
          <w:szCs w:val="24"/>
        </w:rPr>
        <w:t>icipation in distance education</w:t>
      </w:r>
      <w:r w:rsidRPr="00657A93">
        <w:rPr>
          <w:rFonts w:ascii="Times New Roman" w:hAnsi="Times New Roman"/>
          <w:szCs w:val="24"/>
        </w:rPr>
        <w:t xml:space="preserve"> and teachers’ digital skills </w:t>
      </w:r>
      <w:r w:rsidRPr="00094C93">
        <w:rPr>
          <w:rFonts w:ascii="Times New Roman" w:hAnsi="Times New Roman"/>
        </w:rPr>
        <w:t>(</w:t>
      </w:r>
      <w:r w:rsidRPr="00657A93">
        <w:rPr>
          <w:rFonts w:ascii="Times New Roman" w:hAnsi="Times New Roman"/>
          <w:b/>
        </w:rPr>
        <w:t>paragraph</w:t>
      </w:r>
      <w:r>
        <w:rPr>
          <w:rFonts w:ascii="Times New Roman" w:hAnsi="Times New Roman"/>
          <w:b/>
        </w:rPr>
        <w:t>s</w:t>
      </w:r>
      <w:r w:rsidRPr="00657A93">
        <w:rPr>
          <w:rFonts w:ascii="Times New Roman" w:hAnsi="Times New Roman"/>
          <w:b/>
        </w:rPr>
        <w:t xml:space="preserve"> 5</w:t>
      </w:r>
      <w:r>
        <w:rPr>
          <w:rFonts w:ascii="Times New Roman" w:hAnsi="Times New Roman"/>
          <w:b/>
        </w:rPr>
        <w:t xml:space="preserve"> and 6</w:t>
      </w:r>
      <w:r w:rsidRPr="00094C93">
        <w:rPr>
          <w:rFonts w:ascii="Times New Roman" w:hAnsi="Times New Roman"/>
        </w:rPr>
        <w:t xml:space="preserve">) and drawing lessons from the crisis, the Commission </w:t>
      </w:r>
      <w:r>
        <w:rPr>
          <w:rFonts w:ascii="Times New Roman" w:hAnsi="Times New Roman"/>
        </w:rPr>
        <w:t xml:space="preserve">plans to </w:t>
      </w:r>
      <w:r w:rsidRPr="00094C93">
        <w:rPr>
          <w:rFonts w:ascii="Times New Roman" w:hAnsi="Times New Roman"/>
        </w:rPr>
        <w:t xml:space="preserve">propose a Council Recommendation on online and distance learning for primary and secondary education by the end of 2021. This would </w:t>
      </w:r>
      <w:r>
        <w:rPr>
          <w:rFonts w:ascii="Times New Roman" w:hAnsi="Times New Roman"/>
        </w:rPr>
        <w:t xml:space="preserve">be based on consultations and data gathering and </w:t>
      </w:r>
      <w:r w:rsidRPr="00094C93">
        <w:rPr>
          <w:rFonts w:ascii="Times New Roman" w:hAnsi="Times New Roman"/>
        </w:rPr>
        <w:t>help develop a shared understanding at EU level of the approaches needed for distance, online and blended learning</w:t>
      </w:r>
      <w:r>
        <w:rPr>
          <w:rFonts w:ascii="Times New Roman" w:hAnsi="Times New Roman"/>
        </w:rPr>
        <w:t>, approaches</w:t>
      </w:r>
      <w:r w:rsidRPr="00094C93">
        <w:rPr>
          <w:rFonts w:ascii="Times New Roman" w:hAnsi="Times New Roman"/>
        </w:rPr>
        <w:t xml:space="preserve"> that </w:t>
      </w:r>
      <w:r>
        <w:rPr>
          <w:rFonts w:ascii="Times New Roman" w:hAnsi="Times New Roman"/>
        </w:rPr>
        <w:t xml:space="preserve">are </w:t>
      </w:r>
      <w:r w:rsidRPr="00094C93">
        <w:rPr>
          <w:rFonts w:ascii="Times New Roman" w:hAnsi="Times New Roman"/>
        </w:rPr>
        <w:t>eff</w:t>
      </w:r>
      <w:r>
        <w:rPr>
          <w:rFonts w:ascii="Times New Roman" w:hAnsi="Times New Roman"/>
        </w:rPr>
        <w:t>ective, inclusive and engaging.</w:t>
      </w:r>
    </w:p>
    <w:p w:rsidR="001F0934" w:rsidRPr="00754830" w:rsidRDefault="001F0934" w:rsidP="0057291F">
      <w:pPr>
        <w:widowControl w:val="0"/>
        <w:spacing w:after="120"/>
        <w:jc w:val="both"/>
        <w:rPr>
          <w:rFonts w:ascii="Times New Roman" w:hAnsi="Times New Roman"/>
          <w:szCs w:val="24"/>
        </w:rPr>
      </w:pPr>
      <w:r>
        <w:rPr>
          <w:rFonts w:ascii="Times New Roman" w:hAnsi="Times New Roman"/>
          <w:szCs w:val="24"/>
        </w:rPr>
        <w:t>Concerning</w:t>
      </w:r>
      <w:r w:rsidRPr="00657A93">
        <w:rPr>
          <w:rFonts w:ascii="Times New Roman" w:hAnsi="Times New Roman"/>
          <w:szCs w:val="24"/>
        </w:rPr>
        <w:t xml:space="preserve"> the call on the Commission and the Member States to work together </w:t>
      </w:r>
      <w:r>
        <w:rPr>
          <w:rFonts w:ascii="Times New Roman" w:hAnsi="Times New Roman"/>
          <w:szCs w:val="24"/>
        </w:rPr>
        <w:t xml:space="preserve">in order </w:t>
      </w:r>
      <w:r w:rsidRPr="00657A93">
        <w:rPr>
          <w:rFonts w:ascii="Times New Roman" w:hAnsi="Times New Roman"/>
          <w:szCs w:val="24"/>
        </w:rPr>
        <w:t>to minimise the health risks for staff and learners and to maximise the chances that in-person education can continue (</w:t>
      </w:r>
      <w:r w:rsidRPr="00657A93">
        <w:rPr>
          <w:rFonts w:ascii="Times New Roman" w:hAnsi="Times New Roman"/>
          <w:b/>
          <w:szCs w:val="24"/>
        </w:rPr>
        <w:t>paragraph 9</w:t>
      </w:r>
      <w:r w:rsidRPr="00657A93">
        <w:rPr>
          <w:rFonts w:ascii="Times New Roman" w:hAnsi="Times New Roman"/>
          <w:szCs w:val="24"/>
        </w:rPr>
        <w:t>)</w:t>
      </w:r>
      <w:r>
        <w:rPr>
          <w:rFonts w:ascii="Times New Roman" w:hAnsi="Times New Roman"/>
          <w:szCs w:val="24"/>
        </w:rPr>
        <w:t>,</w:t>
      </w:r>
      <w:r w:rsidRPr="00094C93">
        <w:rPr>
          <w:rFonts w:ascii="Times New Roman" w:hAnsi="Times New Roman"/>
          <w:szCs w:val="24"/>
          <w:lang w:val="en-US"/>
        </w:rPr>
        <w:t xml:space="preserve"> </w:t>
      </w:r>
      <w:r>
        <w:rPr>
          <w:rFonts w:ascii="Times New Roman" w:hAnsi="Times New Roman"/>
          <w:szCs w:val="24"/>
        </w:rPr>
        <w:t>the</w:t>
      </w:r>
      <w:r w:rsidRPr="00754830">
        <w:rPr>
          <w:rFonts w:ascii="Times New Roman" w:hAnsi="Times New Roman"/>
          <w:szCs w:val="24"/>
        </w:rPr>
        <w:t xml:space="preserve"> collaboration </w:t>
      </w:r>
      <w:r>
        <w:rPr>
          <w:rFonts w:ascii="Times New Roman" w:hAnsi="Times New Roman"/>
          <w:szCs w:val="24"/>
        </w:rPr>
        <w:t xml:space="preserve">with Member States on this matter </w:t>
      </w:r>
      <w:r w:rsidRPr="00754830">
        <w:rPr>
          <w:rFonts w:ascii="Times New Roman" w:hAnsi="Times New Roman"/>
          <w:szCs w:val="24"/>
        </w:rPr>
        <w:t xml:space="preserve">has started in spring, </w:t>
      </w:r>
      <w:r>
        <w:rPr>
          <w:rFonts w:ascii="Times New Roman" w:hAnsi="Times New Roman"/>
          <w:szCs w:val="24"/>
        </w:rPr>
        <w:t xml:space="preserve">through the </w:t>
      </w:r>
      <w:r w:rsidRPr="00754830">
        <w:rPr>
          <w:rFonts w:ascii="Times New Roman" w:hAnsi="Times New Roman"/>
          <w:szCs w:val="24"/>
        </w:rPr>
        <w:t>online platform (Distance Learning Network)</w:t>
      </w:r>
      <w:r>
        <w:rPr>
          <w:rFonts w:ascii="Times New Roman" w:hAnsi="Times New Roman"/>
          <w:szCs w:val="24"/>
        </w:rPr>
        <w:t>.</w:t>
      </w:r>
      <w:r w:rsidRPr="00754830">
        <w:rPr>
          <w:rFonts w:ascii="Times New Roman" w:hAnsi="Times New Roman"/>
          <w:szCs w:val="24"/>
        </w:rPr>
        <w:t xml:space="preserve"> </w:t>
      </w:r>
      <w:r>
        <w:rPr>
          <w:rFonts w:ascii="Times New Roman" w:hAnsi="Times New Roman"/>
          <w:szCs w:val="24"/>
        </w:rPr>
        <w:t xml:space="preserve">The platform allowed </w:t>
      </w:r>
      <w:r w:rsidRPr="00754830">
        <w:rPr>
          <w:rFonts w:ascii="Times New Roman" w:hAnsi="Times New Roman"/>
          <w:szCs w:val="24"/>
        </w:rPr>
        <w:t xml:space="preserve">representatives of ministries </w:t>
      </w:r>
      <w:r>
        <w:rPr>
          <w:rFonts w:ascii="Times New Roman" w:hAnsi="Times New Roman"/>
          <w:szCs w:val="24"/>
        </w:rPr>
        <w:t>to</w:t>
      </w:r>
      <w:r w:rsidRPr="00754830">
        <w:rPr>
          <w:rFonts w:ascii="Times New Roman" w:hAnsi="Times New Roman"/>
          <w:szCs w:val="24"/>
        </w:rPr>
        <w:t xml:space="preserve"> exchange</w:t>
      </w:r>
      <w:r>
        <w:rPr>
          <w:rFonts w:ascii="Times New Roman" w:hAnsi="Times New Roman"/>
          <w:szCs w:val="24"/>
        </w:rPr>
        <w:t xml:space="preserve"> information</w:t>
      </w:r>
      <w:r w:rsidRPr="00754830">
        <w:rPr>
          <w:rFonts w:ascii="Times New Roman" w:hAnsi="Times New Roman"/>
          <w:szCs w:val="24"/>
        </w:rPr>
        <w:t xml:space="preserve"> and share practices on the organi</w:t>
      </w:r>
      <w:r>
        <w:rPr>
          <w:rFonts w:ascii="Times New Roman" w:hAnsi="Times New Roman"/>
          <w:szCs w:val="24"/>
        </w:rPr>
        <w:t>s</w:t>
      </w:r>
      <w:r w:rsidRPr="00754830">
        <w:rPr>
          <w:rFonts w:ascii="Times New Roman" w:hAnsi="Times New Roman"/>
          <w:szCs w:val="24"/>
        </w:rPr>
        <w:t xml:space="preserve">ation of </w:t>
      </w:r>
      <w:r>
        <w:rPr>
          <w:rFonts w:ascii="Times New Roman" w:hAnsi="Times New Roman"/>
          <w:szCs w:val="24"/>
        </w:rPr>
        <w:t>in-school teaching after the lockdown, while keeping staff and learners safe</w:t>
      </w:r>
      <w:r w:rsidRPr="00754830">
        <w:rPr>
          <w:rFonts w:ascii="Times New Roman" w:hAnsi="Times New Roman"/>
          <w:szCs w:val="24"/>
        </w:rPr>
        <w:t>. Members continue the</w:t>
      </w:r>
      <w:r>
        <w:rPr>
          <w:rFonts w:ascii="Times New Roman" w:hAnsi="Times New Roman"/>
          <w:szCs w:val="24"/>
        </w:rPr>
        <w:t>se</w:t>
      </w:r>
      <w:r w:rsidRPr="00754830">
        <w:rPr>
          <w:rFonts w:ascii="Times New Roman" w:hAnsi="Times New Roman"/>
          <w:szCs w:val="24"/>
        </w:rPr>
        <w:t xml:space="preserve"> exchanges in the existing working groups</w:t>
      </w:r>
      <w:r w:rsidRPr="002B5B6A">
        <w:rPr>
          <w:rFonts w:ascii="Times New Roman" w:hAnsi="Times New Roman"/>
          <w:szCs w:val="24"/>
        </w:rPr>
        <w:t xml:space="preserve"> </w:t>
      </w:r>
      <w:r>
        <w:rPr>
          <w:rFonts w:ascii="Times New Roman" w:hAnsi="Times New Roman"/>
          <w:szCs w:val="24"/>
        </w:rPr>
        <w:t xml:space="preserve">under the </w:t>
      </w:r>
      <w:r w:rsidRPr="002B5B6A">
        <w:rPr>
          <w:rFonts w:ascii="Times New Roman" w:hAnsi="Times New Roman"/>
          <w:szCs w:val="24"/>
        </w:rPr>
        <w:t>strategic framework for European cooperation in education and training (ET 2020)</w:t>
      </w:r>
      <w:r>
        <w:rPr>
          <w:rStyle w:val="FootnoteReference"/>
          <w:rFonts w:ascii="Times New Roman" w:hAnsi="Times New Roman"/>
          <w:szCs w:val="24"/>
        </w:rPr>
        <w:footnoteReference w:id="5"/>
      </w:r>
      <w:r w:rsidRPr="00754830">
        <w:rPr>
          <w:rFonts w:ascii="Times New Roman" w:hAnsi="Times New Roman"/>
          <w:szCs w:val="24"/>
        </w:rPr>
        <w:t xml:space="preserve">. One outcome of this work was a brochure published by the Commission services on </w:t>
      </w:r>
      <w:hyperlink r:id="rId7" w:history="1">
        <w:r w:rsidRPr="00754830">
          <w:rPr>
            <w:rStyle w:val="Hyperlink"/>
            <w:rFonts w:ascii="Times New Roman" w:hAnsi="Times New Roman"/>
            <w:szCs w:val="24"/>
          </w:rPr>
          <w:t>‘Blended learning in school education – guidelines for the start of the academic year 2020/21’</w:t>
        </w:r>
      </w:hyperlink>
      <w:r>
        <w:rPr>
          <w:rStyle w:val="FootnoteReference"/>
          <w:rFonts w:ascii="Times New Roman" w:hAnsi="Times New Roman"/>
          <w:szCs w:val="24"/>
          <w:lang w:val="en-US"/>
        </w:rPr>
        <w:footnoteReference w:id="6"/>
      </w:r>
      <w:r>
        <w:rPr>
          <w:rFonts w:ascii="Times New Roman" w:hAnsi="Times New Roman"/>
          <w:szCs w:val="24"/>
        </w:rPr>
        <w:t>.</w:t>
      </w:r>
    </w:p>
    <w:p w:rsidR="001F0934" w:rsidRDefault="001F0934" w:rsidP="0057291F">
      <w:pPr>
        <w:widowControl w:val="0"/>
        <w:spacing w:after="120"/>
        <w:jc w:val="both"/>
        <w:rPr>
          <w:rFonts w:ascii="Times New Roman" w:hAnsi="Times New Roman"/>
          <w:szCs w:val="24"/>
        </w:rPr>
      </w:pPr>
      <w:proofErr w:type="gramStart"/>
      <w:r w:rsidRPr="00657A93">
        <w:rPr>
          <w:rFonts w:ascii="Times New Roman" w:hAnsi="Times New Roman"/>
          <w:szCs w:val="24"/>
        </w:rPr>
        <w:lastRenderedPageBreak/>
        <w:t>In relation to the call on the Commission to propose a bold policy framework for future European education policy, transforming the European Education Area into a concrete work programme with a set of measurable objectives, including making the automatic mutual recognition of qualifications, diplomas and learning periods abroad a reality (</w:t>
      </w:r>
      <w:r w:rsidRPr="00657A93">
        <w:rPr>
          <w:rFonts w:ascii="Times New Roman" w:hAnsi="Times New Roman"/>
          <w:b/>
          <w:szCs w:val="24"/>
        </w:rPr>
        <w:t>paragraph 18</w:t>
      </w:r>
      <w:r w:rsidRPr="00657A93">
        <w:rPr>
          <w:rFonts w:ascii="Times New Roman" w:hAnsi="Times New Roman"/>
          <w:szCs w:val="24"/>
        </w:rPr>
        <w:t xml:space="preserve">), the Commission recalls </w:t>
      </w:r>
      <w:r>
        <w:rPr>
          <w:rFonts w:ascii="Times New Roman" w:hAnsi="Times New Roman"/>
          <w:szCs w:val="24"/>
        </w:rPr>
        <w:t>its</w:t>
      </w:r>
      <w:r w:rsidRPr="00657A93">
        <w:rPr>
          <w:rFonts w:ascii="Times New Roman" w:hAnsi="Times New Roman"/>
          <w:szCs w:val="24"/>
        </w:rPr>
        <w:t xml:space="preserve"> </w:t>
      </w:r>
      <w:r>
        <w:rPr>
          <w:rFonts w:ascii="Times New Roman" w:hAnsi="Times New Roman"/>
          <w:szCs w:val="24"/>
        </w:rPr>
        <w:t>latest Communication on achieving the European Education Area by 2025</w:t>
      </w:r>
      <w:r>
        <w:rPr>
          <w:rStyle w:val="FootnoteReference"/>
          <w:rFonts w:ascii="Times New Roman" w:hAnsi="Times New Roman"/>
          <w:szCs w:val="24"/>
        </w:rPr>
        <w:footnoteReference w:id="7"/>
      </w:r>
      <w:r>
        <w:rPr>
          <w:rFonts w:ascii="Times New Roman" w:hAnsi="Times New Roman"/>
          <w:szCs w:val="24"/>
        </w:rPr>
        <w:t>.</w:t>
      </w:r>
      <w:proofErr w:type="gramEnd"/>
      <w:r>
        <w:rPr>
          <w:rFonts w:ascii="Times New Roman" w:hAnsi="Times New Roman"/>
          <w:szCs w:val="24"/>
        </w:rPr>
        <w:t xml:space="preserve"> </w:t>
      </w:r>
      <w:r w:rsidRPr="00D9068A">
        <w:rPr>
          <w:rFonts w:ascii="Times New Roman" w:hAnsi="Times New Roman"/>
          <w:szCs w:val="24"/>
        </w:rPr>
        <w:t xml:space="preserve">The Commission agrees that it is important to have measurable objectives and will therefore set out the means and milestones to achieve the </w:t>
      </w:r>
      <w:r>
        <w:rPr>
          <w:rFonts w:ascii="Times New Roman" w:hAnsi="Times New Roman"/>
          <w:szCs w:val="24"/>
        </w:rPr>
        <w:t xml:space="preserve">European Education Area by 2025. </w:t>
      </w:r>
      <w:proofErr w:type="gramStart"/>
      <w:r>
        <w:rPr>
          <w:rFonts w:ascii="Times New Roman" w:hAnsi="Times New Roman"/>
          <w:szCs w:val="24"/>
        </w:rPr>
        <w:t>This will be</w:t>
      </w:r>
      <w:r w:rsidRPr="00D9068A">
        <w:rPr>
          <w:rFonts w:ascii="Times New Roman" w:hAnsi="Times New Roman"/>
          <w:szCs w:val="24"/>
        </w:rPr>
        <w:t xml:space="preserve"> supported by </w:t>
      </w:r>
      <w:r>
        <w:rPr>
          <w:rFonts w:ascii="Times New Roman" w:hAnsi="Times New Roman"/>
          <w:szCs w:val="24"/>
        </w:rPr>
        <w:t xml:space="preserve">the </w:t>
      </w:r>
      <w:r w:rsidRPr="00D9068A">
        <w:rPr>
          <w:rFonts w:ascii="Times New Roman" w:hAnsi="Times New Roman"/>
          <w:szCs w:val="24"/>
        </w:rPr>
        <w:t>Europe’s Recovery Plan and the future Erasmus+ Programme</w:t>
      </w:r>
      <w:proofErr w:type="gramEnd"/>
      <w:r w:rsidRPr="00D9068A">
        <w:rPr>
          <w:rFonts w:ascii="Times New Roman" w:hAnsi="Times New Roman"/>
          <w:szCs w:val="24"/>
        </w:rPr>
        <w:t>. The Commission will establish an enabling framework for cooperation with Member States and education stakeholders, including a reporting and analysis structure as well as EU targets to track and encourage reforms</w:t>
      </w:r>
      <w:r w:rsidRPr="007758D5">
        <w:rPr>
          <w:rFonts w:ascii="Times New Roman" w:hAnsi="Times New Roman"/>
          <w:szCs w:val="24"/>
        </w:rPr>
        <w:t xml:space="preserve">. </w:t>
      </w:r>
      <w:r w:rsidRPr="007758D5">
        <w:rPr>
          <w:rFonts w:ascii="Times New Roman" w:hAnsi="Times New Roman"/>
          <w:lang w:val="en-US"/>
        </w:rPr>
        <w:t xml:space="preserve">In order to achieve the </w:t>
      </w:r>
      <w:r>
        <w:rPr>
          <w:rFonts w:ascii="Times New Roman" w:hAnsi="Times New Roman"/>
          <w:szCs w:val="24"/>
        </w:rPr>
        <w:t>European Education Area</w:t>
      </w:r>
      <w:r w:rsidRPr="007758D5">
        <w:rPr>
          <w:rFonts w:ascii="Times New Roman" w:hAnsi="Times New Roman"/>
          <w:lang w:val="en-US"/>
        </w:rPr>
        <w:t xml:space="preserve"> by 2025, the Commission remains committed to establish a framework that enables cooperation with Member States and engagement with stakeholders and to work towards a fully-fledged governance framework </w:t>
      </w:r>
      <w:r>
        <w:rPr>
          <w:rFonts w:ascii="Times New Roman" w:hAnsi="Times New Roman"/>
          <w:lang w:val="en-US"/>
        </w:rPr>
        <w:t xml:space="preserve">for the EEA </w:t>
      </w:r>
      <w:r w:rsidRPr="007758D5">
        <w:rPr>
          <w:rFonts w:ascii="Times New Roman" w:hAnsi="Times New Roman"/>
          <w:lang w:val="en-US"/>
        </w:rPr>
        <w:t xml:space="preserve">with Member States. To this end, and to ensure timely delivery of the initiatives, the Commission has proposed to work with </w:t>
      </w:r>
      <w:r>
        <w:rPr>
          <w:rFonts w:ascii="Times New Roman" w:hAnsi="Times New Roman"/>
          <w:lang w:val="en-US"/>
        </w:rPr>
        <w:t xml:space="preserve">the </w:t>
      </w:r>
      <w:r w:rsidRPr="007758D5">
        <w:rPr>
          <w:rFonts w:ascii="Times New Roman" w:hAnsi="Times New Roman"/>
          <w:lang w:val="en-US"/>
        </w:rPr>
        <w:t>Member States to set up a Steering Board of the European Education Area by June 2021.</w:t>
      </w:r>
    </w:p>
    <w:p w:rsidR="001F0934" w:rsidRPr="00657A93" w:rsidRDefault="001F0934" w:rsidP="0057291F">
      <w:pPr>
        <w:widowControl w:val="0"/>
        <w:spacing w:after="120"/>
        <w:jc w:val="both"/>
        <w:rPr>
          <w:rFonts w:ascii="Times New Roman" w:hAnsi="Times New Roman"/>
          <w:szCs w:val="24"/>
        </w:rPr>
      </w:pPr>
      <w:r>
        <w:rPr>
          <w:rFonts w:ascii="Times New Roman" w:hAnsi="Times New Roman"/>
          <w:szCs w:val="24"/>
        </w:rPr>
        <w:t xml:space="preserve">The Commission would also like to recall the </w:t>
      </w:r>
      <w:r w:rsidRPr="00657A93">
        <w:rPr>
          <w:rFonts w:ascii="Times New Roman" w:hAnsi="Times New Roman"/>
          <w:szCs w:val="24"/>
        </w:rPr>
        <w:t>“</w:t>
      </w:r>
      <w:r w:rsidRPr="00564F84">
        <w:rPr>
          <w:rFonts w:ascii="Times New Roman" w:hAnsi="Times New Roman"/>
          <w:szCs w:val="24"/>
        </w:rPr>
        <w:t>Council Recommendation on promoting automatic mutual recognition of higher education and upper secondary education and training qualifications of learning periods abroad</w:t>
      </w:r>
      <w:r w:rsidRPr="00657A93">
        <w:rPr>
          <w:rFonts w:ascii="Times New Roman" w:hAnsi="Times New Roman"/>
          <w:szCs w:val="24"/>
        </w:rPr>
        <w:t>”</w:t>
      </w:r>
      <w:r w:rsidRPr="00657A93">
        <w:rPr>
          <w:rStyle w:val="FootnoteReference"/>
          <w:rFonts w:ascii="Times New Roman" w:hAnsi="Times New Roman"/>
          <w:szCs w:val="24"/>
        </w:rPr>
        <w:footnoteReference w:id="8"/>
      </w:r>
      <w:r>
        <w:rPr>
          <w:rFonts w:ascii="Times New Roman" w:hAnsi="Times New Roman"/>
          <w:szCs w:val="24"/>
        </w:rPr>
        <w:t>. The Commission</w:t>
      </w:r>
      <w:r w:rsidRPr="00657A93">
        <w:rPr>
          <w:rFonts w:ascii="Times New Roman" w:hAnsi="Times New Roman"/>
          <w:szCs w:val="24"/>
        </w:rPr>
        <w:t xml:space="preserve"> provides support to the Member States in putting in place the conditions and necessary steps that will make automatic mutual recognition possible by 2025. In this context, the Commission works closely with the network of National Academic Recognition Centres (</w:t>
      </w:r>
      <w:proofErr w:type="spellStart"/>
      <w:r w:rsidRPr="00657A93">
        <w:rPr>
          <w:rFonts w:ascii="Times New Roman" w:hAnsi="Times New Roman"/>
          <w:szCs w:val="24"/>
        </w:rPr>
        <w:t>NARIC</w:t>
      </w:r>
      <w:proofErr w:type="spellEnd"/>
      <w:r w:rsidRPr="00657A93">
        <w:rPr>
          <w:rFonts w:ascii="Times New Roman" w:hAnsi="Times New Roman"/>
          <w:szCs w:val="24"/>
        </w:rPr>
        <w:t>)</w:t>
      </w:r>
      <w:r>
        <w:rPr>
          <w:rStyle w:val="FootnoteReference"/>
          <w:rFonts w:ascii="Times New Roman" w:hAnsi="Times New Roman"/>
          <w:szCs w:val="24"/>
        </w:rPr>
        <w:footnoteReference w:id="9"/>
      </w:r>
      <w:r w:rsidRPr="00657A93">
        <w:rPr>
          <w:rFonts w:ascii="Times New Roman" w:hAnsi="Times New Roman"/>
          <w:szCs w:val="24"/>
        </w:rPr>
        <w:t xml:space="preserve"> and supports their work with capacity building, training and sharing of best practices. The </w:t>
      </w:r>
      <w:r w:rsidRPr="008514AB">
        <w:rPr>
          <w:rFonts w:ascii="Times New Roman" w:hAnsi="Times New Roman"/>
          <w:szCs w:val="24"/>
        </w:rPr>
        <w:t>2019 call</w:t>
      </w:r>
      <w:r w:rsidRPr="00657A93">
        <w:rPr>
          <w:rFonts w:ascii="Times New Roman" w:hAnsi="Times New Roman"/>
          <w:szCs w:val="24"/>
        </w:rPr>
        <w:t xml:space="preserve"> for </w:t>
      </w:r>
      <w:proofErr w:type="gramStart"/>
      <w:r w:rsidRPr="00657A93">
        <w:rPr>
          <w:rFonts w:ascii="Times New Roman" w:hAnsi="Times New Roman"/>
          <w:szCs w:val="24"/>
        </w:rPr>
        <w:t>proposal target</w:t>
      </w:r>
      <w:r>
        <w:rPr>
          <w:rFonts w:ascii="Times New Roman" w:hAnsi="Times New Roman"/>
          <w:szCs w:val="24"/>
        </w:rPr>
        <w:t>ed</w:t>
      </w:r>
      <w:proofErr w:type="gramEnd"/>
      <w:r w:rsidRPr="00657A93">
        <w:rPr>
          <w:rFonts w:ascii="Times New Roman" w:hAnsi="Times New Roman"/>
          <w:szCs w:val="24"/>
        </w:rPr>
        <w:t xml:space="preserve"> activities to further boost the implementation of automatic recognition. To map the implementation of the Council Recommendation, the Commission is preparing a study on the </w:t>
      </w:r>
      <w:r>
        <w:rPr>
          <w:rFonts w:ascii="Times New Roman" w:hAnsi="Times New Roman"/>
          <w:szCs w:val="24"/>
        </w:rPr>
        <w:t xml:space="preserve">relevant </w:t>
      </w:r>
      <w:r w:rsidRPr="00657A93">
        <w:rPr>
          <w:rFonts w:ascii="Times New Roman" w:hAnsi="Times New Roman"/>
          <w:szCs w:val="24"/>
        </w:rPr>
        <w:t>implementation polic</w:t>
      </w:r>
      <w:r>
        <w:rPr>
          <w:rFonts w:ascii="Times New Roman" w:hAnsi="Times New Roman"/>
          <w:szCs w:val="24"/>
        </w:rPr>
        <w:t>ies</w:t>
      </w:r>
      <w:r w:rsidRPr="00657A93">
        <w:rPr>
          <w:rFonts w:ascii="Times New Roman" w:hAnsi="Times New Roman"/>
          <w:szCs w:val="24"/>
        </w:rPr>
        <w:t xml:space="preserve"> and practice</w:t>
      </w:r>
      <w:r>
        <w:rPr>
          <w:rFonts w:ascii="Times New Roman" w:hAnsi="Times New Roman"/>
          <w:szCs w:val="24"/>
        </w:rPr>
        <w:t>s</w:t>
      </w:r>
      <w:r w:rsidRPr="00657A93">
        <w:rPr>
          <w:rFonts w:ascii="Times New Roman" w:hAnsi="Times New Roman"/>
          <w:szCs w:val="24"/>
        </w:rPr>
        <w:t xml:space="preserve"> in the Member States. The study will </w:t>
      </w:r>
      <w:r>
        <w:rPr>
          <w:rFonts w:ascii="Times New Roman" w:hAnsi="Times New Roman"/>
          <w:szCs w:val="24"/>
        </w:rPr>
        <w:t>start</w:t>
      </w:r>
      <w:r w:rsidRPr="00657A93">
        <w:rPr>
          <w:rFonts w:ascii="Times New Roman" w:hAnsi="Times New Roman"/>
          <w:szCs w:val="24"/>
        </w:rPr>
        <w:t xml:space="preserve"> </w:t>
      </w:r>
      <w:r>
        <w:rPr>
          <w:rFonts w:ascii="Times New Roman" w:hAnsi="Times New Roman"/>
          <w:szCs w:val="24"/>
        </w:rPr>
        <w:t>in early</w:t>
      </w:r>
      <w:r w:rsidRPr="00657A93">
        <w:rPr>
          <w:rFonts w:ascii="Times New Roman" w:hAnsi="Times New Roman"/>
          <w:szCs w:val="24"/>
        </w:rPr>
        <w:t xml:space="preserve"> </w:t>
      </w:r>
      <w:r>
        <w:rPr>
          <w:rFonts w:ascii="Times New Roman" w:hAnsi="Times New Roman"/>
          <w:szCs w:val="24"/>
        </w:rPr>
        <w:t>2021.</w:t>
      </w:r>
    </w:p>
    <w:p w:rsidR="001F0934" w:rsidRPr="00657A93" w:rsidRDefault="001F0934" w:rsidP="0057291F">
      <w:pPr>
        <w:widowControl w:val="0"/>
        <w:spacing w:after="120"/>
        <w:jc w:val="both"/>
        <w:rPr>
          <w:rFonts w:ascii="Times New Roman" w:hAnsi="Times New Roman"/>
          <w:szCs w:val="24"/>
        </w:rPr>
      </w:pPr>
      <w:r>
        <w:rPr>
          <w:rFonts w:ascii="Times New Roman" w:hAnsi="Times New Roman"/>
          <w:szCs w:val="24"/>
        </w:rPr>
        <w:t>Regarding</w:t>
      </w:r>
      <w:r w:rsidRPr="00657A93">
        <w:rPr>
          <w:rFonts w:ascii="Times New Roman" w:hAnsi="Times New Roman"/>
          <w:szCs w:val="24"/>
        </w:rPr>
        <w:t xml:space="preserve"> the call on the Commission to take a bold approach to the upgraded Digital Education Action Plan (</w:t>
      </w:r>
      <w:r w:rsidRPr="00657A93">
        <w:rPr>
          <w:rFonts w:ascii="Times New Roman" w:hAnsi="Times New Roman"/>
          <w:b/>
          <w:szCs w:val="24"/>
        </w:rPr>
        <w:t>paragraph 18</w:t>
      </w:r>
      <w:r w:rsidRPr="00657A93">
        <w:rPr>
          <w:rFonts w:ascii="Times New Roman" w:hAnsi="Times New Roman"/>
          <w:szCs w:val="24"/>
        </w:rPr>
        <w:t xml:space="preserve">), </w:t>
      </w:r>
      <w:r w:rsidRPr="00754830">
        <w:rPr>
          <w:rFonts w:ascii="Times New Roman" w:hAnsi="Times New Roman"/>
          <w:szCs w:val="24"/>
        </w:rPr>
        <w:t>the Commission agrees</w:t>
      </w:r>
      <w:r>
        <w:rPr>
          <w:rFonts w:ascii="Times New Roman" w:hAnsi="Times New Roman"/>
          <w:szCs w:val="24"/>
        </w:rPr>
        <w:t xml:space="preserve"> with it</w:t>
      </w:r>
      <w:r w:rsidRPr="00657A93">
        <w:rPr>
          <w:rFonts w:ascii="Times New Roman" w:hAnsi="Times New Roman"/>
          <w:szCs w:val="24"/>
        </w:rPr>
        <w:t xml:space="preserve">. The new Digital Education Action Plan outlines a comprehensive and ambitious vision for education and training in the digital age, based on the values of high quality and inclusion. </w:t>
      </w:r>
      <w:r>
        <w:rPr>
          <w:rFonts w:ascii="Times New Roman" w:hAnsi="Times New Roman"/>
          <w:szCs w:val="24"/>
        </w:rPr>
        <w:t xml:space="preserve">It </w:t>
      </w:r>
      <w:proofErr w:type="gramStart"/>
      <w:r>
        <w:rPr>
          <w:rFonts w:ascii="Times New Roman" w:hAnsi="Times New Roman"/>
          <w:szCs w:val="24"/>
        </w:rPr>
        <w:t>is</w:t>
      </w:r>
      <w:r w:rsidRPr="00657A93">
        <w:rPr>
          <w:rFonts w:ascii="Times New Roman" w:hAnsi="Times New Roman"/>
          <w:szCs w:val="24"/>
        </w:rPr>
        <w:t xml:space="preserve"> based</w:t>
      </w:r>
      <w:proofErr w:type="gramEnd"/>
      <w:r w:rsidRPr="00657A93">
        <w:rPr>
          <w:rFonts w:ascii="Times New Roman" w:hAnsi="Times New Roman"/>
          <w:szCs w:val="24"/>
        </w:rPr>
        <w:t xml:space="preserve"> on extensive stakeholder consultation</w:t>
      </w:r>
      <w:r>
        <w:rPr>
          <w:rFonts w:ascii="Times New Roman" w:hAnsi="Times New Roman"/>
          <w:szCs w:val="24"/>
        </w:rPr>
        <w:t>s</w:t>
      </w:r>
      <w:r w:rsidRPr="00657A93">
        <w:rPr>
          <w:rFonts w:ascii="Times New Roman" w:hAnsi="Times New Roman"/>
          <w:szCs w:val="24"/>
        </w:rPr>
        <w:t xml:space="preserve"> and an open public consultation</w:t>
      </w:r>
      <w:r>
        <w:rPr>
          <w:rFonts w:ascii="Times New Roman" w:hAnsi="Times New Roman"/>
          <w:szCs w:val="24"/>
        </w:rPr>
        <w:t>,</w:t>
      </w:r>
      <w:r w:rsidRPr="00657A93">
        <w:rPr>
          <w:rFonts w:ascii="Times New Roman" w:hAnsi="Times New Roman"/>
          <w:szCs w:val="24"/>
        </w:rPr>
        <w:t xml:space="preserve"> </w:t>
      </w:r>
      <w:r>
        <w:rPr>
          <w:rFonts w:ascii="Times New Roman" w:hAnsi="Times New Roman"/>
          <w:szCs w:val="24"/>
        </w:rPr>
        <w:t>which received</w:t>
      </w:r>
      <w:r w:rsidRPr="00657A93">
        <w:rPr>
          <w:rFonts w:ascii="Times New Roman" w:hAnsi="Times New Roman"/>
          <w:szCs w:val="24"/>
        </w:rPr>
        <w:t xml:space="preserve"> more than 2700 responses</w:t>
      </w:r>
      <w:r>
        <w:rPr>
          <w:rFonts w:ascii="Times New Roman" w:hAnsi="Times New Roman"/>
          <w:szCs w:val="24"/>
        </w:rPr>
        <w:t>. It</w:t>
      </w:r>
      <w:r w:rsidRPr="00657A93">
        <w:rPr>
          <w:rFonts w:ascii="Times New Roman" w:hAnsi="Times New Roman"/>
          <w:szCs w:val="24"/>
        </w:rPr>
        <w:t xml:space="preserve"> supports Member States and education and training institutions </w:t>
      </w:r>
      <w:r>
        <w:rPr>
          <w:rFonts w:ascii="Times New Roman" w:hAnsi="Times New Roman"/>
          <w:szCs w:val="24"/>
        </w:rPr>
        <w:t>to draw the lessons from</w:t>
      </w:r>
      <w:r w:rsidRPr="00657A93">
        <w:rPr>
          <w:rFonts w:ascii="Times New Roman" w:hAnsi="Times New Roman"/>
          <w:szCs w:val="24"/>
        </w:rPr>
        <w:t xml:space="preserve"> the COVID-19 crisis</w:t>
      </w:r>
      <w:r>
        <w:rPr>
          <w:rFonts w:ascii="Times New Roman" w:hAnsi="Times New Roman"/>
          <w:szCs w:val="24"/>
        </w:rPr>
        <w:t>.</w:t>
      </w:r>
      <w:r w:rsidRPr="00657A93">
        <w:rPr>
          <w:rFonts w:ascii="Times New Roman" w:hAnsi="Times New Roman"/>
          <w:szCs w:val="24"/>
        </w:rPr>
        <w:t xml:space="preserve"> The Action Plan has two strategic priorities, which reflect a holistic approach to digital education</w:t>
      </w:r>
      <w:r>
        <w:rPr>
          <w:rFonts w:ascii="Times New Roman" w:hAnsi="Times New Roman"/>
          <w:szCs w:val="24"/>
        </w:rPr>
        <w:t>:</w:t>
      </w:r>
      <w:r w:rsidRPr="00657A93">
        <w:rPr>
          <w:rFonts w:ascii="Times New Roman" w:hAnsi="Times New Roman"/>
          <w:szCs w:val="24"/>
        </w:rPr>
        <w:t xml:space="preserve"> fostering a high-performing digital education ecosystem and enhancing digital skills and competences for the digital age. </w:t>
      </w:r>
      <w:r>
        <w:rPr>
          <w:rFonts w:ascii="Times New Roman" w:hAnsi="Times New Roman"/>
          <w:szCs w:val="24"/>
        </w:rPr>
        <w:t xml:space="preserve">Its seven-year </w:t>
      </w:r>
      <w:r w:rsidRPr="00657A93">
        <w:rPr>
          <w:rFonts w:ascii="Times New Roman" w:hAnsi="Times New Roman"/>
          <w:szCs w:val="24"/>
        </w:rPr>
        <w:t xml:space="preserve">duration allows better synergies with </w:t>
      </w:r>
      <w:r>
        <w:rPr>
          <w:rFonts w:ascii="Times New Roman" w:hAnsi="Times New Roman"/>
          <w:szCs w:val="24"/>
        </w:rPr>
        <w:t>EU</w:t>
      </w:r>
      <w:r w:rsidRPr="00657A93">
        <w:rPr>
          <w:rFonts w:ascii="Times New Roman" w:hAnsi="Times New Roman"/>
          <w:szCs w:val="24"/>
        </w:rPr>
        <w:t xml:space="preserve"> funding programmes and offers </w:t>
      </w:r>
      <w:r>
        <w:rPr>
          <w:rFonts w:ascii="Times New Roman" w:hAnsi="Times New Roman"/>
          <w:szCs w:val="24"/>
        </w:rPr>
        <w:t>a</w:t>
      </w:r>
      <w:r w:rsidRPr="00657A93">
        <w:rPr>
          <w:rFonts w:ascii="Times New Roman" w:hAnsi="Times New Roman"/>
          <w:szCs w:val="24"/>
        </w:rPr>
        <w:t xml:space="preserve"> coordinated approach in reaching </w:t>
      </w:r>
      <w:r>
        <w:rPr>
          <w:rFonts w:ascii="Times New Roman" w:hAnsi="Times New Roman"/>
          <w:szCs w:val="24"/>
        </w:rPr>
        <w:t>its</w:t>
      </w:r>
      <w:r w:rsidRPr="00657A93">
        <w:rPr>
          <w:rFonts w:ascii="Times New Roman" w:hAnsi="Times New Roman"/>
          <w:szCs w:val="24"/>
        </w:rPr>
        <w:t xml:space="preserve"> objectives. The active involvement of the European Parliament will be importan</w:t>
      </w:r>
      <w:r>
        <w:rPr>
          <w:rFonts w:ascii="Times New Roman" w:hAnsi="Times New Roman"/>
          <w:szCs w:val="24"/>
        </w:rPr>
        <w:t>t</w:t>
      </w:r>
      <w:r w:rsidRPr="00657A93">
        <w:rPr>
          <w:rFonts w:ascii="Times New Roman" w:hAnsi="Times New Roman"/>
          <w:szCs w:val="24"/>
        </w:rPr>
        <w:t xml:space="preserve"> to achieve the ambitious goals of the Action Plan.</w:t>
      </w:r>
    </w:p>
    <w:p w:rsidR="001F0934" w:rsidRDefault="001F0934" w:rsidP="0057291F">
      <w:pPr>
        <w:widowControl w:val="0"/>
        <w:spacing w:after="120"/>
        <w:jc w:val="both"/>
        <w:rPr>
          <w:rFonts w:ascii="Times New Roman" w:hAnsi="Times New Roman"/>
          <w:szCs w:val="24"/>
        </w:rPr>
      </w:pPr>
      <w:r>
        <w:rPr>
          <w:rFonts w:ascii="Times New Roman" w:hAnsi="Times New Roman"/>
          <w:szCs w:val="24"/>
        </w:rPr>
        <w:t xml:space="preserve">As for </w:t>
      </w:r>
      <w:r w:rsidRPr="00657A93">
        <w:rPr>
          <w:rFonts w:ascii="Times New Roman" w:hAnsi="Times New Roman"/>
          <w:szCs w:val="24"/>
        </w:rPr>
        <w:t>the call on the Commission to actively involve Parliament at all stages of policymaking (</w:t>
      </w:r>
      <w:r w:rsidRPr="00657A93">
        <w:rPr>
          <w:rFonts w:ascii="Times New Roman" w:hAnsi="Times New Roman"/>
          <w:b/>
          <w:szCs w:val="24"/>
        </w:rPr>
        <w:t>paragraph 18</w:t>
      </w:r>
      <w:r w:rsidRPr="00657A93">
        <w:rPr>
          <w:rFonts w:ascii="Times New Roman" w:hAnsi="Times New Roman"/>
          <w:szCs w:val="24"/>
        </w:rPr>
        <w:t xml:space="preserve">), the Commission is fully committed to </w:t>
      </w:r>
      <w:r>
        <w:rPr>
          <w:rFonts w:ascii="Times New Roman" w:hAnsi="Times New Roman"/>
          <w:szCs w:val="24"/>
        </w:rPr>
        <w:t xml:space="preserve">do so. It believes in </w:t>
      </w:r>
      <w:r w:rsidRPr="00657A93">
        <w:rPr>
          <w:rFonts w:ascii="Times New Roman" w:hAnsi="Times New Roman"/>
          <w:szCs w:val="24"/>
        </w:rPr>
        <w:t>a multi-stakeholder co-creation approach to education policy</w:t>
      </w:r>
      <w:r>
        <w:rPr>
          <w:rFonts w:ascii="Times New Roman" w:hAnsi="Times New Roman"/>
          <w:szCs w:val="24"/>
        </w:rPr>
        <w:t xml:space="preserve"> involving all</w:t>
      </w:r>
      <w:r w:rsidRPr="00657A93">
        <w:rPr>
          <w:rFonts w:ascii="Times New Roman" w:hAnsi="Times New Roman"/>
          <w:szCs w:val="24"/>
        </w:rPr>
        <w:t xml:space="preserve"> European institutions, Member States, the education and training community and </w:t>
      </w:r>
      <w:r>
        <w:rPr>
          <w:rFonts w:ascii="Times New Roman" w:hAnsi="Times New Roman"/>
          <w:szCs w:val="24"/>
        </w:rPr>
        <w:t>other relevant stakeholders</w:t>
      </w:r>
      <w:r w:rsidRPr="00657A93">
        <w:rPr>
          <w:rFonts w:ascii="Times New Roman" w:hAnsi="Times New Roman"/>
          <w:szCs w:val="24"/>
        </w:rPr>
        <w:t>.</w:t>
      </w:r>
    </w:p>
    <w:p w:rsidR="001F0934" w:rsidRDefault="001F0934" w:rsidP="0057291F">
      <w:pPr>
        <w:widowControl w:val="0"/>
        <w:spacing w:after="120"/>
        <w:jc w:val="both"/>
        <w:rPr>
          <w:rFonts w:ascii="Times New Roman" w:hAnsi="Times New Roman"/>
          <w:szCs w:val="24"/>
        </w:rPr>
      </w:pPr>
      <w:proofErr w:type="gramStart"/>
      <w:r>
        <w:rPr>
          <w:rFonts w:ascii="Times New Roman" w:hAnsi="Times New Roman"/>
          <w:szCs w:val="24"/>
        </w:rPr>
        <w:t>Concerning</w:t>
      </w:r>
      <w:r w:rsidRPr="00657A93">
        <w:rPr>
          <w:rFonts w:ascii="Times New Roman" w:hAnsi="Times New Roman"/>
          <w:szCs w:val="24"/>
        </w:rPr>
        <w:t xml:space="preserve"> the call on the Commission to focus greater efforts on early childhood education, school education, adult education, and vocational education and training, through a lifelong learning approach (</w:t>
      </w:r>
      <w:r w:rsidRPr="00657A93">
        <w:rPr>
          <w:rFonts w:ascii="Times New Roman" w:hAnsi="Times New Roman"/>
          <w:b/>
          <w:szCs w:val="24"/>
        </w:rPr>
        <w:t>paragraph 20</w:t>
      </w:r>
      <w:r w:rsidRPr="00657A93">
        <w:rPr>
          <w:rFonts w:ascii="Times New Roman" w:hAnsi="Times New Roman"/>
          <w:szCs w:val="24"/>
        </w:rPr>
        <w:t>)</w:t>
      </w:r>
      <w:r>
        <w:rPr>
          <w:rFonts w:ascii="Times New Roman" w:hAnsi="Times New Roman"/>
          <w:szCs w:val="24"/>
        </w:rPr>
        <w:t>, the European Skills Agenda</w:t>
      </w:r>
      <w:r>
        <w:rPr>
          <w:rStyle w:val="FootnoteReference"/>
          <w:rFonts w:ascii="Times New Roman" w:hAnsi="Times New Roman"/>
          <w:szCs w:val="24"/>
        </w:rPr>
        <w:footnoteReference w:id="10"/>
      </w:r>
      <w:r>
        <w:rPr>
          <w:rFonts w:ascii="Times New Roman" w:hAnsi="Times New Roman"/>
          <w:szCs w:val="24"/>
        </w:rPr>
        <w:t xml:space="preserve"> and the European Education Area Communication have put forward a series of concrete actions to support the acquisition of skills by all </w:t>
      </w:r>
      <w:r>
        <w:rPr>
          <w:rFonts w:ascii="Times New Roman" w:hAnsi="Times New Roman"/>
          <w:szCs w:val="24"/>
        </w:rPr>
        <w:lastRenderedPageBreak/>
        <w:t>within a lifelong leaning perspective.</w:t>
      </w:r>
      <w:proofErr w:type="gramEnd"/>
      <w:r>
        <w:rPr>
          <w:rFonts w:ascii="Times New Roman" w:hAnsi="Times New Roman"/>
          <w:szCs w:val="24"/>
        </w:rPr>
        <w:t xml:space="preserve"> </w:t>
      </w:r>
      <w:r w:rsidRPr="00AD5773">
        <w:rPr>
          <w:rFonts w:ascii="Times New Roman" w:hAnsi="Times New Roman"/>
          <w:szCs w:val="24"/>
        </w:rPr>
        <w:t>For example, the Pathways to School Success initiative will help all pupils reach a baseline level of proficiency in basic skills</w:t>
      </w:r>
      <w:r>
        <w:rPr>
          <w:rStyle w:val="FootnoteReference"/>
          <w:rFonts w:ascii="Times New Roman" w:hAnsi="Times New Roman"/>
          <w:szCs w:val="24"/>
        </w:rPr>
        <w:footnoteReference w:id="11"/>
      </w:r>
      <w:r w:rsidRPr="00AD5773">
        <w:rPr>
          <w:rFonts w:ascii="Times New Roman" w:hAnsi="Times New Roman"/>
          <w:szCs w:val="24"/>
        </w:rPr>
        <w:t xml:space="preserve">. The initiative will have a special focus on groups that are more at risk of underachievement and early school leaving. The Commission will work with the Member States to co-develop policy guidance on </w:t>
      </w:r>
      <w:r>
        <w:rPr>
          <w:rFonts w:ascii="Times New Roman" w:hAnsi="Times New Roman"/>
          <w:szCs w:val="24"/>
        </w:rPr>
        <w:t xml:space="preserve">decoupling educational attainments from socio-economic background, </w:t>
      </w:r>
      <w:r w:rsidRPr="00AD5773">
        <w:rPr>
          <w:rFonts w:ascii="Times New Roman" w:hAnsi="Times New Roman"/>
          <w:szCs w:val="24"/>
        </w:rPr>
        <w:t>reducing low achievement and increasing secondary education attainment.</w:t>
      </w:r>
      <w:r w:rsidRPr="00AD5773">
        <w:t xml:space="preserve"> </w:t>
      </w:r>
      <w:r w:rsidRPr="00AD5773">
        <w:rPr>
          <w:rFonts w:ascii="Times New Roman" w:hAnsi="Times New Roman"/>
          <w:szCs w:val="24"/>
        </w:rPr>
        <w:t>As social and educational inequalities are</w:t>
      </w:r>
      <w:r>
        <w:rPr>
          <w:rFonts w:ascii="Times New Roman" w:hAnsi="Times New Roman"/>
          <w:szCs w:val="24"/>
        </w:rPr>
        <w:t xml:space="preserve"> </w:t>
      </w:r>
      <w:r w:rsidRPr="00094C93">
        <w:rPr>
          <w:rFonts w:ascii="Times New Roman" w:hAnsi="Times New Roman"/>
          <w:szCs w:val="24"/>
        </w:rPr>
        <w:t>often root</w:t>
      </w:r>
      <w:r>
        <w:rPr>
          <w:rFonts w:ascii="Times New Roman" w:hAnsi="Times New Roman"/>
          <w:szCs w:val="24"/>
        </w:rPr>
        <w:t>ed</w:t>
      </w:r>
      <w:r w:rsidRPr="00094C93">
        <w:rPr>
          <w:rFonts w:ascii="Times New Roman" w:hAnsi="Times New Roman"/>
          <w:szCs w:val="24"/>
        </w:rPr>
        <w:t xml:space="preserve"> in ear</w:t>
      </w:r>
      <w:r>
        <w:rPr>
          <w:rFonts w:ascii="Times New Roman" w:hAnsi="Times New Roman"/>
          <w:szCs w:val="24"/>
        </w:rPr>
        <w:t>ly childhood,</w:t>
      </w:r>
      <w:r w:rsidRPr="00094C93">
        <w:rPr>
          <w:rFonts w:ascii="Times New Roman" w:hAnsi="Times New Roman"/>
          <w:szCs w:val="24"/>
        </w:rPr>
        <w:t xml:space="preserve"> participation in early childhood education and care is an important determinant </w:t>
      </w:r>
      <w:r>
        <w:rPr>
          <w:rFonts w:ascii="Times New Roman" w:hAnsi="Times New Roman"/>
          <w:szCs w:val="24"/>
        </w:rPr>
        <w:t>in this respect. T</w:t>
      </w:r>
      <w:r w:rsidRPr="00094C93">
        <w:rPr>
          <w:rFonts w:ascii="Times New Roman" w:hAnsi="Times New Roman"/>
          <w:szCs w:val="24"/>
        </w:rPr>
        <w:t xml:space="preserve">he Commission will support Member States in the implementation of the European quality framework for </w:t>
      </w:r>
      <w:proofErr w:type="gramStart"/>
      <w:r w:rsidRPr="00094C93">
        <w:rPr>
          <w:rFonts w:ascii="Times New Roman" w:hAnsi="Times New Roman"/>
          <w:szCs w:val="24"/>
        </w:rPr>
        <w:t>high</w:t>
      </w:r>
      <w:r>
        <w:rPr>
          <w:rFonts w:ascii="Times New Roman" w:hAnsi="Times New Roman"/>
          <w:szCs w:val="24"/>
        </w:rPr>
        <w:t>-</w:t>
      </w:r>
      <w:r w:rsidRPr="00094C93">
        <w:rPr>
          <w:rFonts w:ascii="Times New Roman" w:hAnsi="Times New Roman"/>
          <w:szCs w:val="24"/>
        </w:rPr>
        <w:t>quality</w:t>
      </w:r>
      <w:proofErr w:type="gramEnd"/>
      <w:r w:rsidRPr="00094C93">
        <w:rPr>
          <w:rFonts w:ascii="Times New Roman" w:hAnsi="Times New Roman"/>
          <w:szCs w:val="24"/>
        </w:rPr>
        <w:t xml:space="preserve"> early childhood education and care systems. To better prepare children to succeed in educational contexts throughout life, in 2021, the Commission will make available a tool-kit, drawing on best practice</w:t>
      </w:r>
      <w:r>
        <w:rPr>
          <w:rFonts w:ascii="Times New Roman" w:hAnsi="Times New Roman"/>
          <w:szCs w:val="24"/>
        </w:rPr>
        <w:t>s</w:t>
      </w:r>
      <w:r w:rsidRPr="00094C93">
        <w:rPr>
          <w:rFonts w:ascii="Times New Roman" w:hAnsi="Times New Roman"/>
          <w:szCs w:val="24"/>
        </w:rPr>
        <w:t xml:space="preserve"> and the input of experts and stakeholders.</w:t>
      </w:r>
      <w:r>
        <w:rPr>
          <w:rFonts w:ascii="Times New Roman" w:hAnsi="Times New Roman"/>
          <w:szCs w:val="24"/>
        </w:rPr>
        <w:t xml:space="preserve"> This work </w:t>
      </w:r>
      <w:proofErr w:type="gramStart"/>
      <w:r>
        <w:rPr>
          <w:rFonts w:ascii="Times New Roman" w:hAnsi="Times New Roman"/>
          <w:szCs w:val="24"/>
        </w:rPr>
        <w:t>will be further supported</w:t>
      </w:r>
      <w:proofErr w:type="gramEnd"/>
      <w:r>
        <w:rPr>
          <w:rFonts w:ascii="Times New Roman" w:hAnsi="Times New Roman"/>
          <w:szCs w:val="24"/>
        </w:rPr>
        <w:t xml:space="preserve"> by the new Child guarantee initiative</w:t>
      </w:r>
      <w:r>
        <w:rPr>
          <w:rStyle w:val="FootnoteReference"/>
          <w:rFonts w:ascii="Times New Roman" w:hAnsi="Times New Roman"/>
          <w:szCs w:val="24"/>
        </w:rPr>
        <w:footnoteReference w:id="12"/>
      </w:r>
      <w:r>
        <w:rPr>
          <w:rFonts w:ascii="Times New Roman" w:hAnsi="Times New Roman"/>
          <w:szCs w:val="24"/>
        </w:rPr>
        <w:t>.</w:t>
      </w:r>
    </w:p>
    <w:p w:rsidR="001F0934" w:rsidRDefault="001F0934" w:rsidP="0057291F">
      <w:pPr>
        <w:widowControl w:val="0"/>
        <w:spacing w:after="120"/>
        <w:jc w:val="both"/>
        <w:rPr>
          <w:rFonts w:ascii="Times New Roman" w:hAnsi="Times New Roman"/>
          <w:szCs w:val="24"/>
        </w:rPr>
      </w:pPr>
      <w:r>
        <w:rPr>
          <w:rFonts w:ascii="Times New Roman" w:hAnsi="Times New Roman"/>
          <w:szCs w:val="24"/>
        </w:rPr>
        <w:t>In addition, to help lift quality of education (</w:t>
      </w:r>
      <w:r w:rsidRPr="005705BD">
        <w:rPr>
          <w:rFonts w:ascii="Times New Roman" w:hAnsi="Times New Roman"/>
          <w:b/>
          <w:szCs w:val="24"/>
        </w:rPr>
        <w:t>paragraph 38</w:t>
      </w:r>
      <w:r>
        <w:rPr>
          <w:rFonts w:ascii="Times New Roman" w:hAnsi="Times New Roman"/>
          <w:szCs w:val="24"/>
        </w:rPr>
        <w:t>), t</w:t>
      </w:r>
      <w:r w:rsidRPr="00381377">
        <w:rPr>
          <w:rFonts w:ascii="Times New Roman" w:hAnsi="Times New Roman"/>
          <w:szCs w:val="24"/>
        </w:rPr>
        <w:t>he Commission will support Member States in the identification of effective policy reforms that support better achievement in basic skills. This will specifically concern curriculum and assessment, as well as the capacity of institutions and staff to be innovative and develop their learning approaches and environments.</w:t>
      </w:r>
    </w:p>
    <w:p w:rsidR="001F0934" w:rsidRPr="00E52D0E" w:rsidRDefault="001F0934" w:rsidP="0057291F">
      <w:pPr>
        <w:widowControl w:val="0"/>
        <w:spacing w:after="120"/>
        <w:jc w:val="both"/>
        <w:rPr>
          <w:rFonts w:ascii="Times New Roman" w:hAnsi="Times New Roman"/>
          <w:szCs w:val="24"/>
        </w:rPr>
      </w:pPr>
      <w:r>
        <w:rPr>
          <w:rFonts w:ascii="Times New Roman" w:hAnsi="Times New Roman"/>
          <w:szCs w:val="24"/>
        </w:rPr>
        <w:t xml:space="preserve">Furthermore, the “Council Recommendation on Vocational Education and training (VET) </w:t>
      </w:r>
      <w:r w:rsidRPr="00442291">
        <w:rPr>
          <w:rFonts w:ascii="Times New Roman" w:hAnsi="Times New Roman"/>
          <w:szCs w:val="24"/>
        </w:rPr>
        <w:t>for sustainable competitiveness, social fairness and resilience</w:t>
      </w:r>
      <w:r>
        <w:rPr>
          <w:rFonts w:ascii="Times New Roman" w:hAnsi="Times New Roman"/>
          <w:szCs w:val="24"/>
        </w:rPr>
        <w:t xml:space="preserve">” strengthens the European VET systems. It </w:t>
      </w:r>
      <w:r w:rsidRPr="00442291">
        <w:rPr>
          <w:rFonts w:ascii="Times New Roman" w:hAnsi="Times New Roman"/>
          <w:szCs w:val="24"/>
        </w:rPr>
        <w:t>equip</w:t>
      </w:r>
      <w:r>
        <w:rPr>
          <w:rFonts w:ascii="Times New Roman" w:hAnsi="Times New Roman"/>
          <w:szCs w:val="24"/>
        </w:rPr>
        <w:t>s</w:t>
      </w:r>
      <w:r w:rsidRPr="00442291">
        <w:rPr>
          <w:rFonts w:ascii="Times New Roman" w:hAnsi="Times New Roman"/>
          <w:szCs w:val="24"/>
        </w:rPr>
        <w:t xml:space="preserve"> young people and adults with the knowledge, skills and competences to thrive in the evolving labour market and society, </w:t>
      </w:r>
      <w:r>
        <w:rPr>
          <w:rFonts w:ascii="Times New Roman" w:hAnsi="Times New Roman"/>
          <w:szCs w:val="24"/>
        </w:rPr>
        <w:t>fostering</w:t>
      </w:r>
      <w:r w:rsidRPr="00442291">
        <w:rPr>
          <w:rFonts w:ascii="Times New Roman" w:hAnsi="Times New Roman"/>
          <w:szCs w:val="24"/>
        </w:rPr>
        <w:t xml:space="preserve"> inclusiveness and equal opportunities</w:t>
      </w:r>
      <w:r>
        <w:rPr>
          <w:rFonts w:ascii="Times New Roman" w:hAnsi="Times New Roman"/>
          <w:szCs w:val="24"/>
        </w:rPr>
        <w:t xml:space="preserve"> and providing </w:t>
      </w:r>
      <w:r w:rsidRPr="00442291">
        <w:rPr>
          <w:rFonts w:ascii="Times New Roman" w:hAnsi="Times New Roman"/>
          <w:szCs w:val="24"/>
        </w:rPr>
        <w:t>strong foundations for resilience, lifelong learning, lifelong employability, social inclusion, active citizenship and personal development</w:t>
      </w:r>
      <w:r>
        <w:rPr>
          <w:rFonts w:ascii="Times New Roman" w:hAnsi="Times New Roman"/>
          <w:szCs w:val="24"/>
        </w:rPr>
        <w:t xml:space="preserve">. The </w:t>
      </w:r>
      <w:proofErr w:type="spellStart"/>
      <w:r>
        <w:rPr>
          <w:rFonts w:ascii="Times New Roman" w:hAnsi="Times New Roman"/>
          <w:szCs w:val="24"/>
        </w:rPr>
        <w:t>Osnabrück</w:t>
      </w:r>
      <w:proofErr w:type="spellEnd"/>
      <w:r>
        <w:rPr>
          <w:rFonts w:ascii="Times New Roman" w:hAnsi="Times New Roman"/>
          <w:szCs w:val="24"/>
        </w:rPr>
        <w:t xml:space="preserve"> Declaration </w:t>
      </w:r>
      <w:r w:rsidRPr="00442291">
        <w:rPr>
          <w:rFonts w:ascii="Times New Roman" w:hAnsi="Times New Roman"/>
          <w:szCs w:val="24"/>
        </w:rPr>
        <w:t>2020 on vocational education and training as an enabler of recovery and just transitions to digital and green economies</w:t>
      </w:r>
      <w:r>
        <w:rPr>
          <w:rFonts w:ascii="Times New Roman" w:hAnsi="Times New Roman"/>
          <w:szCs w:val="24"/>
        </w:rPr>
        <w:t xml:space="preserve"> </w:t>
      </w:r>
      <w:r w:rsidRPr="00E52D0E">
        <w:rPr>
          <w:rFonts w:ascii="Times New Roman" w:hAnsi="Times New Roman"/>
          <w:szCs w:val="24"/>
        </w:rPr>
        <w:t>complement</w:t>
      </w:r>
      <w:r>
        <w:rPr>
          <w:rFonts w:ascii="Times New Roman" w:hAnsi="Times New Roman"/>
          <w:szCs w:val="24"/>
        </w:rPr>
        <w:t>s and operationalises</w:t>
      </w:r>
      <w:r w:rsidRPr="00E52D0E">
        <w:rPr>
          <w:rFonts w:ascii="Times New Roman" w:hAnsi="Times New Roman"/>
          <w:szCs w:val="24"/>
        </w:rPr>
        <w:t xml:space="preserve"> the vision and stra</w:t>
      </w:r>
      <w:r>
        <w:rPr>
          <w:rFonts w:ascii="Times New Roman" w:hAnsi="Times New Roman"/>
          <w:szCs w:val="24"/>
        </w:rPr>
        <w:t>tegic objectives of the VET Recommendation. The Commission is also working on a “Skills for Life” initiative, as announced in the European Skills Agenda, to support the development of q</w:t>
      </w:r>
      <w:r w:rsidRPr="00E52D0E">
        <w:rPr>
          <w:rFonts w:ascii="Times New Roman" w:hAnsi="Times New Roman"/>
          <w:szCs w:val="24"/>
        </w:rPr>
        <w:t>uality and inclusive adult learning system</w:t>
      </w:r>
      <w:r>
        <w:rPr>
          <w:rFonts w:ascii="Times New Roman" w:hAnsi="Times New Roman"/>
          <w:szCs w:val="24"/>
        </w:rPr>
        <w:t>s.</w:t>
      </w:r>
    </w:p>
    <w:p w:rsidR="001F0934" w:rsidRPr="00657A93" w:rsidRDefault="001F0934" w:rsidP="0057291F">
      <w:pPr>
        <w:widowControl w:val="0"/>
        <w:spacing w:after="120"/>
        <w:jc w:val="both"/>
        <w:rPr>
          <w:rFonts w:ascii="Times New Roman" w:hAnsi="Times New Roman"/>
          <w:szCs w:val="24"/>
        </w:rPr>
      </w:pPr>
      <w:r w:rsidRPr="00657A93">
        <w:rPr>
          <w:rFonts w:ascii="Times New Roman" w:hAnsi="Times New Roman"/>
          <w:szCs w:val="24"/>
        </w:rPr>
        <w:t xml:space="preserve">In relation to the </w:t>
      </w:r>
      <w:r>
        <w:rPr>
          <w:rFonts w:ascii="Times New Roman" w:hAnsi="Times New Roman"/>
          <w:szCs w:val="24"/>
        </w:rPr>
        <w:t xml:space="preserve">concerns expressed by the Parliament about the </w:t>
      </w:r>
      <w:r w:rsidRPr="00657A93">
        <w:rPr>
          <w:rFonts w:ascii="Times New Roman" w:hAnsi="Times New Roman"/>
          <w:szCs w:val="24"/>
        </w:rPr>
        <w:t>Erasmus+ programme budget (</w:t>
      </w:r>
      <w:r w:rsidRPr="00657A93">
        <w:rPr>
          <w:rFonts w:ascii="Times New Roman" w:hAnsi="Times New Roman"/>
          <w:b/>
          <w:szCs w:val="24"/>
        </w:rPr>
        <w:t>paragraph 22</w:t>
      </w:r>
      <w:r w:rsidRPr="00657A93">
        <w:rPr>
          <w:rFonts w:ascii="Times New Roman" w:hAnsi="Times New Roman"/>
          <w:szCs w:val="24"/>
        </w:rPr>
        <w:t>)</w:t>
      </w:r>
      <w:r>
        <w:rPr>
          <w:rFonts w:ascii="Times New Roman" w:hAnsi="Times New Roman"/>
          <w:szCs w:val="24"/>
        </w:rPr>
        <w:t>, the Commission</w:t>
      </w:r>
      <w:r w:rsidRPr="005C3BAB">
        <w:rPr>
          <w:rFonts w:ascii="Times New Roman" w:hAnsi="Times New Roman"/>
          <w:szCs w:val="24"/>
        </w:rPr>
        <w:t xml:space="preserve"> welcomes the </w:t>
      </w:r>
      <w:r>
        <w:rPr>
          <w:rFonts w:ascii="Times New Roman" w:hAnsi="Times New Roman"/>
          <w:szCs w:val="24"/>
        </w:rPr>
        <w:t xml:space="preserve">political </w:t>
      </w:r>
      <w:r w:rsidRPr="005C3BAB">
        <w:rPr>
          <w:rFonts w:ascii="Times New Roman" w:hAnsi="Times New Roman"/>
          <w:szCs w:val="24"/>
        </w:rPr>
        <w:t>agreement reached between the co-legislators. The new, innovative and reinforced programme will be able to provide a rapid response to the current challenges.</w:t>
      </w:r>
      <w:r>
        <w:rPr>
          <w:rFonts w:ascii="Times New Roman" w:hAnsi="Times New Roman"/>
          <w:szCs w:val="24"/>
        </w:rPr>
        <w:t xml:space="preserve"> A </w:t>
      </w:r>
      <w:r w:rsidRPr="005C3BAB">
        <w:rPr>
          <w:rFonts w:ascii="Times New Roman" w:hAnsi="Times New Roman"/>
          <w:szCs w:val="24"/>
        </w:rPr>
        <w:t>more inclusive, more digitally ready and greener Erasmus</w:t>
      </w:r>
      <w:r>
        <w:rPr>
          <w:rFonts w:ascii="Times New Roman" w:hAnsi="Times New Roman"/>
          <w:szCs w:val="24"/>
        </w:rPr>
        <w:t>+</w:t>
      </w:r>
      <w:r w:rsidRPr="005C3BAB">
        <w:rPr>
          <w:rFonts w:ascii="Times New Roman" w:hAnsi="Times New Roman"/>
          <w:szCs w:val="24"/>
        </w:rPr>
        <w:t xml:space="preserve"> programme will contribute to </w:t>
      </w:r>
      <w:r>
        <w:rPr>
          <w:rFonts w:ascii="Times New Roman" w:hAnsi="Times New Roman"/>
          <w:szCs w:val="24"/>
        </w:rPr>
        <w:t xml:space="preserve">better quality of life, and support </w:t>
      </w:r>
      <w:r w:rsidRPr="005C3BAB">
        <w:rPr>
          <w:rFonts w:ascii="Times New Roman" w:hAnsi="Times New Roman"/>
          <w:szCs w:val="24"/>
        </w:rPr>
        <w:t>Europ</w:t>
      </w:r>
      <w:r>
        <w:rPr>
          <w:rFonts w:ascii="Times New Roman" w:hAnsi="Times New Roman"/>
          <w:szCs w:val="24"/>
        </w:rPr>
        <w:t xml:space="preserve">e’s recovery and future growth. </w:t>
      </w:r>
      <w:r w:rsidRPr="005C3BAB">
        <w:rPr>
          <w:rFonts w:ascii="Times New Roman" w:hAnsi="Times New Roman"/>
          <w:szCs w:val="24"/>
        </w:rPr>
        <w:t xml:space="preserve">With an increased budget, the programme will be </w:t>
      </w:r>
      <w:r>
        <w:rPr>
          <w:rFonts w:ascii="Times New Roman" w:hAnsi="Times New Roman"/>
          <w:szCs w:val="24"/>
        </w:rPr>
        <w:t>more</w:t>
      </w:r>
      <w:r w:rsidRPr="005C3BAB">
        <w:rPr>
          <w:rFonts w:ascii="Times New Roman" w:hAnsi="Times New Roman"/>
          <w:szCs w:val="24"/>
        </w:rPr>
        <w:t xml:space="preserve"> inclusive and accessib</w:t>
      </w:r>
      <w:r>
        <w:rPr>
          <w:rFonts w:ascii="Times New Roman" w:hAnsi="Times New Roman"/>
          <w:szCs w:val="24"/>
        </w:rPr>
        <w:t>le</w:t>
      </w:r>
      <w:r w:rsidRPr="005C3BAB">
        <w:rPr>
          <w:rFonts w:ascii="Times New Roman" w:hAnsi="Times New Roman"/>
          <w:szCs w:val="24"/>
        </w:rPr>
        <w:t xml:space="preserve"> and help pave the way towards th</w:t>
      </w:r>
      <w:r>
        <w:rPr>
          <w:rFonts w:ascii="Times New Roman" w:hAnsi="Times New Roman"/>
          <w:szCs w:val="24"/>
        </w:rPr>
        <w:t>e green and digital transitions.</w:t>
      </w:r>
    </w:p>
    <w:p w:rsidR="001F0934" w:rsidRDefault="001F0934" w:rsidP="0057291F">
      <w:pPr>
        <w:widowControl w:val="0"/>
        <w:spacing w:after="120"/>
        <w:jc w:val="both"/>
        <w:rPr>
          <w:rFonts w:ascii="Times New Roman" w:hAnsi="Times New Roman"/>
          <w:szCs w:val="24"/>
        </w:rPr>
      </w:pPr>
      <w:r>
        <w:rPr>
          <w:rFonts w:ascii="Times New Roman" w:hAnsi="Times New Roman"/>
          <w:szCs w:val="24"/>
        </w:rPr>
        <w:t>Regarding</w:t>
      </w:r>
      <w:r w:rsidRPr="00657A93">
        <w:rPr>
          <w:rFonts w:ascii="Times New Roman" w:hAnsi="Times New Roman"/>
          <w:szCs w:val="24"/>
        </w:rPr>
        <w:t xml:space="preserve"> the call on the Commission to prioritise targeted investments in digital infrastructure and equipment for educational establishments and learners in order to enable distance and online learning, especially in remote and rural areas (</w:t>
      </w:r>
      <w:r w:rsidRPr="00657A93">
        <w:rPr>
          <w:rFonts w:ascii="Times New Roman" w:hAnsi="Times New Roman"/>
          <w:b/>
          <w:szCs w:val="24"/>
        </w:rPr>
        <w:t>paragraph 23</w:t>
      </w:r>
      <w:r w:rsidRPr="00657A93">
        <w:rPr>
          <w:rFonts w:ascii="Times New Roman" w:hAnsi="Times New Roman"/>
          <w:szCs w:val="24"/>
        </w:rPr>
        <w:t>)</w:t>
      </w:r>
      <w:proofErr w:type="gramStart"/>
      <w:r w:rsidRPr="00657A93">
        <w:rPr>
          <w:rFonts w:ascii="Times New Roman" w:hAnsi="Times New Roman"/>
          <w:szCs w:val="24"/>
        </w:rPr>
        <w:t>,</w:t>
      </w:r>
      <w:proofErr w:type="gramEnd"/>
      <w:r w:rsidRPr="00657A93">
        <w:rPr>
          <w:rFonts w:ascii="Times New Roman" w:hAnsi="Times New Roman"/>
          <w:szCs w:val="24"/>
        </w:rPr>
        <w:t xml:space="preserve"> the Commission </w:t>
      </w:r>
      <w:r w:rsidRPr="00754830">
        <w:rPr>
          <w:rFonts w:ascii="Times New Roman" w:hAnsi="Times New Roman"/>
          <w:szCs w:val="24"/>
        </w:rPr>
        <w:t>agrees</w:t>
      </w:r>
      <w:r w:rsidRPr="00657A93">
        <w:rPr>
          <w:rFonts w:ascii="Times New Roman" w:hAnsi="Times New Roman"/>
          <w:szCs w:val="24"/>
        </w:rPr>
        <w:t xml:space="preserve"> that digital divides must be closed and that reinforced</w:t>
      </w:r>
      <w:r w:rsidRPr="00657A93">
        <w:rPr>
          <w:rFonts w:ascii="Times New Roman" w:hAnsi="Times New Roman"/>
          <w:b/>
          <w:szCs w:val="24"/>
        </w:rPr>
        <w:t xml:space="preserve"> </w:t>
      </w:r>
      <w:r w:rsidRPr="00657A93">
        <w:rPr>
          <w:rFonts w:ascii="Times New Roman" w:hAnsi="Times New Roman"/>
          <w:szCs w:val="24"/>
        </w:rPr>
        <w:t>investments in digital infrastructure and equipment are needed. In view of that, the Digital Education Action Plan outlines a dedicated action to support connectivity and digital equipment in education and training institutions. As part of this action, the Commission will support Gigabit connectivity of schools under the Connecting Europe Facility</w:t>
      </w:r>
      <w:r>
        <w:rPr>
          <w:rStyle w:val="FootnoteReference"/>
          <w:rFonts w:ascii="Times New Roman" w:hAnsi="Times New Roman"/>
          <w:szCs w:val="24"/>
        </w:rPr>
        <w:footnoteReference w:id="13"/>
      </w:r>
      <w:r w:rsidRPr="00657A93">
        <w:rPr>
          <w:rFonts w:ascii="Times New Roman" w:hAnsi="Times New Roman"/>
          <w:szCs w:val="24"/>
        </w:rPr>
        <w:t xml:space="preserve">. Additionally, the </w:t>
      </w:r>
      <w:r>
        <w:rPr>
          <w:rFonts w:ascii="Times New Roman" w:hAnsi="Times New Roman"/>
          <w:szCs w:val="24"/>
        </w:rPr>
        <w:lastRenderedPageBreak/>
        <w:t>Commission,</w:t>
      </w:r>
      <w:r w:rsidRPr="00657A93">
        <w:rPr>
          <w:rFonts w:ascii="Times New Roman" w:hAnsi="Times New Roman"/>
          <w:szCs w:val="24"/>
        </w:rPr>
        <w:t xml:space="preserve"> </w:t>
      </w:r>
      <w:r>
        <w:rPr>
          <w:rFonts w:ascii="Times New Roman" w:hAnsi="Times New Roman"/>
          <w:szCs w:val="24"/>
        </w:rPr>
        <w:t xml:space="preserve">together with Member States, </w:t>
      </w:r>
      <w:r w:rsidRPr="00657A93">
        <w:rPr>
          <w:rFonts w:ascii="Times New Roman" w:hAnsi="Times New Roman"/>
          <w:szCs w:val="24"/>
        </w:rPr>
        <w:t>will continue supporting the use of different funding opportunities</w:t>
      </w:r>
      <w:r>
        <w:rPr>
          <w:rFonts w:ascii="Times New Roman" w:hAnsi="Times New Roman"/>
          <w:szCs w:val="24"/>
        </w:rPr>
        <w:t xml:space="preserve">, </w:t>
      </w:r>
      <w:r w:rsidRPr="00657A93">
        <w:rPr>
          <w:rFonts w:ascii="Times New Roman" w:hAnsi="Times New Roman"/>
          <w:szCs w:val="24"/>
        </w:rPr>
        <w:t xml:space="preserve">such as </w:t>
      </w:r>
      <w:r>
        <w:rPr>
          <w:rFonts w:ascii="Times New Roman" w:hAnsi="Times New Roman"/>
          <w:szCs w:val="24"/>
        </w:rPr>
        <w:t xml:space="preserve">the </w:t>
      </w:r>
      <w:r w:rsidRPr="002B5B6A">
        <w:rPr>
          <w:rFonts w:ascii="Times New Roman" w:hAnsi="Times New Roman"/>
          <w:szCs w:val="24"/>
        </w:rPr>
        <w:t>European Regional Development Fund</w:t>
      </w:r>
      <w:r w:rsidRPr="00657A93">
        <w:rPr>
          <w:rFonts w:ascii="Times New Roman" w:hAnsi="Times New Roman"/>
          <w:szCs w:val="24"/>
        </w:rPr>
        <w:t xml:space="preserve"> </w:t>
      </w:r>
      <w:r>
        <w:rPr>
          <w:rFonts w:ascii="Times New Roman" w:hAnsi="Times New Roman"/>
          <w:szCs w:val="24"/>
        </w:rPr>
        <w:t>(ERDF)</w:t>
      </w:r>
      <w:r>
        <w:rPr>
          <w:rStyle w:val="FootnoteReference"/>
          <w:rFonts w:ascii="Times New Roman" w:hAnsi="Times New Roman"/>
          <w:szCs w:val="24"/>
        </w:rPr>
        <w:footnoteReference w:id="14"/>
      </w:r>
      <w:r>
        <w:rPr>
          <w:rFonts w:ascii="Times New Roman" w:hAnsi="Times New Roman"/>
          <w:szCs w:val="24"/>
        </w:rPr>
        <w:t xml:space="preserve">, the </w:t>
      </w:r>
      <w:r w:rsidRPr="002B5B6A">
        <w:rPr>
          <w:rFonts w:ascii="Times New Roman" w:hAnsi="Times New Roman"/>
          <w:szCs w:val="24"/>
        </w:rPr>
        <w:t>European Social Fund (</w:t>
      </w:r>
      <w:proofErr w:type="spellStart"/>
      <w:r w:rsidRPr="002B5B6A">
        <w:rPr>
          <w:rFonts w:ascii="Times New Roman" w:hAnsi="Times New Roman"/>
          <w:szCs w:val="24"/>
        </w:rPr>
        <w:t>ESF</w:t>
      </w:r>
      <w:proofErr w:type="spellEnd"/>
      <w:r w:rsidRPr="002B5B6A">
        <w:rPr>
          <w:rFonts w:ascii="Times New Roman" w:hAnsi="Times New Roman"/>
          <w:szCs w:val="24"/>
        </w:rPr>
        <w:t>)</w:t>
      </w:r>
      <w:r>
        <w:rPr>
          <w:rStyle w:val="FootnoteReference"/>
          <w:rFonts w:ascii="Times New Roman" w:hAnsi="Times New Roman"/>
          <w:szCs w:val="24"/>
        </w:rPr>
        <w:footnoteReference w:id="15"/>
      </w:r>
      <w:r>
        <w:rPr>
          <w:rFonts w:ascii="Times New Roman" w:hAnsi="Times New Roman"/>
          <w:szCs w:val="24"/>
        </w:rPr>
        <w:t xml:space="preserve"> and the future European Social Fund Plus (</w:t>
      </w:r>
      <w:proofErr w:type="spellStart"/>
      <w:r>
        <w:rPr>
          <w:rFonts w:ascii="Times New Roman" w:hAnsi="Times New Roman"/>
          <w:szCs w:val="24"/>
        </w:rPr>
        <w:t>ESF</w:t>
      </w:r>
      <w:proofErr w:type="spellEnd"/>
      <w:r>
        <w:rPr>
          <w:rFonts w:ascii="Times New Roman" w:hAnsi="Times New Roman"/>
          <w:szCs w:val="24"/>
        </w:rPr>
        <w:t>+). They can help</w:t>
      </w:r>
      <w:r w:rsidRPr="00657A93">
        <w:rPr>
          <w:rFonts w:ascii="Times New Roman" w:hAnsi="Times New Roman"/>
          <w:szCs w:val="24"/>
        </w:rPr>
        <w:t xml:space="preserve"> bridge the digital divides </w:t>
      </w:r>
      <w:r>
        <w:rPr>
          <w:rFonts w:ascii="Times New Roman" w:hAnsi="Times New Roman"/>
          <w:szCs w:val="24"/>
        </w:rPr>
        <w:t>related to</w:t>
      </w:r>
      <w:r w:rsidRPr="00657A93">
        <w:rPr>
          <w:rFonts w:ascii="Times New Roman" w:hAnsi="Times New Roman"/>
          <w:szCs w:val="24"/>
        </w:rPr>
        <w:t xml:space="preserve"> </w:t>
      </w:r>
      <w:r>
        <w:rPr>
          <w:rFonts w:ascii="Times New Roman" w:hAnsi="Times New Roman"/>
          <w:szCs w:val="24"/>
        </w:rPr>
        <w:t xml:space="preserve">accessible </w:t>
      </w:r>
      <w:r w:rsidRPr="00657A93">
        <w:rPr>
          <w:rFonts w:ascii="Times New Roman" w:hAnsi="Times New Roman"/>
          <w:szCs w:val="24"/>
        </w:rPr>
        <w:t>infrastructure</w:t>
      </w:r>
      <w:r>
        <w:rPr>
          <w:rFonts w:ascii="Times New Roman" w:hAnsi="Times New Roman"/>
          <w:szCs w:val="24"/>
        </w:rPr>
        <w:t>, equipment and digital skills</w:t>
      </w:r>
      <w:r w:rsidRPr="00657A93">
        <w:rPr>
          <w:rFonts w:ascii="Times New Roman" w:hAnsi="Times New Roman"/>
          <w:szCs w:val="24"/>
        </w:rPr>
        <w:t>, especially for disadvantaged groups</w:t>
      </w:r>
      <w:r>
        <w:rPr>
          <w:rFonts w:ascii="Times New Roman" w:hAnsi="Times New Roman"/>
          <w:szCs w:val="24"/>
        </w:rPr>
        <w:t xml:space="preserve">, including </w:t>
      </w:r>
      <w:r w:rsidRPr="00657A93">
        <w:rPr>
          <w:rFonts w:ascii="Times New Roman" w:hAnsi="Times New Roman"/>
          <w:szCs w:val="24"/>
        </w:rPr>
        <w:t>learners with disabilities</w:t>
      </w:r>
      <w:r>
        <w:rPr>
          <w:rFonts w:ascii="Times New Roman" w:hAnsi="Times New Roman"/>
          <w:szCs w:val="24"/>
        </w:rPr>
        <w:t xml:space="preserve"> and located in remote or rural areas.</w:t>
      </w:r>
    </w:p>
    <w:p w:rsidR="001F0934" w:rsidRPr="00657A93" w:rsidRDefault="001F0934" w:rsidP="0057291F">
      <w:pPr>
        <w:widowControl w:val="0"/>
        <w:spacing w:after="120"/>
        <w:jc w:val="both"/>
        <w:rPr>
          <w:rFonts w:ascii="Times New Roman" w:hAnsi="Times New Roman"/>
        </w:rPr>
      </w:pPr>
      <w:r w:rsidRPr="00657A93">
        <w:rPr>
          <w:rFonts w:ascii="Times New Roman" w:hAnsi="Times New Roman"/>
          <w:szCs w:val="24"/>
        </w:rPr>
        <w:t>Concerning the Rec</w:t>
      </w:r>
      <w:r>
        <w:rPr>
          <w:rFonts w:ascii="Times New Roman" w:hAnsi="Times New Roman"/>
          <w:szCs w:val="24"/>
        </w:rPr>
        <w:t>overy and Resilience Facility, the Commission has proposed in the 2021 Annual Sustainable Growth Strategy</w:t>
      </w:r>
      <w:r>
        <w:rPr>
          <w:rStyle w:val="FootnoteReference"/>
          <w:rFonts w:ascii="Times New Roman" w:hAnsi="Times New Roman"/>
          <w:szCs w:val="24"/>
        </w:rPr>
        <w:footnoteReference w:id="16"/>
      </w:r>
      <w:r>
        <w:rPr>
          <w:rFonts w:ascii="Times New Roman" w:hAnsi="Times New Roman"/>
          <w:szCs w:val="24"/>
        </w:rPr>
        <w:t xml:space="preserve"> that 20% of expenditure </w:t>
      </w:r>
      <w:proofErr w:type="gramStart"/>
      <w:r>
        <w:rPr>
          <w:rFonts w:ascii="Times New Roman" w:hAnsi="Times New Roman"/>
          <w:szCs w:val="24"/>
        </w:rPr>
        <w:t>should be related</w:t>
      </w:r>
      <w:proofErr w:type="gramEnd"/>
      <w:r>
        <w:rPr>
          <w:rFonts w:ascii="Times New Roman" w:hAnsi="Times New Roman"/>
          <w:szCs w:val="24"/>
        </w:rPr>
        <w:t xml:space="preserve"> to digital. </w:t>
      </w:r>
      <w:r w:rsidRPr="00657A93">
        <w:rPr>
          <w:rFonts w:ascii="Times New Roman" w:hAnsi="Times New Roman"/>
          <w:szCs w:val="24"/>
        </w:rPr>
        <w:t>The Commission encourage</w:t>
      </w:r>
      <w:r>
        <w:rPr>
          <w:rFonts w:ascii="Times New Roman" w:hAnsi="Times New Roman"/>
          <w:szCs w:val="24"/>
        </w:rPr>
        <w:t>s</w:t>
      </w:r>
      <w:r w:rsidRPr="00657A93">
        <w:rPr>
          <w:rFonts w:ascii="Times New Roman" w:hAnsi="Times New Roman"/>
          <w:szCs w:val="24"/>
        </w:rPr>
        <w:t xml:space="preserve"> Member States to include broadband and digital equipment</w:t>
      </w:r>
      <w:r>
        <w:rPr>
          <w:rFonts w:ascii="Times New Roman" w:hAnsi="Times New Roman"/>
          <w:szCs w:val="24"/>
        </w:rPr>
        <w:t xml:space="preserve"> for education and training institutions and learners </w:t>
      </w:r>
      <w:r w:rsidRPr="00657A93">
        <w:rPr>
          <w:rFonts w:ascii="Times New Roman" w:hAnsi="Times New Roman"/>
          <w:szCs w:val="24"/>
        </w:rPr>
        <w:t xml:space="preserve">in their </w:t>
      </w:r>
      <w:r>
        <w:rPr>
          <w:rFonts w:ascii="Times New Roman" w:hAnsi="Times New Roman"/>
          <w:szCs w:val="24"/>
        </w:rPr>
        <w:t>R</w:t>
      </w:r>
      <w:r w:rsidRPr="00657A93">
        <w:rPr>
          <w:rFonts w:ascii="Times New Roman" w:hAnsi="Times New Roman"/>
          <w:szCs w:val="24"/>
        </w:rPr>
        <w:t xml:space="preserve">ecovery and </w:t>
      </w:r>
      <w:r>
        <w:rPr>
          <w:rFonts w:ascii="Times New Roman" w:hAnsi="Times New Roman"/>
          <w:szCs w:val="24"/>
        </w:rPr>
        <w:t>R</w:t>
      </w:r>
      <w:r w:rsidRPr="00657A93">
        <w:rPr>
          <w:rFonts w:ascii="Times New Roman" w:hAnsi="Times New Roman"/>
          <w:szCs w:val="24"/>
        </w:rPr>
        <w:t xml:space="preserve">esilience </w:t>
      </w:r>
      <w:r>
        <w:rPr>
          <w:rFonts w:ascii="Times New Roman" w:hAnsi="Times New Roman"/>
          <w:szCs w:val="24"/>
        </w:rPr>
        <w:t>P</w:t>
      </w:r>
      <w:r w:rsidRPr="00657A93">
        <w:rPr>
          <w:rFonts w:ascii="Times New Roman" w:hAnsi="Times New Roman"/>
          <w:szCs w:val="24"/>
        </w:rPr>
        <w:t>lans, contributing to the flagship area</w:t>
      </w:r>
      <w:r>
        <w:rPr>
          <w:rFonts w:ascii="Times New Roman" w:hAnsi="Times New Roman"/>
          <w:szCs w:val="24"/>
        </w:rPr>
        <w:t>s</w:t>
      </w:r>
      <w:r w:rsidRPr="00657A93">
        <w:rPr>
          <w:rFonts w:ascii="Times New Roman" w:hAnsi="Times New Roman"/>
          <w:szCs w:val="24"/>
        </w:rPr>
        <w:t xml:space="preserve"> ‘Connect’</w:t>
      </w:r>
      <w:r>
        <w:rPr>
          <w:rFonts w:ascii="Times New Roman" w:hAnsi="Times New Roman"/>
          <w:szCs w:val="24"/>
        </w:rPr>
        <w:t xml:space="preserve"> and </w:t>
      </w:r>
      <w:r w:rsidRPr="00657A93">
        <w:rPr>
          <w:rFonts w:ascii="Times New Roman" w:hAnsi="Times New Roman"/>
          <w:szCs w:val="24"/>
        </w:rPr>
        <w:t>‘</w:t>
      </w:r>
      <w:r>
        <w:rPr>
          <w:rFonts w:ascii="Times New Roman" w:hAnsi="Times New Roman"/>
          <w:szCs w:val="24"/>
        </w:rPr>
        <w:t>Upskill and Reskill</w:t>
      </w:r>
      <w:r w:rsidRPr="00657A93">
        <w:rPr>
          <w:rFonts w:ascii="Times New Roman" w:hAnsi="Times New Roman"/>
          <w:szCs w:val="24"/>
        </w:rPr>
        <w:t>’</w:t>
      </w:r>
      <w:r>
        <w:rPr>
          <w:rFonts w:ascii="Times New Roman" w:hAnsi="Times New Roman"/>
          <w:szCs w:val="24"/>
        </w:rPr>
        <w:t>, with particular consideration for disadvantaged groups and remote and rural areas.</w:t>
      </w: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34" w:rsidRDefault="001F0934" w:rsidP="001F0934">
      <w:pPr>
        <w:spacing w:after="0" w:line="240" w:lineRule="auto"/>
      </w:pPr>
      <w:r>
        <w:separator/>
      </w:r>
    </w:p>
  </w:endnote>
  <w:endnote w:type="continuationSeparator" w:id="0">
    <w:p w:rsidR="001F0934" w:rsidRDefault="001F0934" w:rsidP="001F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34" w:rsidRDefault="001F0934" w:rsidP="001F0934">
      <w:pPr>
        <w:spacing w:after="0" w:line="240" w:lineRule="auto"/>
      </w:pPr>
      <w:r>
        <w:separator/>
      </w:r>
    </w:p>
  </w:footnote>
  <w:footnote w:type="continuationSeparator" w:id="0">
    <w:p w:rsidR="001F0934" w:rsidRDefault="001F0934" w:rsidP="001F0934">
      <w:pPr>
        <w:spacing w:after="0" w:line="240" w:lineRule="auto"/>
      </w:pPr>
      <w:r>
        <w:continuationSeparator/>
      </w:r>
    </w:p>
  </w:footnote>
  <w:footnote w:id="1">
    <w:p w:rsidR="001F0934" w:rsidRPr="006848B2" w:rsidRDefault="001F0934" w:rsidP="001F0934">
      <w:pPr>
        <w:spacing w:after="0"/>
        <w:ind w:left="357" w:hanging="357"/>
        <w:rPr>
          <w:rFonts w:ascii="Times New Roman" w:hAnsi="Times New Roman"/>
          <w:lang w:val="en-IE"/>
        </w:rPr>
      </w:pPr>
      <w:r w:rsidRPr="006848B2">
        <w:rPr>
          <w:rStyle w:val="FootnoteReference"/>
          <w:rFonts w:ascii="Times New Roman" w:hAnsi="Times New Roman"/>
        </w:rPr>
        <w:footnoteRef/>
      </w:r>
      <w:r w:rsidRPr="006848B2">
        <w:rPr>
          <w:rFonts w:ascii="Times New Roman" w:hAnsi="Times New Roman"/>
        </w:rPr>
        <w:t xml:space="preserve"> </w:t>
      </w:r>
      <w:r w:rsidRPr="006848B2">
        <w:rPr>
          <w:rFonts w:ascii="Times New Roman" w:hAnsi="Times New Roman"/>
        </w:rPr>
        <w:tab/>
      </w:r>
      <w:hyperlink r:id="rId1" w:history="1">
        <w:r w:rsidRPr="00693E07">
          <w:rPr>
            <w:rStyle w:val="Hyperlink"/>
            <w:rFonts w:ascii="Times New Roman" w:hAnsi="Times New Roman"/>
            <w:sz w:val="20"/>
          </w:rPr>
          <w:t>https://ec.europa.eu/education/resources-and-tools/coronavirus-online-learning-resources</w:t>
        </w:r>
      </w:hyperlink>
    </w:p>
  </w:footnote>
  <w:footnote w:id="2">
    <w:p w:rsidR="001F0934" w:rsidRPr="00C74766" w:rsidRDefault="001F0934" w:rsidP="001F0934">
      <w:pPr>
        <w:pStyle w:val="FootnoteText"/>
        <w:spacing w:after="0"/>
        <w:rPr>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2" w:history="1">
        <w:r w:rsidRPr="00C74766">
          <w:rPr>
            <w:rStyle w:val="Hyperlink"/>
            <w:rFonts w:ascii="Times New Roman" w:hAnsi="Times New Roman"/>
            <w:lang w:val="en-IE"/>
          </w:rPr>
          <w:t>https://ec.europa.eu/education/education-in-the-eu/digital-education-action-plan_en</w:t>
        </w:r>
      </w:hyperlink>
    </w:p>
  </w:footnote>
  <w:footnote w:id="3">
    <w:p w:rsidR="001F0934" w:rsidRPr="00C74766" w:rsidRDefault="001F0934" w:rsidP="001F0934">
      <w:pPr>
        <w:pStyle w:val="FootnoteText"/>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3" w:history="1">
        <w:r w:rsidRPr="00C74766">
          <w:rPr>
            <w:rStyle w:val="Hyperlink"/>
            <w:rFonts w:ascii="Times New Roman" w:hAnsi="Times New Roman"/>
            <w:lang w:val="en-IE"/>
          </w:rPr>
          <w:t>https://ec.europa.eu/education/schools-go-digital/about-selfie_en</w:t>
        </w:r>
      </w:hyperlink>
    </w:p>
  </w:footnote>
  <w:footnote w:id="4">
    <w:p w:rsidR="001F0934" w:rsidRPr="00C74766" w:rsidRDefault="001F0934" w:rsidP="001F0934">
      <w:pPr>
        <w:pStyle w:val="FootnoteText"/>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4" w:history="1">
        <w:r w:rsidRPr="00C74766">
          <w:rPr>
            <w:rStyle w:val="Hyperlink"/>
            <w:rFonts w:ascii="Times New Roman" w:hAnsi="Times New Roman"/>
            <w:lang w:val="en-IE"/>
          </w:rPr>
          <w:t>https://ec.europa.eu/digital-single-market/en/digital-opportunity-traineeships-boosting-digital-skills-job</w:t>
        </w:r>
      </w:hyperlink>
    </w:p>
  </w:footnote>
  <w:footnote w:id="5">
    <w:p w:rsidR="001F0934" w:rsidRPr="00C74766" w:rsidRDefault="001F0934" w:rsidP="001F0934">
      <w:pPr>
        <w:pStyle w:val="FootnoteText"/>
        <w:spacing w:after="0"/>
        <w:rPr>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5" w:history="1">
        <w:r w:rsidRPr="00C74766">
          <w:rPr>
            <w:rStyle w:val="Hyperlink"/>
            <w:rFonts w:ascii="Times New Roman" w:hAnsi="Times New Roman"/>
            <w:lang w:val="en-IE"/>
          </w:rPr>
          <w:t>https://ec.europa.eu/education/policies/european-policy-cooperation/et2020-framework_en</w:t>
        </w:r>
      </w:hyperlink>
    </w:p>
  </w:footnote>
  <w:footnote w:id="6">
    <w:p w:rsidR="001F0934" w:rsidRPr="00493E17" w:rsidRDefault="001F0934" w:rsidP="001F0934">
      <w:pPr>
        <w:widowControl w:val="0"/>
        <w:tabs>
          <w:tab w:val="left" w:pos="364"/>
        </w:tabs>
        <w:spacing w:after="0"/>
        <w:rPr>
          <w:rFonts w:ascii="Times New Roman" w:hAnsi="Times New Roman"/>
          <w:szCs w:val="24"/>
        </w:rPr>
      </w:pPr>
      <w:r w:rsidRPr="006848B2">
        <w:rPr>
          <w:rStyle w:val="FootnoteReference"/>
          <w:rFonts w:ascii="Times New Roman" w:hAnsi="Times New Roman"/>
        </w:rPr>
        <w:footnoteRef/>
      </w:r>
      <w:r w:rsidRPr="00493E17">
        <w:rPr>
          <w:rFonts w:ascii="Times New Roman" w:hAnsi="Times New Roman"/>
          <w:sz w:val="20"/>
        </w:rPr>
        <w:tab/>
      </w:r>
      <w:hyperlink r:id="rId6" w:history="1">
        <w:r w:rsidRPr="00493E17">
          <w:rPr>
            <w:rStyle w:val="Hyperlink"/>
            <w:rFonts w:ascii="Times New Roman" w:hAnsi="Times New Roman"/>
            <w:sz w:val="20"/>
            <w:lang w:val="en-IE"/>
          </w:rPr>
          <w:t>https://www.arlindovsky.net/wp-content/uploads/2020/08/Blended-learning-in-school-education_</w:t>
        </w:r>
        <w:r w:rsidRPr="00493E17">
          <w:rPr>
            <w:rStyle w:val="Hyperlink"/>
            <w:rFonts w:ascii="Times New Roman" w:hAnsi="Times New Roman"/>
            <w:sz w:val="20"/>
            <w:lang w:val="en-IE"/>
          </w:rPr>
          <w:br/>
        </w:r>
        <w:r w:rsidRPr="00493E17">
          <w:rPr>
            <w:rStyle w:val="Hyperlink"/>
            <w:rFonts w:ascii="Times New Roman" w:hAnsi="Times New Roman"/>
            <w:szCs w:val="24"/>
          </w:rPr>
          <w:tab/>
        </w:r>
        <w:r w:rsidRPr="00493E17">
          <w:rPr>
            <w:rStyle w:val="Hyperlink"/>
            <w:rFonts w:ascii="Times New Roman" w:hAnsi="Times New Roman"/>
            <w:sz w:val="20"/>
            <w:lang w:val="en-IE"/>
          </w:rPr>
          <w:t>European-Commission_June-2020.pdf</w:t>
        </w:r>
      </w:hyperlink>
    </w:p>
  </w:footnote>
  <w:footnote w:id="7">
    <w:p w:rsidR="001F0934" w:rsidRPr="00C74766" w:rsidRDefault="001F0934" w:rsidP="001F0934">
      <w:pPr>
        <w:widowControl w:val="0"/>
        <w:tabs>
          <w:tab w:val="left" w:pos="364"/>
        </w:tabs>
        <w:spacing w:after="0"/>
        <w:rPr>
          <w:rFonts w:ascii="Times New Roman" w:hAnsi="Times New Roman"/>
          <w:lang w:val="en-IE"/>
        </w:rPr>
      </w:pPr>
      <w:r w:rsidRPr="00493E17">
        <w:rPr>
          <w:rStyle w:val="FootnoteReference"/>
          <w:rFonts w:ascii="Times New Roman" w:hAnsi="Times New Roman"/>
          <w:sz w:val="20"/>
        </w:rPr>
        <w:footnoteRef/>
      </w:r>
      <w:r w:rsidRPr="00493E17">
        <w:rPr>
          <w:rFonts w:ascii="Times New Roman" w:hAnsi="Times New Roman"/>
          <w:sz w:val="20"/>
        </w:rPr>
        <w:tab/>
      </w:r>
      <w:hyperlink r:id="rId7" w:history="1">
        <w:r w:rsidRPr="00493E17">
          <w:rPr>
            <w:rStyle w:val="Hyperlink"/>
            <w:rFonts w:ascii="Times New Roman" w:hAnsi="Times New Roman"/>
            <w:sz w:val="20"/>
            <w:lang w:val="en-IE"/>
          </w:rPr>
          <w:t>https://ec.europa.eu/education/resources-and-tools/document-library/eea-communication-sept2020_en</w:t>
        </w:r>
      </w:hyperlink>
    </w:p>
  </w:footnote>
  <w:footnote w:id="8">
    <w:p w:rsidR="001F0934" w:rsidRPr="00C74766" w:rsidRDefault="001F0934" w:rsidP="001F0934">
      <w:pPr>
        <w:pStyle w:val="FootnoteText"/>
        <w:tabs>
          <w:tab w:val="left" w:pos="426"/>
        </w:tabs>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8" w:history="1">
        <w:r w:rsidRPr="00C74766">
          <w:rPr>
            <w:rStyle w:val="Hyperlink"/>
            <w:rFonts w:ascii="Times New Roman" w:hAnsi="Times New Roman"/>
            <w:lang w:val="en-IE"/>
          </w:rPr>
          <w:t>https://ec.europa.eu/education/education-in-the-eu/proposal-for-a-council-recommendation-on-the-automatic-mutual-recognition-of-diplomas-and-learning-periods-abroad_en</w:t>
        </w:r>
      </w:hyperlink>
    </w:p>
  </w:footnote>
  <w:footnote w:id="9">
    <w:p w:rsidR="001F0934" w:rsidRPr="00C74766" w:rsidRDefault="001F0934" w:rsidP="001F0934">
      <w:pPr>
        <w:pStyle w:val="FootnoteText"/>
        <w:tabs>
          <w:tab w:val="left" w:pos="426"/>
        </w:tabs>
        <w:spacing w:after="0"/>
        <w:rPr>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9" w:history="1">
        <w:r w:rsidRPr="00C74766">
          <w:rPr>
            <w:rStyle w:val="Hyperlink"/>
            <w:rFonts w:ascii="Times New Roman" w:hAnsi="Times New Roman"/>
            <w:lang w:val="en-IE"/>
          </w:rPr>
          <w:t>https://ec.europa.eu/education/resources-and-tools/national-academic-recognition-information-centres_en</w:t>
        </w:r>
      </w:hyperlink>
    </w:p>
  </w:footnote>
  <w:footnote w:id="10">
    <w:p w:rsidR="001F0934" w:rsidRPr="00C74766" w:rsidRDefault="001F0934" w:rsidP="001F0934">
      <w:pPr>
        <w:pStyle w:val="FootnoteText"/>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10" w:history="1">
        <w:r w:rsidRPr="00C74766">
          <w:rPr>
            <w:rStyle w:val="Hyperlink"/>
            <w:rFonts w:ascii="Times New Roman" w:hAnsi="Times New Roman"/>
            <w:lang w:val="en-IE"/>
          </w:rPr>
          <w:t>https://ec.europa.eu/social/main.jsp?catId=1223</w:t>
        </w:r>
      </w:hyperlink>
    </w:p>
  </w:footnote>
  <w:footnote w:id="11">
    <w:p w:rsidR="001F0934" w:rsidRPr="0042115D" w:rsidRDefault="001F0934" w:rsidP="001F0934">
      <w:pPr>
        <w:pStyle w:val="FootnoteText"/>
        <w:spacing w:after="0"/>
        <w:rPr>
          <w:rFonts w:ascii="Times New Roman" w:hAnsi="Times New Roman"/>
        </w:rPr>
      </w:pPr>
      <w:r>
        <w:rPr>
          <w:rStyle w:val="FootnoteReference"/>
        </w:rPr>
        <w:footnoteRef/>
      </w:r>
      <w:r>
        <w:t xml:space="preserve"> </w:t>
      </w:r>
      <w:r>
        <w:rPr>
          <w:rFonts w:ascii="Times New Roman" w:eastAsiaTheme="minorHAnsi" w:hAnsi="Times New Roman"/>
          <w:sz w:val="18"/>
          <w:szCs w:val="18"/>
          <w:lang w:val="en-IE" w:eastAsia="en-US"/>
        </w:rPr>
        <w:tab/>
      </w:r>
      <w:r w:rsidRPr="0042115D">
        <w:rPr>
          <w:rFonts w:ascii="Times New Roman" w:eastAsiaTheme="minorHAnsi" w:hAnsi="Times New Roman"/>
          <w:lang w:val="en-IE" w:eastAsia="en-US"/>
        </w:rPr>
        <w:t>Baseline level of proficiency refers to Level 2 in the OECD’s PISA survey, which defines proficiency bands on a 6-point scale. Level 2 proficiency in reading corresponds to a level at which ‘readers begin to demonstrate the competencies that will enable them to participate effectively and productively in life as continuing students, workers and citizens’. Underachievers in PISA are those pupils who fail to reach Level 2, which is the minimum proficiency level necessary to participate successfully in society. The relation between the concepts of baseline level and underachievement informs the EU targets on underachievement in basic skills and on underachievement in digital competence.</w:t>
      </w:r>
    </w:p>
  </w:footnote>
  <w:footnote w:id="12">
    <w:p w:rsidR="001F0934" w:rsidRPr="00C74766" w:rsidRDefault="001F0934" w:rsidP="001F0934">
      <w:pPr>
        <w:pStyle w:val="FootnoteText"/>
        <w:spacing w:after="0"/>
        <w:rPr>
          <w:rFonts w:ascii="Times New Roman" w:hAnsi="Times New Roman"/>
          <w:lang w:val="en-IE"/>
        </w:rPr>
      </w:pPr>
      <w:r w:rsidRPr="00AD5773">
        <w:rPr>
          <w:rStyle w:val="FootnoteReference"/>
          <w:rFonts w:ascii="Times New Roman" w:hAnsi="Times New Roman"/>
        </w:rPr>
        <w:footnoteRef/>
      </w:r>
      <w:r w:rsidRPr="00AD5773">
        <w:rPr>
          <w:rFonts w:ascii="Times New Roman" w:hAnsi="Times New Roman"/>
          <w:lang w:val="en-IE"/>
        </w:rPr>
        <w:t xml:space="preserve"> </w:t>
      </w:r>
      <w:r w:rsidRPr="00AD5773">
        <w:rPr>
          <w:rFonts w:ascii="Times New Roman" w:hAnsi="Times New Roman"/>
          <w:lang w:val="en-IE"/>
        </w:rPr>
        <w:tab/>
      </w:r>
      <w:hyperlink r:id="rId11" w:history="1">
        <w:r w:rsidRPr="00AD5773">
          <w:rPr>
            <w:rStyle w:val="Hyperlink"/>
            <w:rFonts w:ascii="Times New Roman" w:hAnsi="Times New Roman"/>
            <w:lang w:val="en-IE"/>
          </w:rPr>
          <w:t>https://ec.europa.eu/social/main.jsp?catId=1428&amp;langId=en</w:t>
        </w:r>
      </w:hyperlink>
      <w:r w:rsidRPr="00C74766">
        <w:rPr>
          <w:rFonts w:ascii="Times New Roman" w:hAnsi="Times New Roman"/>
          <w:lang w:val="en-IE"/>
        </w:rPr>
        <w:t xml:space="preserve"> </w:t>
      </w:r>
    </w:p>
  </w:footnote>
  <w:footnote w:id="13">
    <w:p w:rsidR="001F0934" w:rsidRPr="00C74766" w:rsidRDefault="001F0934" w:rsidP="001F0934">
      <w:pPr>
        <w:pStyle w:val="FootnoteText"/>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12" w:history="1">
        <w:r w:rsidRPr="00C74766">
          <w:rPr>
            <w:rStyle w:val="Hyperlink"/>
            <w:rFonts w:ascii="Times New Roman" w:hAnsi="Times New Roman"/>
            <w:lang w:val="en-IE"/>
          </w:rPr>
          <w:t>https://ec.europa.eu/digital-single-market/en/connecting-europe-facility-telecom</w:t>
        </w:r>
      </w:hyperlink>
    </w:p>
  </w:footnote>
  <w:footnote w:id="14">
    <w:p w:rsidR="001F0934" w:rsidRPr="00C74766" w:rsidRDefault="001F0934" w:rsidP="001F0934">
      <w:pPr>
        <w:pStyle w:val="FootnoteText"/>
        <w:spacing w:after="0"/>
        <w:rPr>
          <w:rFonts w:ascii="Times New Roman" w:hAnsi="Times New Roman"/>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13" w:history="1">
        <w:r w:rsidRPr="00C74766">
          <w:rPr>
            <w:rStyle w:val="Hyperlink"/>
            <w:rFonts w:ascii="Times New Roman" w:hAnsi="Times New Roman"/>
            <w:lang w:val="en-IE"/>
          </w:rPr>
          <w:t>https://ec.europa.eu/regional_policy/en/funding/erdf/</w:t>
        </w:r>
      </w:hyperlink>
    </w:p>
  </w:footnote>
  <w:footnote w:id="15">
    <w:p w:rsidR="001F0934" w:rsidRPr="00C74766" w:rsidRDefault="001F0934" w:rsidP="001F0934">
      <w:pPr>
        <w:pStyle w:val="FootnoteText"/>
        <w:spacing w:after="0"/>
        <w:rPr>
          <w:lang w:val="en-IE"/>
        </w:rPr>
      </w:pPr>
      <w:r w:rsidRPr="006848B2">
        <w:rPr>
          <w:rStyle w:val="FootnoteReference"/>
          <w:rFonts w:ascii="Times New Roman" w:hAnsi="Times New Roman"/>
        </w:rPr>
        <w:footnoteRef/>
      </w:r>
      <w:r w:rsidRPr="00C74766">
        <w:rPr>
          <w:rFonts w:ascii="Times New Roman" w:hAnsi="Times New Roman"/>
          <w:lang w:val="en-IE"/>
        </w:rPr>
        <w:t xml:space="preserve"> </w:t>
      </w:r>
      <w:r w:rsidRPr="00C74766">
        <w:rPr>
          <w:rFonts w:ascii="Times New Roman" w:hAnsi="Times New Roman"/>
          <w:lang w:val="en-IE"/>
        </w:rPr>
        <w:tab/>
      </w:r>
      <w:hyperlink r:id="rId14" w:history="1">
        <w:r w:rsidRPr="00C74766">
          <w:rPr>
            <w:rStyle w:val="Hyperlink"/>
            <w:rFonts w:ascii="Times New Roman" w:hAnsi="Times New Roman"/>
            <w:lang w:val="en-IE"/>
          </w:rPr>
          <w:t>https://ec.europa.eu/social/main.jsp?catId=325&amp;langId=en</w:t>
        </w:r>
      </w:hyperlink>
      <w:r w:rsidRPr="00C74766">
        <w:rPr>
          <w:lang w:val="en-IE"/>
        </w:rPr>
        <w:t xml:space="preserve"> </w:t>
      </w:r>
    </w:p>
  </w:footnote>
  <w:footnote w:id="16">
    <w:p w:rsidR="001F0934" w:rsidRPr="00493E17" w:rsidRDefault="001F0934" w:rsidP="001F0934">
      <w:pPr>
        <w:widowControl w:val="0"/>
        <w:tabs>
          <w:tab w:val="left" w:pos="364"/>
        </w:tabs>
        <w:spacing w:after="120"/>
        <w:rPr>
          <w:rFonts w:ascii="Times New Roman" w:hAnsi="Times New Roman"/>
          <w:sz w:val="20"/>
        </w:rPr>
      </w:pPr>
      <w:r w:rsidRPr="00493E17">
        <w:rPr>
          <w:rStyle w:val="FootnoteReference"/>
          <w:rFonts w:ascii="Times New Roman" w:hAnsi="Times New Roman"/>
          <w:sz w:val="20"/>
        </w:rPr>
        <w:footnoteRef/>
      </w:r>
      <w:r w:rsidRPr="00493E17">
        <w:rPr>
          <w:rFonts w:ascii="Times New Roman" w:hAnsi="Times New Roman"/>
          <w:sz w:val="20"/>
          <w:lang w:val="en-IE"/>
        </w:rPr>
        <w:t xml:space="preserve"> </w:t>
      </w:r>
      <w:r w:rsidRPr="00493E17">
        <w:rPr>
          <w:rFonts w:ascii="Times New Roman" w:hAnsi="Times New Roman"/>
          <w:sz w:val="20"/>
        </w:rPr>
        <w:tab/>
      </w:r>
      <w:hyperlink r:id="rId15" w:history="1">
        <w:r w:rsidRPr="00493E17">
          <w:rPr>
            <w:rStyle w:val="Hyperlink"/>
            <w:rFonts w:ascii="Times New Roman" w:hAnsi="Times New Roman"/>
            <w:sz w:val="20"/>
            <w:lang w:val="en-IE"/>
          </w:rPr>
          <w:t>https://eur-lex.europa.eu/legal-content/en/TXT/?qid=1600708827568&amp;uri=CELEX:52020DC0575</w:t>
        </w:r>
      </w:hyperlink>
      <w:r w:rsidRPr="00493E17">
        <w:rPr>
          <w:rFonts w:ascii="Times New Roman" w:hAnsi="Times New Roman"/>
          <w:sz w:val="20"/>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D43D1"/>
    <w:multiLevelType w:val="hybridMultilevel"/>
    <w:tmpl w:val="BD0053F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34"/>
    <w:rsid w:val="001F0934"/>
    <w:rsid w:val="0057291F"/>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09BD5-9272-4E03-BB42-997FF57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qFormat/>
    <w:rsid w:val="001F0934"/>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1F0934"/>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1F0934"/>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0934"/>
    <w:rPr>
      <w:vertAlign w:val="superscript"/>
    </w:rPr>
  </w:style>
  <w:style w:type="character" w:styleId="Hyperlink">
    <w:name w:val="Hyperlink"/>
    <w:aliases w:val="Char1"/>
    <w:rsid w:val="001F0934"/>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1F0934"/>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0934"/>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1F0934"/>
    <w:rPr>
      <w:rFonts w:ascii="Calibri" w:eastAsia="Calibri" w:hAnsi="Calibri" w:cs="Times New Roman"/>
      <w:lang w:val="en-US"/>
    </w:rPr>
  </w:style>
  <w:style w:type="character" w:customStyle="1" w:styleId="epname">
    <w:name w:val="ep_name"/>
    <w:basedOn w:val="DefaultParagraphFont"/>
    <w:rsid w:val="001F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lindovsky.net/wp-content/uploads/2020/08/Blended-learning-in-school-education_European-Commission_June-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ducation/education-in-the-eu/proposal-for-a-council-recommendation-on-the-automatic-mutual-recognition-of-diplomas-and-learning-periods-abroad_en" TargetMode="External"/><Relationship Id="rId13" Type="http://schemas.openxmlformats.org/officeDocument/2006/relationships/hyperlink" Target="https://ec.europa.eu/regional_policy/en/funding/erdf/" TargetMode="External"/><Relationship Id="rId3" Type="http://schemas.openxmlformats.org/officeDocument/2006/relationships/hyperlink" Target="https://ec.europa.eu/education/schools-go-digital/about-selfie_en" TargetMode="External"/><Relationship Id="rId7" Type="http://schemas.openxmlformats.org/officeDocument/2006/relationships/hyperlink" Target="https://ec.europa.eu/education/resources-and-tools/document-library/eea-communication-sept2020_en" TargetMode="External"/><Relationship Id="rId12" Type="http://schemas.openxmlformats.org/officeDocument/2006/relationships/hyperlink" Target="https://ec.europa.eu/digital-single-market/en/connecting-europe-facility-telecom" TargetMode="External"/><Relationship Id="rId2" Type="http://schemas.openxmlformats.org/officeDocument/2006/relationships/hyperlink" Target="https://ec.europa.eu/education/education-in-the-eu/digital-education-action-plan_en" TargetMode="External"/><Relationship Id="rId1" Type="http://schemas.openxmlformats.org/officeDocument/2006/relationships/hyperlink" Target="https://ec.europa.eu/education/resources-and-tools/coronavirus-online-learning-resources" TargetMode="External"/><Relationship Id="rId6" Type="http://schemas.openxmlformats.org/officeDocument/2006/relationships/hyperlink" Target="https://www.arlindovsky.net/wp-content/uploads/2020/08/Blended-learning-in-school-education_%09European-Commission_June-2020.pdf" TargetMode="External"/><Relationship Id="rId11" Type="http://schemas.openxmlformats.org/officeDocument/2006/relationships/hyperlink" Target="https://ec.europa.eu/social/main.jsp?catId=1428&amp;langId=en" TargetMode="External"/><Relationship Id="rId5" Type="http://schemas.openxmlformats.org/officeDocument/2006/relationships/hyperlink" Target="https://ec.europa.eu/education/policies/european-policy-cooperation/et2020-framework_en" TargetMode="External"/><Relationship Id="rId15" Type="http://schemas.openxmlformats.org/officeDocument/2006/relationships/hyperlink" Target="https://eur-lex.europa.eu/legal-content/en/TXT/?qid=1600708827568&amp;uri=CELEX:52020DC0575" TargetMode="External"/><Relationship Id="rId10" Type="http://schemas.openxmlformats.org/officeDocument/2006/relationships/hyperlink" Target="https://ec.europa.eu/social/main.jsp?catId=1223" TargetMode="External"/><Relationship Id="rId4" Type="http://schemas.openxmlformats.org/officeDocument/2006/relationships/hyperlink" Target="https://ec.europa.eu/digital-single-market/en/digital-opportunity-traineeships-boosting-digital-skills-job" TargetMode="External"/><Relationship Id="rId9" Type="http://schemas.openxmlformats.org/officeDocument/2006/relationships/hyperlink" Target="https://ec.europa.eu/education/resources-and-tools/national-academic-recognition-information-centres_en" TargetMode="External"/><Relationship Id="rId14" Type="http://schemas.openxmlformats.org/officeDocument/2006/relationships/hyperlink" Target="https://ec.europa.eu/social/main.jsp?catId=325&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13863</Characters>
  <Application>Microsoft Office Word</Application>
  <DocSecurity>0</DocSecurity>
  <Lines>206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2021-01-19T12:40:00Z</dcterms:created>
  <dcterms:modified xsi:type="dcterms:W3CDTF">2021-01-19T12:40:00Z</dcterms:modified>
</cp:coreProperties>
</file>