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3C" w:rsidRPr="00723D3C" w:rsidRDefault="00723D3C" w:rsidP="00723D3C">
      <w:pPr>
        <w:spacing w:after="600"/>
        <w:jc w:val="center"/>
        <w:rPr>
          <w:rFonts w:ascii="Times New Roman" w:hAnsi="Times New Roman"/>
          <w:b/>
          <w:bCs/>
          <w:szCs w:val="24"/>
          <w:lang w:val="fr-BE"/>
        </w:rPr>
      </w:pPr>
      <w:r w:rsidRPr="00723D3C">
        <w:rPr>
          <w:rFonts w:ascii="Times New Roman" w:hAnsi="Times New Roman"/>
          <w:b/>
          <w:bCs/>
          <w:szCs w:val="24"/>
          <w:lang w:val="fr-BE"/>
        </w:rPr>
        <w:t>Suite donnée à la</w:t>
      </w:r>
      <w:r w:rsidRPr="00723D3C">
        <w:rPr>
          <w:rFonts w:ascii="Times New Roman" w:hAnsi="Times New Roman"/>
          <w:b/>
          <w:szCs w:val="24"/>
          <w:lang w:val="fr-BE"/>
        </w:rPr>
        <w:t xml:space="preserve"> résolution non législative du Parlement européen </w:t>
      </w:r>
      <w:r w:rsidRPr="00723D3C">
        <w:rPr>
          <w:rFonts w:ascii="Times New Roman" w:hAnsi="Times New Roman"/>
          <w:b/>
          <w:szCs w:val="24"/>
          <w:shd w:val="clear" w:color="auto" w:fill="FFFFFF"/>
          <w:lang w:val="fr-BE"/>
        </w:rPr>
        <w:t>sur les obligations</w:t>
      </w:r>
      <w:r w:rsidRPr="00723D3C">
        <w:rPr>
          <w:rFonts w:ascii="Times New Roman" w:hAnsi="Times New Roman"/>
          <w:b/>
          <w:szCs w:val="24"/>
          <w:shd w:val="clear" w:color="auto" w:fill="FFFFFF"/>
          <w:lang w:val="fr-BE"/>
        </w:rPr>
        <w:cr/>
      </w:r>
      <w:proofErr w:type="gramStart"/>
      <w:r w:rsidRPr="00723D3C">
        <w:rPr>
          <w:rFonts w:ascii="Times New Roman" w:hAnsi="Times New Roman"/>
          <w:b/>
          <w:szCs w:val="24"/>
          <w:shd w:val="clear" w:color="auto" w:fill="FFFFFF"/>
          <w:lang w:val="fr-BE"/>
        </w:rPr>
        <w:t>de</w:t>
      </w:r>
      <w:proofErr w:type="gramEnd"/>
      <w:r w:rsidRPr="00723D3C">
        <w:rPr>
          <w:rFonts w:ascii="Times New Roman" w:hAnsi="Times New Roman"/>
          <w:b/>
          <w:szCs w:val="24"/>
          <w:shd w:val="clear" w:color="auto" w:fill="FFFFFF"/>
          <w:lang w:val="fr-BE"/>
        </w:rPr>
        <w:t xml:space="preserve"> la Commission quant à la réciprocité en matière de visas, en application </w:t>
      </w:r>
      <w:r w:rsidRPr="00723D3C">
        <w:rPr>
          <w:rFonts w:ascii="Times New Roman" w:hAnsi="Times New Roman"/>
          <w:b/>
          <w:szCs w:val="24"/>
          <w:shd w:val="clear" w:color="auto" w:fill="FFFFFF"/>
          <w:lang w:val="fr-BE"/>
        </w:rPr>
        <w:cr/>
      </w:r>
      <w:proofErr w:type="gramStart"/>
      <w:r w:rsidRPr="00723D3C">
        <w:rPr>
          <w:rFonts w:ascii="Times New Roman" w:hAnsi="Times New Roman"/>
          <w:b/>
          <w:szCs w:val="24"/>
          <w:shd w:val="clear" w:color="auto" w:fill="FFFFFF"/>
          <w:lang w:val="fr-BE"/>
        </w:rPr>
        <w:t>de</w:t>
      </w:r>
      <w:proofErr w:type="gramEnd"/>
      <w:r w:rsidRPr="00723D3C">
        <w:rPr>
          <w:rFonts w:ascii="Times New Roman" w:hAnsi="Times New Roman"/>
          <w:b/>
          <w:szCs w:val="24"/>
          <w:shd w:val="clear" w:color="auto" w:fill="FFFFFF"/>
          <w:lang w:val="fr-BE"/>
        </w:rPr>
        <w:t xml:space="preserve"> l’article 7 du règlement (UE) 2018/1806</w:t>
      </w:r>
    </w:p>
    <w:p w:rsidR="00723D3C" w:rsidRPr="00723D3C" w:rsidRDefault="00723D3C" w:rsidP="00723D3C">
      <w:pPr>
        <w:numPr>
          <w:ilvl w:val="0"/>
          <w:numId w:val="1"/>
        </w:numPr>
        <w:spacing w:after="240" w:line="240" w:lineRule="auto"/>
        <w:ind w:left="567" w:hanging="567"/>
        <w:jc w:val="both"/>
        <w:rPr>
          <w:rFonts w:ascii="Times New Roman" w:hAnsi="Times New Roman"/>
          <w:b/>
          <w:bCs/>
          <w:szCs w:val="24"/>
          <w:lang w:val="fr-BE"/>
        </w:rPr>
      </w:pPr>
      <w:r w:rsidRPr="00723D3C">
        <w:rPr>
          <w:rFonts w:ascii="Times New Roman" w:hAnsi="Times New Roman"/>
          <w:b/>
          <w:bCs/>
          <w:szCs w:val="24"/>
          <w:lang w:val="fr-BE"/>
        </w:rPr>
        <w:t>Résolution présentée conformément à l’article 112, paragraphes 2 et 3, du règlement intérieur du Parlement européen</w:t>
      </w:r>
    </w:p>
    <w:p w:rsidR="00723D3C" w:rsidRPr="00723D3C" w:rsidRDefault="00723D3C" w:rsidP="00723D3C">
      <w:pPr>
        <w:numPr>
          <w:ilvl w:val="0"/>
          <w:numId w:val="1"/>
        </w:numPr>
        <w:spacing w:after="240" w:line="240" w:lineRule="auto"/>
        <w:ind w:left="567" w:hanging="567"/>
        <w:jc w:val="both"/>
        <w:rPr>
          <w:rFonts w:ascii="Times New Roman" w:hAnsi="Times New Roman"/>
          <w:i/>
          <w:iCs/>
          <w:szCs w:val="24"/>
          <w:lang w:val="fr-BE"/>
        </w:rPr>
      </w:pPr>
      <w:r w:rsidRPr="00723D3C">
        <w:rPr>
          <w:rFonts w:ascii="Times New Roman" w:hAnsi="Times New Roman"/>
          <w:b/>
          <w:bCs/>
          <w:szCs w:val="24"/>
          <w:lang w:val="fr-BE"/>
        </w:rPr>
        <w:t xml:space="preserve">Numéros de référence: </w:t>
      </w:r>
      <w:r w:rsidRPr="00723D3C">
        <w:rPr>
          <w:rFonts w:ascii="Times New Roman" w:hAnsi="Times New Roman"/>
          <w:szCs w:val="24"/>
          <w:lang w:val="fr-BE"/>
        </w:rPr>
        <w:t>2020/2605 (RSP) / </w:t>
      </w:r>
      <w:bookmarkStart w:id="0" w:name="_GoBack"/>
      <w:r w:rsidRPr="00723D3C">
        <w:rPr>
          <w:rFonts w:ascii="Times New Roman" w:hAnsi="Times New Roman"/>
          <w:szCs w:val="24"/>
          <w:lang w:val="fr-BE"/>
        </w:rPr>
        <w:t>B9-0339/2020 </w:t>
      </w:r>
      <w:bookmarkEnd w:id="0"/>
      <w:r w:rsidRPr="00723D3C">
        <w:rPr>
          <w:rFonts w:ascii="Times New Roman" w:hAnsi="Times New Roman"/>
          <w:szCs w:val="24"/>
          <w:lang w:val="fr-BE"/>
        </w:rPr>
        <w:t>/ P9_TA-</w:t>
      </w:r>
      <w:proofErr w:type="gramStart"/>
      <w:r w:rsidRPr="00723D3C">
        <w:rPr>
          <w:rFonts w:ascii="Times New Roman" w:hAnsi="Times New Roman"/>
          <w:szCs w:val="24"/>
          <w:lang w:val="fr-BE"/>
        </w:rPr>
        <w:t>PROV(</w:t>
      </w:r>
      <w:proofErr w:type="gramEnd"/>
      <w:r w:rsidRPr="00723D3C">
        <w:rPr>
          <w:rFonts w:ascii="Times New Roman" w:hAnsi="Times New Roman"/>
          <w:szCs w:val="24"/>
          <w:lang w:val="fr-BE"/>
        </w:rPr>
        <w:t>2020)0283</w:t>
      </w:r>
    </w:p>
    <w:p w:rsidR="00723D3C" w:rsidRPr="00723D3C" w:rsidRDefault="00723D3C" w:rsidP="00723D3C">
      <w:pPr>
        <w:numPr>
          <w:ilvl w:val="0"/>
          <w:numId w:val="1"/>
        </w:numPr>
        <w:spacing w:after="240" w:line="240" w:lineRule="auto"/>
        <w:ind w:left="567" w:hanging="567"/>
        <w:jc w:val="both"/>
        <w:rPr>
          <w:rFonts w:ascii="Times New Roman" w:hAnsi="Times New Roman"/>
          <w:szCs w:val="24"/>
          <w:lang w:val="fr-BE"/>
        </w:rPr>
      </w:pPr>
      <w:r w:rsidRPr="00723D3C">
        <w:rPr>
          <w:rFonts w:ascii="Times New Roman" w:hAnsi="Times New Roman"/>
          <w:b/>
          <w:bCs/>
          <w:szCs w:val="24"/>
          <w:lang w:val="fr-BE"/>
        </w:rPr>
        <w:t xml:space="preserve">Date d’adoption de la résolution: </w:t>
      </w:r>
      <w:r w:rsidRPr="00723D3C">
        <w:rPr>
          <w:rFonts w:ascii="Times New Roman" w:hAnsi="Times New Roman"/>
          <w:bCs/>
          <w:szCs w:val="24"/>
          <w:lang w:val="fr-BE"/>
        </w:rPr>
        <w:t>22</w:t>
      </w:r>
      <w:r w:rsidRPr="00723D3C">
        <w:rPr>
          <w:rFonts w:ascii="Times New Roman" w:hAnsi="Times New Roman"/>
          <w:szCs w:val="24"/>
          <w:lang w:val="fr-BE"/>
        </w:rPr>
        <w:t> octobre 2020</w:t>
      </w:r>
    </w:p>
    <w:p w:rsidR="00723D3C" w:rsidRPr="00723D3C" w:rsidRDefault="00723D3C" w:rsidP="00723D3C">
      <w:pPr>
        <w:numPr>
          <w:ilvl w:val="0"/>
          <w:numId w:val="1"/>
        </w:numPr>
        <w:spacing w:after="240" w:line="240" w:lineRule="auto"/>
        <w:ind w:left="567" w:hanging="567"/>
        <w:jc w:val="both"/>
        <w:rPr>
          <w:rFonts w:ascii="Times New Roman" w:hAnsi="Times New Roman"/>
          <w:i/>
          <w:iCs/>
          <w:szCs w:val="24"/>
          <w:lang w:val="fr-BE"/>
        </w:rPr>
      </w:pPr>
      <w:r w:rsidRPr="00723D3C">
        <w:rPr>
          <w:rFonts w:ascii="Times New Roman" w:hAnsi="Times New Roman"/>
          <w:b/>
          <w:bCs/>
          <w:szCs w:val="24"/>
          <w:lang w:val="fr-BE"/>
        </w:rPr>
        <w:t xml:space="preserve">Commission parlementaire compétente: </w:t>
      </w:r>
      <w:r w:rsidRPr="00723D3C">
        <w:rPr>
          <w:rFonts w:ascii="Times New Roman" w:hAnsi="Times New Roman"/>
          <w:szCs w:val="24"/>
          <w:lang w:val="fr-BE"/>
        </w:rPr>
        <w:t xml:space="preserve">commission </w:t>
      </w:r>
      <w:r w:rsidRPr="00723D3C">
        <w:rPr>
          <w:rStyle w:val="epname"/>
          <w:rFonts w:ascii="Times New Roman" w:hAnsi="Times New Roman"/>
          <w:szCs w:val="24"/>
          <w:bdr w:val="none" w:sz="0" w:space="0" w:color="auto" w:frame="1"/>
          <w:lang w:val="fr-BE"/>
        </w:rPr>
        <w:t>des libertés civiles, de la justice et des affaires intérieures</w:t>
      </w:r>
      <w:r w:rsidRPr="00723D3C">
        <w:rPr>
          <w:rFonts w:ascii="Times New Roman" w:hAnsi="Times New Roman"/>
          <w:szCs w:val="24"/>
          <w:lang w:val="fr-BE"/>
        </w:rPr>
        <w:t> (LIBE)</w:t>
      </w:r>
    </w:p>
    <w:p w:rsidR="00723D3C" w:rsidRPr="00723D3C" w:rsidRDefault="00723D3C" w:rsidP="00723D3C">
      <w:pPr>
        <w:widowControl w:val="0"/>
        <w:numPr>
          <w:ilvl w:val="0"/>
          <w:numId w:val="1"/>
        </w:numPr>
        <w:spacing w:after="240" w:line="240" w:lineRule="auto"/>
        <w:ind w:left="567" w:hanging="567"/>
        <w:jc w:val="both"/>
        <w:rPr>
          <w:rFonts w:ascii="Times New Roman" w:hAnsi="Times New Roman"/>
          <w:szCs w:val="24"/>
          <w:lang w:val="fr-BE"/>
        </w:rPr>
      </w:pPr>
      <w:r w:rsidRPr="00723D3C">
        <w:rPr>
          <w:rFonts w:ascii="Times New Roman" w:hAnsi="Times New Roman"/>
          <w:b/>
          <w:bCs/>
          <w:szCs w:val="24"/>
          <w:lang w:val="fr-BE"/>
        </w:rPr>
        <w:t>Analyse/évaluation succincte de la résolution et des demandes qu’elle contient:</w:t>
      </w:r>
      <w:r w:rsidRPr="00723D3C">
        <w:rPr>
          <w:rFonts w:ascii="Times New Roman" w:hAnsi="Times New Roman"/>
          <w:szCs w:val="24"/>
          <w:lang w:val="fr-BE"/>
        </w:rPr>
        <w:t xml:space="preserve"> </w:t>
      </w:r>
    </w:p>
    <w:p w:rsidR="00723D3C" w:rsidRPr="00723D3C" w:rsidRDefault="00723D3C" w:rsidP="00723D3C">
      <w:pPr>
        <w:spacing w:after="120"/>
        <w:jc w:val="both"/>
        <w:rPr>
          <w:rFonts w:ascii="Times New Roman" w:hAnsi="Times New Roman"/>
          <w:szCs w:val="24"/>
          <w:lang w:val="fr-BE"/>
        </w:rPr>
      </w:pPr>
      <w:r w:rsidRPr="00723D3C">
        <w:rPr>
          <w:rFonts w:ascii="Times New Roman" w:hAnsi="Times New Roman"/>
          <w:szCs w:val="24"/>
          <w:lang w:val="fr-BE"/>
        </w:rPr>
        <w:t>Dans cette résolution, le Parlement invite la Commission à adopter, dans un délai de deux mois, un acte délégué permettant de suspendre temporairement l’exemption de visa pour les ressortissants de pays tiers qui n’ont pas levé l’obligation de visa pour les citoyens de certains États membres. Dans la pratique, cela concerne les États-Unis, puisque les citoyens de Bulgarie, de Croatie, de Chypre et de Roumanie sont toujours soumis à l'obligation de visa pour se rendre dans ce pays.</w:t>
      </w:r>
    </w:p>
    <w:p w:rsidR="00723D3C" w:rsidRPr="00723D3C" w:rsidRDefault="00723D3C" w:rsidP="00723D3C">
      <w:pPr>
        <w:spacing w:after="120"/>
        <w:jc w:val="both"/>
        <w:rPr>
          <w:rFonts w:ascii="Times New Roman" w:hAnsi="Times New Roman"/>
          <w:szCs w:val="24"/>
          <w:lang w:val="fr-BE"/>
        </w:rPr>
      </w:pPr>
      <w:r w:rsidRPr="00723D3C">
        <w:rPr>
          <w:rFonts w:ascii="Times New Roman" w:hAnsi="Times New Roman"/>
          <w:szCs w:val="24"/>
          <w:lang w:val="fr-BE"/>
        </w:rPr>
        <w:t>L’obligation incombant à la Commission d’adopter un acte délégué, en cas d’absence persistante de réciprocité en matière d’exemption de visa, est définie dans le cadre du mécanisme de réciprocité en matière de visas prévu par le règlement (CE) nº 539/2001, codifié par le règlement (UE) 2018/1806</w:t>
      </w:r>
      <w:r>
        <w:rPr>
          <w:rStyle w:val="FootnoteReference"/>
          <w:rFonts w:ascii="Times New Roman" w:hAnsi="Times New Roman"/>
          <w:szCs w:val="24"/>
        </w:rPr>
        <w:footnoteReference w:id="1"/>
      </w:r>
      <w:r w:rsidRPr="00723D3C">
        <w:rPr>
          <w:rFonts w:ascii="Times New Roman" w:hAnsi="Times New Roman"/>
          <w:szCs w:val="24"/>
          <w:lang w:val="fr-BE"/>
        </w:rPr>
        <w:t>. La résolution découle directement d’une question orale déposée par la commission LIBE le 22 juillet 2020</w:t>
      </w:r>
      <w:r>
        <w:rPr>
          <w:rStyle w:val="FootnoteReference"/>
          <w:rFonts w:ascii="Times New Roman" w:hAnsi="Times New Roman"/>
          <w:szCs w:val="24"/>
        </w:rPr>
        <w:footnoteReference w:id="2"/>
      </w:r>
      <w:r w:rsidRPr="00723D3C">
        <w:rPr>
          <w:rFonts w:ascii="Times New Roman" w:hAnsi="Times New Roman"/>
          <w:szCs w:val="24"/>
          <w:lang w:val="fr-BE"/>
        </w:rPr>
        <w:t xml:space="preserve">, qui a été débattue en plénière le 19 octobre 2020. Dans sa résolution, le Parlement invite la Commission, sur la base de l’article 265, deuxième alinéa, du traité sur le fonctionnement de l’Union européenne, à agir. Conformément à cette disposition, si, dans un délai de deux mois, la Commission n’a pas pris position (22 décembre 2020), le Parlement européen </w:t>
      </w:r>
      <w:r w:rsidRPr="00723D3C">
        <w:rPr>
          <w:rFonts w:ascii="Times New Roman" w:hAnsi="Times New Roman"/>
          <w:color w:val="000000"/>
          <w:szCs w:val="24"/>
          <w:shd w:val="clear" w:color="auto" w:fill="FFFFFF"/>
          <w:lang w:val="fr-BE"/>
        </w:rPr>
        <w:t>peut saisir la Cour de justice dans un nouveau délai de deux mois (22 février 2020).</w:t>
      </w:r>
    </w:p>
    <w:p w:rsidR="00723D3C" w:rsidRPr="00723D3C" w:rsidRDefault="00723D3C" w:rsidP="00723D3C">
      <w:pPr>
        <w:widowControl w:val="0"/>
        <w:spacing w:after="120"/>
        <w:jc w:val="both"/>
        <w:rPr>
          <w:rFonts w:ascii="Times New Roman" w:hAnsi="Times New Roman"/>
          <w:szCs w:val="24"/>
          <w:highlight w:val="yellow"/>
          <w:lang w:val="fr-BE"/>
        </w:rPr>
      </w:pPr>
      <w:r w:rsidRPr="00723D3C">
        <w:rPr>
          <w:rFonts w:ascii="Times New Roman" w:hAnsi="Times New Roman"/>
          <w:szCs w:val="24"/>
          <w:lang w:val="fr-BE"/>
        </w:rPr>
        <w:t>Dans cette résolution, le Parlement rappelle l'invitation déjà faite à ce sujet dans une résolution adoptée le 2 mars 2017 sur les obligations de la Commission quant à la réciprocité en matière de visas</w:t>
      </w:r>
      <w:r>
        <w:rPr>
          <w:rStyle w:val="FootnoteReference"/>
          <w:rFonts w:ascii="Times New Roman" w:hAnsi="Times New Roman"/>
          <w:szCs w:val="24"/>
        </w:rPr>
        <w:footnoteReference w:id="3"/>
      </w:r>
      <w:r w:rsidRPr="00723D3C">
        <w:rPr>
          <w:rFonts w:ascii="Times New Roman" w:hAnsi="Times New Roman"/>
          <w:szCs w:val="24"/>
          <w:lang w:val="fr-BE"/>
        </w:rPr>
        <w:t>.</w:t>
      </w:r>
    </w:p>
    <w:p w:rsidR="00723D3C" w:rsidRDefault="00723D3C" w:rsidP="00723D3C">
      <w:pPr>
        <w:pStyle w:val="NormalWeb"/>
        <w:spacing w:before="0" w:beforeAutospacing="0" w:after="120" w:afterAutospacing="0"/>
        <w:jc w:val="both"/>
      </w:pPr>
      <w:r>
        <w:t>Conformément à l’article </w:t>
      </w:r>
      <w:r w:rsidRPr="00E565B0">
        <w:t>7</w:t>
      </w:r>
      <w:r>
        <w:t>, premier alinéa, point f), du règlement (UE) </w:t>
      </w:r>
      <w:r w:rsidRPr="00E565B0">
        <w:t>2018</w:t>
      </w:r>
      <w:r>
        <w:t>/</w:t>
      </w:r>
      <w:r w:rsidRPr="00E565B0">
        <w:t>1806</w:t>
      </w:r>
      <w:r>
        <w:t xml:space="preserve">, la Commission adopte l’acte délégué portant suspension temporaire de l’exemption de l’obligation de visa si un pays tiers n’a pas levé l’obligation de visa dans les </w:t>
      </w:r>
      <w:r w:rsidRPr="00E565B0">
        <w:t>24</w:t>
      </w:r>
      <w:r>
        <w:t xml:space="preserve"> mois à compter de la publication des notifications de non-réciprocité. Dans le cas des États-Unis, ce délai de </w:t>
      </w:r>
      <w:r w:rsidRPr="00E565B0">
        <w:t>24</w:t>
      </w:r>
      <w:r>
        <w:t xml:space="preserve"> mois a expiré le </w:t>
      </w:r>
      <w:r w:rsidRPr="00E565B0">
        <w:t>12</w:t>
      </w:r>
      <w:r>
        <w:t> avril </w:t>
      </w:r>
      <w:r w:rsidRPr="00E565B0">
        <w:t>2016</w:t>
      </w:r>
      <w:r>
        <w:t>. Néanmoins, le règlement impose aussi à la Commission de prendre en considération les conséquences de la suspension de l’exemption de visa sur les relations extérieures de l’Union européenne et de ses États membres</w:t>
      </w:r>
      <w:r w:rsidRPr="0042115D">
        <w:rPr>
          <w:vertAlign w:val="superscript"/>
        </w:rPr>
        <w:footnoteReference w:id="4"/>
      </w:r>
      <w:r>
        <w:t>. La Commission a adopté une communication en avril </w:t>
      </w:r>
      <w:r w:rsidRPr="00E565B0">
        <w:t>2016</w:t>
      </w:r>
      <w:r w:rsidRPr="004D40EA">
        <w:rPr>
          <w:vertAlign w:val="superscript"/>
        </w:rPr>
        <w:footnoteReference w:id="5"/>
      </w:r>
      <w:r>
        <w:t xml:space="preserve"> et six communications de suivi (en </w:t>
      </w:r>
      <w:r>
        <w:lastRenderedPageBreak/>
        <w:t>juillet</w:t>
      </w:r>
      <w:r w:rsidRPr="004D40EA">
        <w:rPr>
          <w:noProof/>
          <w:vertAlign w:val="superscript"/>
        </w:rPr>
        <w:footnoteReference w:id="6"/>
      </w:r>
      <w:r>
        <w:t xml:space="preserve"> et décembre</w:t>
      </w:r>
      <w:r w:rsidRPr="004D40EA">
        <w:rPr>
          <w:noProof/>
          <w:vertAlign w:val="superscript"/>
        </w:rPr>
        <w:footnoteReference w:id="7"/>
      </w:r>
      <w:r>
        <w:t> </w:t>
      </w:r>
      <w:r w:rsidRPr="00E565B0">
        <w:t>2016</w:t>
      </w:r>
      <w:r>
        <w:t>, en mai</w:t>
      </w:r>
      <w:r w:rsidRPr="004D40EA">
        <w:rPr>
          <w:noProof/>
          <w:vertAlign w:val="superscript"/>
        </w:rPr>
        <w:footnoteReference w:id="8"/>
      </w:r>
      <w:r>
        <w:t xml:space="preserve"> et décembre</w:t>
      </w:r>
      <w:r w:rsidRPr="004D40EA">
        <w:rPr>
          <w:noProof/>
          <w:vertAlign w:val="superscript"/>
        </w:rPr>
        <w:footnoteReference w:id="9"/>
      </w:r>
      <w:r>
        <w:t> </w:t>
      </w:r>
      <w:r w:rsidRPr="00E565B0">
        <w:t>2017</w:t>
      </w:r>
      <w:r>
        <w:t>, en décembre </w:t>
      </w:r>
      <w:r w:rsidRPr="00E565B0">
        <w:t>2018</w:t>
      </w:r>
      <w:r w:rsidRPr="004D40EA">
        <w:rPr>
          <w:noProof/>
          <w:vertAlign w:val="superscript"/>
        </w:rPr>
        <w:footnoteReference w:id="10"/>
      </w:r>
      <w:r>
        <w:t xml:space="preserve"> et en mars </w:t>
      </w:r>
      <w:r w:rsidRPr="00E565B0">
        <w:t>2020</w:t>
      </w:r>
      <w:r w:rsidRPr="0042115D">
        <w:rPr>
          <w:noProof/>
          <w:vertAlign w:val="superscript"/>
        </w:rPr>
        <w:footnoteReference w:id="11"/>
      </w:r>
      <w:r>
        <w:t>). Ces communications décrivaient l’action de la Commission et l'évolution de la situation, en évaluant les conséquences de la suspension, et elles informaient les colégislateurs du bilan des efforts déployés pour atteindre la pleine réciprocité en matière de visas et des pistes envisageables pour progresser. La communication d’avril </w:t>
      </w:r>
      <w:r w:rsidRPr="00E565B0">
        <w:t>2016</w:t>
      </w:r>
      <w:r>
        <w:t xml:space="preserve"> soulignait déjà l’importance d’une association pleine et entière du Parlement européen et du Conseil à l’application du mécanisme de réciprocité en matière de visas, compte tenu de la nature politique particulièrement sensible de la suspension de l’exemption de visa.</w:t>
      </w:r>
    </w:p>
    <w:p w:rsidR="00723D3C" w:rsidRPr="00723D3C" w:rsidRDefault="00723D3C" w:rsidP="00723D3C">
      <w:pPr>
        <w:spacing w:after="120"/>
        <w:jc w:val="both"/>
        <w:rPr>
          <w:rFonts w:ascii="Times New Roman" w:hAnsi="Times New Roman"/>
          <w:szCs w:val="24"/>
          <w:lang w:val="fr-BE"/>
        </w:rPr>
      </w:pPr>
      <w:r w:rsidRPr="00723D3C">
        <w:rPr>
          <w:rFonts w:ascii="Times New Roman" w:hAnsi="Times New Roman"/>
          <w:szCs w:val="24"/>
          <w:lang w:val="fr-BE"/>
        </w:rPr>
        <w:t xml:space="preserve">La Commission coopère étroitement avec les États membres concernés par une absence de réciprocité dans le cadre de ses efforts visant à remédier à cette situation avec les États-Unis. Dans sa communication adoptée </w:t>
      </w:r>
      <w:r w:rsidRPr="00723D3C">
        <w:rPr>
          <w:rFonts w:ascii="Times New Roman" w:hAnsi="Times New Roman"/>
          <w:lang w:val="fr-BE"/>
        </w:rPr>
        <w:t>le 22 décembre 2020</w:t>
      </w:r>
      <w:r w:rsidRPr="004D40EA">
        <w:rPr>
          <w:rFonts w:ascii="Times New Roman" w:hAnsi="Times New Roman"/>
          <w:vertAlign w:val="superscript"/>
        </w:rPr>
        <w:footnoteReference w:id="12"/>
      </w:r>
      <w:r w:rsidRPr="00723D3C">
        <w:rPr>
          <w:rFonts w:ascii="Times New Roman" w:hAnsi="Times New Roman"/>
          <w:lang w:val="fr-BE"/>
        </w:rPr>
        <w:t xml:space="preserve">, définissant la position de la Commission à la suite de la résolution du Parlement européen du 22 octobre 2020, </w:t>
      </w:r>
      <w:r w:rsidRPr="00723D3C">
        <w:rPr>
          <w:rFonts w:ascii="Times New Roman" w:hAnsi="Times New Roman"/>
          <w:szCs w:val="24"/>
          <w:lang w:val="fr-BE"/>
        </w:rPr>
        <w:t>la Commission s’est à nouveau engagée à continuer à collaborer étroitement avec le Parlement européen et le Conseil afin de parvenir à une réciprocité totale en matière d’exemption de visa, et à rendre compte de l’évolution de la situation d'ici décembre 2021.</w:t>
      </w:r>
    </w:p>
    <w:p w:rsidR="00723D3C" w:rsidRPr="00723D3C" w:rsidRDefault="00723D3C" w:rsidP="00723D3C">
      <w:pPr>
        <w:spacing w:after="120"/>
        <w:jc w:val="both"/>
        <w:rPr>
          <w:rFonts w:ascii="Times New Roman" w:hAnsi="Times New Roman"/>
          <w:b/>
          <w:bCs/>
          <w:i/>
          <w:iCs/>
          <w:szCs w:val="24"/>
          <w:lang w:val="fr-BE"/>
        </w:rPr>
      </w:pPr>
      <w:r w:rsidRPr="00723D3C">
        <w:rPr>
          <w:rFonts w:ascii="Times New Roman" w:hAnsi="Times New Roman"/>
          <w:b/>
          <w:bCs/>
          <w:szCs w:val="24"/>
          <w:lang w:val="fr-BE"/>
        </w:rPr>
        <w:t>Réponse à ces demandes et aperçu des mesures que la Commission a prises ou envisage de prendre:</w:t>
      </w:r>
    </w:p>
    <w:p w:rsidR="00723D3C" w:rsidRPr="00DF00B1" w:rsidRDefault="00723D3C" w:rsidP="00723D3C">
      <w:pPr>
        <w:pStyle w:val="Text1"/>
        <w:spacing w:after="120"/>
        <w:ind w:left="0"/>
        <w:rPr>
          <w:rFonts w:ascii="Times New Roman" w:hAnsi="Times New Roman"/>
          <w:szCs w:val="24"/>
        </w:rPr>
      </w:pPr>
      <w:r>
        <w:rPr>
          <w:rFonts w:ascii="Times New Roman" w:hAnsi="Times New Roman"/>
          <w:szCs w:val="24"/>
        </w:rPr>
        <w:t>La Commission demeure déterminée à obtenir la pleine réciprocité en matière de visas pour tous les États membres. Il s'agit pour elle d'une priorité. En ce qui concerne les États-Unis, elle reste engagée dans un processus axé sur les résultats, en vue de parvenir à une réciprocité totale en matière de visas, en étroite coordination avec les États membres concernés.</w:t>
      </w:r>
    </w:p>
    <w:p w:rsidR="00723D3C" w:rsidRPr="000B043D" w:rsidRDefault="00723D3C" w:rsidP="00723D3C">
      <w:pPr>
        <w:pStyle w:val="Text1"/>
        <w:spacing w:after="120"/>
        <w:ind w:left="0"/>
        <w:rPr>
          <w:rFonts w:ascii="Times New Roman" w:hAnsi="Times New Roman"/>
          <w:szCs w:val="24"/>
        </w:rPr>
      </w:pPr>
      <w:r>
        <w:rPr>
          <w:rFonts w:ascii="Times New Roman" w:hAnsi="Times New Roman"/>
        </w:rPr>
        <w:t xml:space="preserve">Comme il a été mentionné ci-dessus, la Commission rend régulièrement compte des efforts déployés pour parvenir à une réciprocité totale en matière d’exemption de visa. Ainsi qu’elle l’a exprimé dans sa dernière communication sur la réciprocité en matière de visas, adoptée le </w:t>
      </w:r>
      <w:r w:rsidRPr="00E565B0">
        <w:rPr>
          <w:rFonts w:ascii="Times New Roman" w:hAnsi="Times New Roman"/>
        </w:rPr>
        <w:t>22</w:t>
      </w:r>
      <w:r>
        <w:rPr>
          <w:rFonts w:ascii="Times New Roman" w:hAnsi="Times New Roman"/>
        </w:rPr>
        <w:t> décembre </w:t>
      </w:r>
      <w:r w:rsidRPr="00E565B0">
        <w:rPr>
          <w:rFonts w:ascii="Times New Roman" w:hAnsi="Times New Roman"/>
        </w:rPr>
        <w:t>2020</w:t>
      </w:r>
      <w:r>
        <w:rPr>
          <w:rFonts w:ascii="Times New Roman" w:hAnsi="Times New Roman"/>
        </w:rPr>
        <w:t>, compte tenu de l’intégration de la Pologne au programme américain d’exemption de visa, du contexte exceptionnel résultant de la pandémie de COVID-</w:t>
      </w:r>
      <w:r w:rsidRPr="00E565B0">
        <w:rPr>
          <w:rFonts w:ascii="Times New Roman" w:hAnsi="Times New Roman"/>
        </w:rPr>
        <w:t>19</w:t>
      </w:r>
      <w:r>
        <w:rPr>
          <w:rFonts w:ascii="Times New Roman" w:hAnsi="Times New Roman"/>
        </w:rPr>
        <w:t xml:space="preserve">, qui a eu des répercussions négatives sur les déplacements et sur l'application générale des politiques des visas dans le monde entier, et compte tenu des progrès constants réalisés par les États membres concernés, la Commission demeure convaincue que la suspension temporaire de l’exemption de l’obligation de visa pour les ressortissants des États-Unis serait contre-productive, </w:t>
      </w:r>
      <w:r>
        <w:rPr>
          <w:rFonts w:ascii="Times New Roman" w:hAnsi="Times New Roman"/>
          <w:szCs w:val="24"/>
        </w:rPr>
        <w:t xml:space="preserve">particulièrement en ce moment. </w:t>
      </w:r>
      <w:r>
        <w:rPr>
          <w:rFonts w:ascii="Times New Roman" w:hAnsi="Times New Roman"/>
        </w:rPr>
        <w:t>Elle ne servirait pas l’objectif de l’exemption de visa pour tous les citoyens de l’Union se rendant aux États-Unis, et pourrait même le compromettre. Les résultats obtenus montrent que des progrès tangibles vers la pleine réciprocité en matière d’exemption de visa sont possibles grâce à un dialogue continu et des contacts diplomatiques conjoints.</w:t>
      </w:r>
    </w:p>
    <w:p w:rsidR="00723D3C" w:rsidRDefault="00723D3C" w:rsidP="00723D3C">
      <w:pPr>
        <w:pStyle w:val="Text1"/>
        <w:spacing w:after="120"/>
        <w:ind w:left="0"/>
        <w:rPr>
          <w:rFonts w:ascii="Times New Roman" w:hAnsi="Times New Roman"/>
          <w:szCs w:val="24"/>
        </w:rPr>
      </w:pPr>
      <w:r>
        <w:rPr>
          <w:rFonts w:ascii="Times New Roman" w:hAnsi="Times New Roman"/>
          <w:szCs w:val="24"/>
        </w:rPr>
        <w:t>Dans la mise en œuvre du mécanisme de réciprocité</w:t>
      </w:r>
      <w:r w:rsidRPr="004D40EA">
        <w:rPr>
          <w:rFonts w:ascii="Times New Roman" w:hAnsi="Times New Roman"/>
          <w:szCs w:val="24"/>
          <w:vertAlign w:val="superscript"/>
        </w:rPr>
        <w:footnoteReference w:id="13"/>
      </w:r>
      <w:r>
        <w:rPr>
          <w:rFonts w:ascii="Times New Roman" w:hAnsi="Times New Roman"/>
          <w:szCs w:val="24"/>
        </w:rPr>
        <w:t xml:space="preserve">, la Commission doit tenir compte des effets des mesures prises par elle-même et par les États membres, ainsi que des conséquences éventuelles sur les relations externes de l’Union et de ses États membres. Elle a donc évalué, d’une part, les résultats positifs des actions entreprises au niveau de l’Union et des États </w:t>
      </w:r>
      <w:r>
        <w:rPr>
          <w:rFonts w:ascii="Times New Roman" w:hAnsi="Times New Roman"/>
          <w:szCs w:val="24"/>
        </w:rPr>
        <w:lastRenderedPageBreak/>
        <w:t>membres, notamment le fait que la Pologne a obtenu une exemption de visa en </w:t>
      </w:r>
      <w:r w:rsidRPr="00E565B0">
        <w:rPr>
          <w:rFonts w:ascii="Times New Roman" w:hAnsi="Times New Roman"/>
          <w:szCs w:val="24"/>
        </w:rPr>
        <w:t>2019</w:t>
      </w:r>
      <w:r>
        <w:rPr>
          <w:rFonts w:ascii="Times New Roman" w:hAnsi="Times New Roman"/>
          <w:szCs w:val="24"/>
        </w:rPr>
        <w:t xml:space="preserve">, ainsi que les progrès constants réalisés par les autres États membres concernés, et, d’autre part, les conséquences négatives attendues d'une suspension des visas </w:t>
      </w:r>
      <w:r>
        <w:rPr>
          <w:rFonts w:ascii="Times New Roman" w:hAnsi="Times New Roman"/>
        </w:rPr>
        <w:t xml:space="preserve">dans un large éventail de domaines d'action et de secteurs, ainsi que les effets négatifs sur la coopération transatlantique et nos relations extérieures avec un partenaire stratégique, </w:t>
      </w:r>
      <w:r>
        <w:rPr>
          <w:rFonts w:ascii="Times New Roman" w:hAnsi="Times New Roman"/>
          <w:szCs w:val="24"/>
        </w:rPr>
        <w:t>et tout particulièrement au regard de l’objectif de réciprocité en matière de visas. Tant que la Commission constate que son dialogue avec les États-Unis produit des avancées durables, elle considère que la meilleure façon de parvenir à une réciprocité totale sur les visas pour tous les ressortissants de l’Union consiste à poursuivre la coopération diplomatique avec ce pays.</w:t>
      </w:r>
    </w:p>
    <w:p w:rsidR="00723D3C" w:rsidRPr="00723D3C" w:rsidRDefault="00723D3C" w:rsidP="00723D3C">
      <w:pPr>
        <w:widowControl w:val="0"/>
        <w:spacing w:after="120"/>
        <w:jc w:val="both"/>
        <w:rPr>
          <w:color w:val="F4B083" w:themeColor="accent2" w:themeTint="99"/>
          <w:lang w:val="fr-BE"/>
        </w:rPr>
      </w:pPr>
      <w:r w:rsidRPr="00723D3C">
        <w:rPr>
          <w:rFonts w:ascii="Times New Roman" w:hAnsi="Times New Roman"/>
          <w:szCs w:val="24"/>
          <w:lang w:val="fr-BE"/>
        </w:rPr>
        <w:t xml:space="preserve">La Commission continuera à collaborer étroitement avec le Parlement européen et le Conseil pour parvenir à une réciprocité totale en matière d’exemption de visa avec les États-Unis, et elle tiendra le Parlement européen et le Conseil informés de l’évolution de la situation. </w:t>
      </w:r>
      <w:r w:rsidRPr="00723D3C">
        <w:rPr>
          <w:rFonts w:ascii="Times New Roman" w:hAnsi="Times New Roman"/>
          <w:lang w:val="fr-BE"/>
        </w:rPr>
        <w:t>Ainsi qu'elle l'indiquait dans la dernière communication sur la réciprocité en matière de visas, adoptée le 22 décembre 2020, elle rendra compte de l’évolution de la situation au Parlement européen et au Conseil au plus tard en décembre 2021.</w:t>
      </w:r>
      <w:bookmarkStart w:id="1" w:name="p6"/>
      <w:bookmarkEnd w:id="1"/>
    </w:p>
    <w:p w:rsidR="00F36993" w:rsidRPr="00723D3C" w:rsidRDefault="00F36993" w:rsidP="00723D3C">
      <w:pPr>
        <w:jc w:val="both"/>
        <w:rPr>
          <w:lang w:val="fr-BE"/>
        </w:rPr>
      </w:pPr>
    </w:p>
    <w:sectPr w:rsidR="00F36993" w:rsidRPr="00723D3C">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3C" w:rsidRDefault="00723D3C" w:rsidP="00723D3C">
      <w:pPr>
        <w:spacing w:after="0" w:line="240" w:lineRule="auto"/>
      </w:pPr>
      <w:r>
        <w:separator/>
      </w:r>
    </w:p>
  </w:endnote>
  <w:endnote w:type="continuationSeparator" w:id="0">
    <w:p w:rsidR="00723D3C" w:rsidRDefault="00723D3C" w:rsidP="0072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3C" w:rsidRDefault="00723D3C" w:rsidP="00723D3C">
      <w:pPr>
        <w:spacing w:after="0" w:line="240" w:lineRule="auto"/>
      </w:pPr>
      <w:r>
        <w:separator/>
      </w:r>
    </w:p>
  </w:footnote>
  <w:footnote w:type="continuationSeparator" w:id="0">
    <w:p w:rsidR="00723D3C" w:rsidRDefault="00723D3C" w:rsidP="00723D3C">
      <w:pPr>
        <w:spacing w:after="0" w:line="240" w:lineRule="auto"/>
      </w:pPr>
      <w:r>
        <w:continuationSeparator/>
      </w:r>
    </w:p>
  </w:footnote>
  <w:footnote w:id="1">
    <w:p w:rsidR="00723D3C" w:rsidRPr="00E0247F" w:rsidRDefault="00723D3C" w:rsidP="00723D3C">
      <w:pPr>
        <w:pStyle w:val="FootnoteText"/>
        <w:spacing w:after="0"/>
        <w:rPr>
          <w:rFonts w:ascii="Times New Roman" w:hAnsi="Times New Roman"/>
        </w:rPr>
      </w:pPr>
      <w:r>
        <w:rPr>
          <w:rStyle w:val="FootnoteReference"/>
        </w:rPr>
        <w:footnoteRef/>
      </w:r>
      <w:r>
        <w:t xml:space="preserve"> </w:t>
      </w:r>
      <w:r>
        <w:tab/>
      </w:r>
      <w:r>
        <w:rPr>
          <w:rFonts w:ascii="Times New Roman" w:hAnsi="Times New Roman"/>
          <w:szCs w:val="24"/>
        </w:rPr>
        <w:t>Cette obligation est désormais énoncée à l’article </w:t>
      </w:r>
      <w:r w:rsidRPr="00E565B0">
        <w:rPr>
          <w:rFonts w:ascii="Times New Roman" w:hAnsi="Times New Roman"/>
          <w:szCs w:val="24"/>
        </w:rPr>
        <w:t>7</w:t>
      </w:r>
      <w:r>
        <w:rPr>
          <w:rFonts w:ascii="Times New Roman" w:hAnsi="Times New Roman"/>
          <w:szCs w:val="24"/>
        </w:rPr>
        <w:t xml:space="preserve"> du règlement (UE) </w:t>
      </w:r>
      <w:r w:rsidRPr="00E565B0">
        <w:rPr>
          <w:rFonts w:ascii="Times New Roman" w:hAnsi="Times New Roman"/>
          <w:szCs w:val="24"/>
        </w:rPr>
        <w:t>2018</w:t>
      </w:r>
      <w:r>
        <w:rPr>
          <w:rFonts w:ascii="Times New Roman" w:hAnsi="Times New Roman"/>
          <w:szCs w:val="24"/>
        </w:rPr>
        <w:t>/</w:t>
      </w:r>
      <w:r w:rsidRPr="00E565B0">
        <w:rPr>
          <w:rFonts w:ascii="Times New Roman" w:hAnsi="Times New Roman"/>
          <w:szCs w:val="24"/>
        </w:rPr>
        <w:t>1806</w:t>
      </w:r>
      <w:r>
        <w:rPr>
          <w:rFonts w:ascii="Times New Roman" w:hAnsi="Times New Roman"/>
          <w:szCs w:val="24"/>
        </w:rPr>
        <w:t xml:space="preserve"> du Parlement européen et du Conseil du </w:t>
      </w:r>
      <w:r w:rsidRPr="00E565B0">
        <w:rPr>
          <w:rFonts w:ascii="Times New Roman" w:hAnsi="Times New Roman"/>
          <w:szCs w:val="24"/>
        </w:rPr>
        <w:t>14</w:t>
      </w:r>
      <w:r>
        <w:rPr>
          <w:rFonts w:ascii="Times New Roman" w:hAnsi="Times New Roman"/>
          <w:szCs w:val="24"/>
        </w:rPr>
        <w:t> novembre </w:t>
      </w:r>
      <w:r w:rsidRPr="00E565B0">
        <w:rPr>
          <w:rFonts w:ascii="Times New Roman" w:hAnsi="Times New Roman"/>
          <w:szCs w:val="24"/>
        </w:rPr>
        <w:t>2018</w:t>
      </w:r>
      <w:r>
        <w:rPr>
          <w:rFonts w:ascii="Times New Roman" w:hAnsi="Times New Roman"/>
          <w:szCs w:val="24"/>
        </w:rPr>
        <w:t xml:space="preserve"> fixant la liste des pays tiers dont les ressortissants sont soumis à l’obligation de visa pour franchir les frontières extérieures des États membres et la liste de ceux dont les ressortissants sont exemptés de cette obligation (codification), JO L </w:t>
      </w:r>
      <w:r w:rsidRPr="00E565B0">
        <w:rPr>
          <w:rFonts w:ascii="Times New Roman" w:hAnsi="Times New Roman"/>
          <w:szCs w:val="24"/>
        </w:rPr>
        <w:t>303</w:t>
      </w:r>
      <w:r>
        <w:rPr>
          <w:rFonts w:ascii="Times New Roman" w:hAnsi="Times New Roman"/>
          <w:szCs w:val="24"/>
        </w:rPr>
        <w:t xml:space="preserve"> du </w:t>
      </w:r>
      <w:r w:rsidRPr="00E565B0">
        <w:rPr>
          <w:rFonts w:ascii="Times New Roman" w:hAnsi="Times New Roman"/>
          <w:szCs w:val="24"/>
        </w:rPr>
        <w:t>28</w:t>
      </w:r>
      <w:r>
        <w:rPr>
          <w:rFonts w:ascii="Times New Roman" w:hAnsi="Times New Roman"/>
          <w:szCs w:val="24"/>
        </w:rPr>
        <w:t>.</w:t>
      </w:r>
      <w:r w:rsidRPr="00E565B0">
        <w:rPr>
          <w:rFonts w:ascii="Times New Roman" w:hAnsi="Times New Roman"/>
          <w:szCs w:val="24"/>
        </w:rPr>
        <w:t>11</w:t>
      </w:r>
      <w:r>
        <w:rPr>
          <w:rFonts w:ascii="Times New Roman" w:hAnsi="Times New Roman"/>
          <w:szCs w:val="24"/>
        </w:rPr>
        <w:t>.</w:t>
      </w:r>
      <w:r w:rsidRPr="00E565B0">
        <w:rPr>
          <w:rFonts w:ascii="Times New Roman" w:hAnsi="Times New Roman"/>
          <w:szCs w:val="24"/>
        </w:rPr>
        <w:t>2018</w:t>
      </w:r>
      <w:r>
        <w:rPr>
          <w:rFonts w:ascii="Times New Roman" w:hAnsi="Times New Roman"/>
          <w:szCs w:val="24"/>
        </w:rPr>
        <w:t>, p. </w:t>
      </w:r>
      <w:r w:rsidRPr="00E565B0">
        <w:rPr>
          <w:rFonts w:ascii="Times New Roman" w:hAnsi="Times New Roman"/>
          <w:szCs w:val="24"/>
        </w:rPr>
        <w:t>39</w:t>
      </w:r>
      <w:r>
        <w:rPr>
          <w:rFonts w:ascii="Times New Roman" w:hAnsi="Times New Roman"/>
          <w:szCs w:val="24"/>
        </w:rPr>
        <w:t>, qui a codifié le règlement (CE) nº </w:t>
      </w:r>
      <w:r w:rsidRPr="00E565B0">
        <w:rPr>
          <w:rFonts w:ascii="Times New Roman" w:hAnsi="Times New Roman"/>
          <w:szCs w:val="24"/>
        </w:rPr>
        <w:t>539</w:t>
      </w:r>
      <w:r>
        <w:rPr>
          <w:rFonts w:ascii="Times New Roman" w:hAnsi="Times New Roman"/>
          <w:szCs w:val="24"/>
        </w:rPr>
        <w:t>/</w:t>
      </w:r>
      <w:r w:rsidRPr="00E565B0">
        <w:rPr>
          <w:rFonts w:ascii="Times New Roman" w:hAnsi="Times New Roman"/>
          <w:szCs w:val="24"/>
        </w:rPr>
        <w:t>2001</w:t>
      </w:r>
      <w:r>
        <w:rPr>
          <w:rFonts w:ascii="Times New Roman" w:hAnsi="Times New Roman"/>
          <w:szCs w:val="24"/>
        </w:rPr>
        <w:t>.</w:t>
      </w:r>
    </w:p>
  </w:footnote>
  <w:footnote w:id="2">
    <w:p w:rsidR="00723D3C" w:rsidRPr="0042115D" w:rsidRDefault="00723D3C" w:rsidP="00723D3C">
      <w:pPr>
        <w:pStyle w:val="FootnoteText"/>
        <w:spacing w:after="0"/>
        <w:rPr>
          <w:rFonts w:ascii="Times New Roman" w:hAnsi="Times New Roman"/>
          <w:szCs w:val="24"/>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4"/>
        </w:rPr>
        <w:t>O-</w:t>
      </w:r>
      <w:r w:rsidRPr="00E565B0">
        <w:rPr>
          <w:rFonts w:ascii="Times New Roman" w:hAnsi="Times New Roman"/>
          <w:szCs w:val="24"/>
        </w:rPr>
        <w:t>000049</w:t>
      </w:r>
      <w:r>
        <w:rPr>
          <w:rFonts w:ascii="Times New Roman" w:hAnsi="Times New Roman"/>
          <w:szCs w:val="24"/>
        </w:rPr>
        <w:t>/</w:t>
      </w:r>
      <w:r w:rsidRPr="00E565B0">
        <w:rPr>
          <w:rFonts w:ascii="Times New Roman" w:hAnsi="Times New Roman"/>
          <w:szCs w:val="24"/>
        </w:rPr>
        <w:t>2020</w:t>
      </w:r>
    </w:p>
  </w:footnote>
  <w:footnote w:id="3">
    <w:p w:rsidR="00723D3C" w:rsidRPr="0042115D" w:rsidRDefault="00723D3C" w:rsidP="00723D3C">
      <w:pPr>
        <w:pStyle w:val="FootnoteText"/>
        <w:spacing w:after="0"/>
        <w:rPr>
          <w:rFonts w:ascii="Times New Roman" w:hAnsi="Times New Roman"/>
          <w:szCs w:val="24"/>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4"/>
        </w:rPr>
        <w:t>JO C </w:t>
      </w:r>
      <w:r w:rsidRPr="00E565B0">
        <w:rPr>
          <w:rFonts w:ascii="Times New Roman" w:hAnsi="Times New Roman"/>
          <w:szCs w:val="24"/>
        </w:rPr>
        <w:t>263</w:t>
      </w:r>
      <w:r>
        <w:rPr>
          <w:rFonts w:ascii="Times New Roman" w:hAnsi="Times New Roman"/>
          <w:szCs w:val="24"/>
        </w:rPr>
        <w:t xml:space="preserve"> du </w:t>
      </w:r>
      <w:r w:rsidRPr="00E565B0">
        <w:rPr>
          <w:rFonts w:ascii="Times New Roman" w:hAnsi="Times New Roman"/>
          <w:szCs w:val="24"/>
        </w:rPr>
        <w:t>25</w:t>
      </w:r>
      <w:r>
        <w:rPr>
          <w:rFonts w:ascii="Times New Roman" w:hAnsi="Times New Roman"/>
          <w:szCs w:val="24"/>
        </w:rPr>
        <w:t>.</w:t>
      </w:r>
      <w:r w:rsidRPr="00E565B0">
        <w:rPr>
          <w:rFonts w:ascii="Times New Roman" w:hAnsi="Times New Roman"/>
          <w:szCs w:val="24"/>
        </w:rPr>
        <w:t>7</w:t>
      </w:r>
      <w:r>
        <w:rPr>
          <w:rFonts w:ascii="Times New Roman" w:hAnsi="Times New Roman"/>
          <w:szCs w:val="24"/>
        </w:rPr>
        <w:t>.</w:t>
      </w:r>
      <w:r w:rsidRPr="00E565B0">
        <w:rPr>
          <w:rFonts w:ascii="Times New Roman" w:hAnsi="Times New Roman"/>
          <w:szCs w:val="24"/>
        </w:rPr>
        <w:t>2018</w:t>
      </w:r>
      <w:r>
        <w:rPr>
          <w:rFonts w:ascii="Times New Roman" w:hAnsi="Times New Roman"/>
          <w:szCs w:val="24"/>
        </w:rPr>
        <w:t>, p. </w:t>
      </w:r>
      <w:r w:rsidRPr="00E565B0">
        <w:rPr>
          <w:rFonts w:ascii="Times New Roman" w:hAnsi="Times New Roman"/>
          <w:szCs w:val="24"/>
        </w:rPr>
        <w:t>2</w:t>
      </w:r>
      <w:r>
        <w:rPr>
          <w:rFonts w:ascii="Times New Roman" w:hAnsi="Times New Roman"/>
          <w:szCs w:val="24"/>
        </w:rPr>
        <w:t>.</w:t>
      </w:r>
    </w:p>
  </w:footnote>
  <w:footnote w:id="4">
    <w:p w:rsidR="00723D3C" w:rsidRPr="0042115D" w:rsidRDefault="00723D3C" w:rsidP="00723D3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4"/>
        </w:rPr>
        <w:t>Article </w:t>
      </w:r>
      <w:r w:rsidRPr="00E565B0">
        <w:rPr>
          <w:rFonts w:ascii="Times New Roman" w:hAnsi="Times New Roman"/>
          <w:szCs w:val="24"/>
        </w:rPr>
        <w:t>7</w:t>
      </w:r>
      <w:r>
        <w:rPr>
          <w:rFonts w:ascii="Times New Roman" w:hAnsi="Times New Roman"/>
          <w:szCs w:val="24"/>
        </w:rPr>
        <w:t>, point d), du règlement (UE) </w:t>
      </w:r>
      <w:r w:rsidRPr="00E565B0">
        <w:rPr>
          <w:rFonts w:ascii="Times New Roman" w:hAnsi="Times New Roman"/>
          <w:szCs w:val="24"/>
        </w:rPr>
        <w:t>2018</w:t>
      </w:r>
      <w:r>
        <w:rPr>
          <w:rFonts w:ascii="Times New Roman" w:hAnsi="Times New Roman"/>
          <w:szCs w:val="24"/>
        </w:rPr>
        <w:t>/</w:t>
      </w:r>
      <w:r w:rsidRPr="00E565B0">
        <w:rPr>
          <w:rFonts w:ascii="Times New Roman" w:hAnsi="Times New Roman"/>
          <w:szCs w:val="24"/>
        </w:rPr>
        <w:t>1806</w:t>
      </w:r>
      <w:r>
        <w:rPr>
          <w:rFonts w:ascii="Times New Roman" w:hAnsi="Times New Roman"/>
          <w:szCs w:val="24"/>
        </w:rPr>
        <w:t>.</w:t>
      </w:r>
    </w:p>
  </w:footnote>
  <w:footnote w:id="5">
    <w:p w:rsidR="00723D3C" w:rsidRPr="007E28BF" w:rsidRDefault="00723D3C" w:rsidP="00723D3C">
      <w:pPr>
        <w:pStyle w:val="FootnoteText"/>
        <w:spacing w:after="0"/>
        <w:rPr>
          <w:rFonts w:ascii="Times New Roman" w:hAnsi="Times New Roman"/>
          <w:szCs w:val="24"/>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proofErr w:type="gramStart"/>
      <w:r>
        <w:rPr>
          <w:rFonts w:ascii="Times New Roman" w:hAnsi="Times New Roman"/>
          <w:szCs w:val="24"/>
        </w:rPr>
        <w:t>COM(</w:t>
      </w:r>
      <w:proofErr w:type="gramEnd"/>
      <w:r w:rsidRPr="00E565B0">
        <w:rPr>
          <w:rFonts w:ascii="Times New Roman" w:hAnsi="Times New Roman"/>
          <w:szCs w:val="24"/>
        </w:rPr>
        <w:t>2016</w:t>
      </w:r>
      <w:r>
        <w:rPr>
          <w:rFonts w:ascii="Times New Roman" w:hAnsi="Times New Roman"/>
          <w:szCs w:val="24"/>
        </w:rPr>
        <w:t>) </w:t>
      </w:r>
      <w:r w:rsidRPr="00E565B0">
        <w:rPr>
          <w:rFonts w:ascii="Times New Roman" w:hAnsi="Times New Roman"/>
          <w:szCs w:val="24"/>
        </w:rPr>
        <w:t>221</w:t>
      </w:r>
      <w:r>
        <w:rPr>
          <w:rFonts w:ascii="Times New Roman" w:hAnsi="Times New Roman"/>
          <w:szCs w:val="24"/>
        </w:rPr>
        <w:t xml:space="preserve"> final du </w:t>
      </w:r>
      <w:r w:rsidRPr="00E565B0">
        <w:rPr>
          <w:rFonts w:ascii="Times New Roman" w:hAnsi="Times New Roman"/>
          <w:szCs w:val="24"/>
        </w:rPr>
        <w:t>12</w:t>
      </w:r>
      <w:r>
        <w:rPr>
          <w:rFonts w:ascii="Times New Roman" w:hAnsi="Times New Roman"/>
          <w:szCs w:val="24"/>
        </w:rPr>
        <w:t> avril </w:t>
      </w:r>
      <w:r w:rsidRPr="00E565B0">
        <w:rPr>
          <w:rFonts w:ascii="Times New Roman" w:hAnsi="Times New Roman"/>
          <w:szCs w:val="24"/>
        </w:rPr>
        <w:t>2016</w:t>
      </w:r>
      <w:r>
        <w:rPr>
          <w:rFonts w:ascii="Times New Roman" w:hAnsi="Times New Roman"/>
          <w:szCs w:val="24"/>
        </w:rPr>
        <w:t>.</w:t>
      </w:r>
    </w:p>
  </w:footnote>
  <w:footnote w:id="6">
    <w:p w:rsidR="00723D3C" w:rsidRPr="0042115D" w:rsidRDefault="00723D3C" w:rsidP="00723D3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proofErr w:type="gramStart"/>
      <w:r>
        <w:rPr>
          <w:rFonts w:ascii="Times New Roman" w:hAnsi="Times New Roman"/>
          <w:szCs w:val="24"/>
        </w:rPr>
        <w:t>COM(</w:t>
      </w:r>
      <w:proofErr w:type="gramEnd"/>
      <w:r w:rsidRPr="00E565B0">
        <w:rPr>
          <w:rFonts w:ascii="Times New Roman" w:hAnsi="Times New Roman"/>
          <w:szCs w:val="24"/>
        </w:rPr>
        <w:t>2016</w:t>
      </w:r>
      <w:r>
        <w:rPr>
          <w:rFonts w:ascii="Times New Roman" w:hAnsi="Times New Roman"/>
          <w:szCs w:val="24"/>
        </w:rPr>
        <w:t>) </w:t>
      </w:r>
      <w:r w:rsidRPr="00E565B0">
        <w:rPr>
          <w:rFonts w:ascii="Times New Roman" w:hAnsi="Times New Roman"/>
          <w:szCs w:val="24"/>
        </w:rPr>
        <w:t>481</w:t>
      </w:r>
      <w:r>
        <w:rPr>
          <w:rFonts w:ascii="Times New Roman" w:hAnsi="Times New Roman"/>
          <w:szCs w:val="24"/>
        </w:rPr>
        <w:t xml:space="preserve"> final du </w:t>
      </w:r>
      <w:r w:rsidRPr="00E565B0">
        <w:rPr>
          <w:rFonts w:ascii="Times New Roman" w:hAnsi="Times New Roman"/>
          <w:szCs w:val="24"/>
        </w:rPr>
        <w:t>12</w:t>
      </w:r>
      <w:r>
        <w:rPr>
          <w:rFonts w:ascii="Times New Roman" w:hAnsi="Times New Roman"/>
          <w:szCs w:val="24"/>
        </w:rPr>
        <w:t> juillet </w:t>
      </w:r>
      <w:r w:rsidRPr="00E565B0">
        <w:rPr>
          <w:rFonts w:ascii="Times New Roman" w:hAnsi="Times New Roman"/>
          <w:szCs w:val="24"/>
        </w:rPr>
        <w:t>2016</w:t>
      </w:r>
      <w:r>
        <w:rPr>
          <w:rFonts w:ascii="Times New Roman" w:hAnsi="Times New Roman"/>
          <w:szCs w:val="24"/>
        </w:rPr>
        <w:t>.</w:t>
      </w:r>
    </w:p>
  </w:footnote>
  <w:footnote w:id="7">
    <w:p w:rsidR="00723D3C" w:rsidRPr="007E28BF" w:rsidRDefault="00723D3C" w:rsidP="00723D3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proofErr w:type="gramStart"/>
      <w:r>
        <w:rPr>
          <w:rFonts w:ascii="Times New Roman" w:hAnsi="Times New Roman"/>
        </w:rPr>
        <w:t>COM(</w:t>
      </w:r>
      <w:proofErr w:type="gramEnd"/>
      <w:r w:rsidRPr="00E565B0">
        <w:rPr>
          <w:rFonts w:ascii="Times New Roman" w:hAnsi="Times New Roman"/>
        </w:rPr>
        <w:t>2016</w:t>
      </w:r>
      <w:r>
        <w:rPr>
          <w:rFonts w:ascii="Times New Roman" w:hAnsi="Times New Roman"/>
        </w:rPr>
        <w:t>) </w:t>
      </w:r>
      <w:r w:rsidRPr="00E565B0">
        <w:rPr>
          <w:rFonts w:ascii="Times New Roman" w:hAnsi="Times New Roman"/>
        </w:rPr>
        <w:t>816</w:t>
      </w:r>
      <w:r>
        <w:rPr>
          <w:rFonts w:ascii="Times New Roman" w:hAnsi="Times New Roman"/>
        </w:rPr>
        <w:t xml:space="preserve"> final du </w:t>
      </w:r>
      <w:r w:rsidRPr="00E565B0">
        <w:rPr>
          <w:rFonts w:ascii="Times New Roman" w:hAnsi="Times New Roman"/>
        </w:rPr>
        <w:t>21</w:t>
      </w:r>
      <w:r>
        <w:rPr>
          <w:rFonts w:ascii="Times New Roman" w:hAnsi="Times New Roman"/>
        </w:rPr>
        <w:t> décembre </w:t>
      </w:r>
      <w:r w:rsidRPr="00E565B0">
        <w:rPr>
          <w:rFonts w:ascii="Times New Roman" w:hAnsi="Times New Roman"/>
        </w:rPr>
        <w:t>2016</w:t>
      </w:r>
      <w:r>
        <w:rPr>
          <w:rFonts w:ascii="Times New Roman" w:hAnsi="Times New Roman"/>
        </w:rPr>
        <w:t>.</w:t>
      </w:r>
    </w:p>
  </w:footnote>
  <w:footnote w:id="8">
    <w:p w:rsidR="00723D3C" w:rsidRPr="00DF2393" w:rsidRDefault="00723D3C" w:rsidP="00723D3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proofErr w:type="gramStart"/>
      <w:r>
        <w:rPr>
          <w:rFonts w:ascii="Times New Roman" w:hAnsi="Times New Roman"/>
        </w:rPr>
        <w:t>COM(</w:t>
      </w:r>
      <w:proofErr w:type="gramEnd"/>
      <w:r w:rsidRPr="00E565B0">
        <w:rPr>
          <w:rFonts w:ascii="Times New Roman" w:hAnsi="Times New Roman"/>
        </w:rPr>
        <w:t>2017</w:t>
      </w:r>
      <w:r>
        <w:rPr>
          <w:rFonts w:ascii="Times New Roman" w:hAnsi="Times New Roman"/>
        </w:rPr>
        <w:t>) </w:t>
      </w:r>
      <w:r w:rsidRPr="00E565B0">
        <w:rPr>
          <w:rFonts w:ascii="Times New Roman" w:hAnsi="Times New Roman"/>
        </w:rPr>
        <w:t>227</w:t>
      </w:r>
      <w:r>
        <w:rPr>
          <w:rFonts w:ascii="Times New Roman" w:hAnsi="Times New Roman"/>
        </w:rPr>
        <w:t xml:space="preserve"> final du </w:t>
      </w:r>
      <w:r w:rsidRPr="00E565B0">
        <w:rPr>
          <w:rFonts w:ascii="Times New Roman" w:hAnsi="Times New Roman"/>
        </w:rPr>
        <w:t>2</w:t>
      </w:r>
      <w:r>
        <w:rPr>
          <w:rFonts w:ascii="Times New Roman" w:hAnsi="Times New Roman"/>
        </w:rPr>
        <w:t> mai </w:t>
      </w:r>
      <w:r w:rsidRPr="00E565B0">
        <w:rPr>
          <w:rFonts w:ascii="Times New Roman" w:hAnsi="Times New Roman"/>
        </w:rPr>
        <w:t>2017</w:t>
      </w:r>
      <w:r>
        <w:rPr>
          <w:rFonts w:ascii="Times New Roman" w:hAnsi="Times New Roman"/>
        </w:rPr>
        <w:t xml:space="preserve">. Cette communication définissait la position de la Commission à la suite de la résolution du Parlement européen du </w:t>
      </w:r>
      <w:r w:rsidRPr="00E565B0">
        <w:rPr>
          <w:rFonts w:ascii="Times New Roman" w:hAnsi="Times New Roman"/>
        </w:rPr>
        <w:t>2</w:t>
      </w:r>
      <w:r>
        <w:rPr>
          <w:rFonts w:ascii="Times New Roman" w:hAnsi="Times New Roman"/>
        </w:rPr>
        <w:t> mars </w:t>
      </w:r>
      <w:r w:rsidRPr="00E565B0">
        <w:rPr>
          <w:rFonts w:ascii="Times New Roman" w:hAnsi="Times New Roman"/>
        </w:rPr>
        <w:t>2017</w:t>
      </w:r>
      <w:r>
        <w:rPr>
          <w:rFonts w:ascii="Times New Roman" w:hAnsi="Times New Roman"/>
        </w:rPr>
        <w:t xml:space="preserve"> sur les obligations de la Commission quant à la réciprocité en matière de visas et elle rendait compte des progrès accomplis.</w:t>
      </w:r>
    </w:p>
  </w:footnote>
  <w:footnote w:id="9">
    <w:p w:rsidR="00723D3C" w:rsidRPr="00DF2393" w:rsidRDefault="00723D3C" w:rsidP="00723D3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proofErr w:type="gramStart"/>
      <w:r>
        <w:rPr>
          <w:rFonts w:ascii="Times New Roman" w:hAnsi="Times New Roman"/>
        </w:rPr>
        <w:t>COM(</w:t>
      </w:r>
      <w:proofErr w:type="gramEnd"/>
      <w:r w:rsidRPr="00E565B0">
        <w:rPr>
          <w:rFonts w:ascii="Times New Roman" w:hAnsi="Times New Roman"/>
        </w:rPr>
        <w:t>2017</w:t>
      </w:r>
      <w:r>
        <w:rPr>
          <w:rFonts w:ascii="Times New Roman" w:hAnsi="Times New Roman"/>
        </w:rPr>
        <w:t>) </w:t>
      </w:r>
      <w:r w:rsidRPr="00E565B0">
        <w:rPr>
          <w:rFonts w:ascii="Times New Roman" w:hAnsi="Times New Roman"/>
        </w:rPr>
        <w:t>813</w:t>
      </w:r>
      <w:r>
        <w:rPr>
          <w:rFonts w:ascii="Times New Roman" w:hAnsi="Times New Roman"/>
        </w:rPr>
        <w:t xml:space="preserve"> final du </w:t>
      </w:r>
      <w:r w:rsidRPr="00E565B0">
        <w:rPr>
          <w:rFonts w:ascii="Times New Roman" w:hAnsi="Times New Roman"/>
        </w:rPr>
        <w:t>20</w:t>
      </w:r>
      <w:r>
        <w:rPr>
          <w:rFonts w:ascii="Times New Roman" w:hAnsi="Times New Roman"/>
        </w:rPr>
        <w:t> décembre </w:t>
      </w:r>
      <w:r w:rsidRPr="00E565B0">
        <w:rPr>
          <w:rFonts w:ascii="Times New Roman" w:hAnsi="Times New Roman"/>
        </w:rPr>
        <w:t>2017</w:t>
      </w:r>
      <w:r>
        <w:rPr>
          <w:rFonts w:ascii="Times New Roman" w:hAnsi="Times New Roman"/>
        </w:rPr>
        <w:t>.</w:t>
      </w:r>
    </w:p>
  </w:footnote>
  <w:footnote w:id="10">
    <w:p w:rsidR="00723D3C" w:rsidRPr="00DF2393" w:rsidRDefault="00723D3C" w:rsidP="00723D3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proofErr w:type="gramStart"/>
      <w:r>
        <w:rPr>
          <w:rFonts w:ascii="Times New Roman" w:hAnsi="Times New Roman"/>
        </w:rPr>
        <w:t>COM(</w:t>
      </w:r>
      <w:proofErr w:type="gramEnd"/>
      <w:r w:rsidRPr="00E565B0">
        <w:rPr>
          <w:rFonts w:ascii="Times New Roman" w:hAnsi="Times New Roman"/>
        </w:rPr>
        <w:t>2018</w:t>
      </w:r>
      <w:r>
        <w:rPr>
          <w:rFonts w:ascii="Times New Roman" w:hAnsi="Times New Roman"/>
        </w:rPr>
        <w:t>) </w:t>
      </w:r>
      <w:r w:rsidRPr="00E565B0">
        <w:rPr>
          <w:rFonts w:ascii="Times New Roman" w:hAnsi="Times New Roman"/>
        </w:rPr>
        <w:t>855</w:t>
      </w:r>
      <w:r>
        <w:rPr>
          <w:rFonts w:ascii="Times New Roman" w:hAnsi="Times New Roman"/>
        </w:rPr>
        <w:t xml:space="preserve"> final du </w:t>
      </w:r>
      <w:r w:rsidRPr="00E565B0">
        <w:rPr>
          <w:rFonts w:ascii="Times New Roman" w:hAnsi="Times New Roman"/>
        </w:rPr>
        <w:t>19</w:t>
      </w:r>
      <w:r>
        <w:rPr>
          <w:rFonts w:ascii="Times New Roman" w:hAnsi="Times New Roman"/>
        </w:rPr>
        <w:t> décembre </w:t>
      </w:r>
      <w:r w:rsidRPr="00E565B0">
        <w:rPr>
          <w:rFonts w:ascii="Times New Roman" w:hAnsi="Times New Roman"/>
        </w:rPr>
        <w:t>2018</w:t>
      </w:r>
      <w:r>
        <w:rPr>
          <w:rFonts w:ascii="Times New Roman" w:hAnsi="Times New Roman"/>
        </w:rPr>
        <w:t>.</w:t>
      </w:r>
    </w:p>
  </w:footnote>
  <w:footnote w:id="11">
    <w:p w:rsidR="00723D3C" w:rsidRPr="000910F1" w:rsidRDefault="00723D3C" w:rsidP="00723D3C">
      <w:pPr>
        <w:pStyle w:val="FootnoteText"/>
        <w:spacing w:after="0"/>
        <w:rPr>
          <w:rFonts w:ascii="Times New Roman" w:hAnsi="Times New Roman"/>
          <w:lang w:val="pt-PT"/>
        </w:rPr>
      </w:pPr>
      <w:r>
        <w:rPr>
          <w:rStyle w:val="FootnoteReference"/>
          <w:rFonts w:ascii="Times New Roman" w:hAnsi="Times New Roman"/>
        </w:rPr>
        <w:footnoteRef/>
      </w:r>
      <w:r w:rsidRPr="000910F1">
        <w:rPr>
          <w:rFonts w:ascii="Times New Roman" w:hAnsi="Times New Roman"/>
          <w:lang w:val="pt-PT"/>
        </w:rPr>
        <w:t xml:space="preserve"> </w:t>
      </w:r>
      <w:r w:rsidRPr="000910F1">
        <w:rPr>
          <w:rFonts w:ascii="Times New Roman" w:hAnsi="Times New Roman"/>
          <w:lang w:val="pt-PT"/>
        </w:rPr>
        <w:tab/>
      </w:r>
      <w:proofErr w:type="gramStart"/>
      <w:r w:rsidRPr="000910F1">
        <w:rPr>
          <w:rFonts w:ascii="Times New Roman" w:hAnsi="Times New Roman"/>
          <w:lang w:val="pt-PT"/>
        </w:rPr>
        <w:t>COM(</w:t>
      </w:r>
      <w:proofErr w:type="gramEnd"/>
      <w:r w:rsidRPr="000910F1">
        <w:rPr>
          <w:rFonts w:ascii="Times New Roman" w:hAnsi="Times New Roman"/>
          <w:lang w:val="pt-PT"/>
        </w:rPr>
        <w:t xml:space="preserve">2020) 119 final </w:t>
      </w:r>
      <w:proofErr w:type="spellStart"/>
      <w:r w:rsidRPr="000910F1">
        <w:rPr>
          <w:rFonts w:ascii="Times New Roman" w:hAnsi="Times New Roman"/>
          <w:lang w:val="pt-PT"/>
        </w:rPr>
        <w:t>du</w:t>
      </w:r>
      <w:proofErr w:type="spellEnd"/>
      <w:r w:rsidRPr="000910F1">
        <w:rPr>
          <w:rFonts w:ascii="Times New Roman" w:hAnsi="Times New Roman"/>
          <w:lang w:val="pt-PT"/>
        </w:rPr>
        <w:t xml:space="preserve"> 23 </w:t>
      </w:r>
      <w:proofErr w:type="spellStart"/>
      <w:r w:rsidRPr="000910F1">
        <w:rPr>
          <w:rFonts w:ascii="Times New Roman" w:hAnsi="Times New Roman"/>
          <w:lang w:val="pt-PT"/>
        </w:rPr>
        <w:t>mars</w:t>
      </w:r>
      <w:proofErr w:type="spellEnd"/>
      <w:r w:rsidRPr="000910F1">
        <w:rPr>
          <w:rFonts w:ascii="Times New Roman" w:hAnsi="Times New Roman"/>
          <w:lang w:val="pt-PT"/>
        </w:rPr>
        <w:t> 2020.</w:t>
      </w:r>
    </w:p>
  </w:footnote>
  <w:footnote w:id="12">
    <w:p w:rsidR="00723D3C" w:rsidRPr="000910F1" w:rsidRDefault="00723D3C" w:rsidP="00723D3C">
      <w:pPr>
        <w:pStyle w:val="FootnoteText"/>
        <w:spacing w:after="0"/>
        <w:rPr>
          <w:rFonts w:ascii="Times New Roman" w:hAnsi="Times New Roman"/>
          <w:szCs w:val="24"/>
          <w:lang w:val="pt-PT"/>
        </w:rPr>
      </w:pPr>
      <w:r>
        <w:rPr>
          <w:rStyle w:val="FootnoteReference"/>
        </w:rPr>
        <w:footnoteRef/>
      </w:r>
      <w:r w:rsidRPr="000910F1">
        <w:rPr>
          <w:lang w:val="pt-PT"/>
        </w:rPr>
        <w:t xml:space="preserve"> </w:t>
      </w:r>
      <w:r w:rsidRPr="000910F1">
        <w:rPr>
          <w:lang w:val="pt-PT"/>
        </w:rPr>
        <w:tab/>
      </w:r>
      <w:proofErr w:type="gramStart"/>
      <w:r w:rsidRPr="000910F1">
        <w:rPr>
          <w:rFonts w:ascii="Times New Roman" w:hAnsi="Times New Roman"/>
          <w:szCs w:val="24"/>
          <w:lang w:val="pt-PT"/>
        </w:rPr>
        <w:t>COM(</w:t>
      </w:r>
      <w:proofErr w:type="gramEnd"/>
      <w:r w:rsidRPr="000910F1">
        <w:rPr>
          <w:rFonts w:ascii="Times New Roman" w:hAnsi="Times New Roman"/>
          <w:szCs w:val="24"/>
          <w:lang w:val="pt-PT"/>
        </w:rPr>
        <w:t>2020) 851 final.</w:t>
      </w:r>
    </w:p>
  </w:footnote>
  <w:footnote w:id="13">
    <w:p w:rsidR="00723D3C" w:rsidRPr="0042115D" w:rsidRDefault="00723D3C" w:rsidP="00723D3C">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Article </w:t>
      </w:r>
      <w:r w:rsidRPr="00E565B0">
        <w:rPr>
          <w:rFonts w:ascii="Times New Roman" w:hAnsi="Times New Roman"/>
        </w:rPr>
        <w:t>7</w:t>
      </w:r>
      <w:r>
        <w:rPr>
          <w:rFonts w:ascii="Times New Roman" w:hAnsi="Times New Roman"/>
        </w:rPr>
        <w:t>, point d), du règlement (UE) </w:t>
      </w:r>
      <w:r w:rsidRPr="00E565B0">
        <w:rPr>
          <w:rFonts w:ascii="Times New Roman" w:hAnsi="Times New Roman"/>
        </w:rPr>
        <w:t>2018</w:t>
      </w:r>
      <w:r>
        <w:rPr>
          <w:rFonts w:ascii="Times New Roman" w:hAnsi="Times New Roman"/>
        </w:rPr>
        <w:t>/</w:t>
      </w:r>
      <w:r w:rsidRPr="00E565B0">
        <w:rPr>
          <w:rFonts w:ascii="Times New Roman" w:hAnsi="Times New Roman"/>
        </w:rPr>
        <w:t>1806</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3C"/>
    <w:rsid w:val="0065281F"/>
    <w:rsid w:val="00723D3C"/>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5A2B2-66D0-4CA8-8CB6-6EE04164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723D3C"/>
    <w:pPr>
      <w:spacing w:after="240" w:line="240" w:lineRule="auto"/>
      <w:ind w:left="357" w:hanging="357"/>
      <w:jc w:val="both"/>
    </w:pPr>
    <w:rPr>
      <w:rFonts w:ascii="Courier New" w:eastAsia="Times New Roman" w:hAnsi="Courier New" w:cs="Times New Roman"/>
      <w:sz w:val="20"/>
      <w:szCs w:val="20"/>
      <w:lang w:val="fr-FR" w:eastAsia="en-GB"/>
    </w:rPr>
  </w:style>
  <w:style w:type="character" w:customStyle="1" w:styleId="FootnoteTextChar">
    <w:name w:val="Footnote Text Char"/>
    <w:basedOn w:val="DefaultParagraphFont"/>
    <w:uiPriority w:val="99"/>
    <w:semiHidden/>
    <w:rsid w:val="00723D3C"/>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723D3C"/>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723D3C"/>
    <w:rPr>
      <w:rFonts w:ascii="Courier New" w:eastAsia="Times New Roman" w:hAnsi="Courier New" w:cs="Times New Roman"/>
      <w:sz w:val="20"/>
      <w:szCs w:val="20"/>
      <w:lang w:val="fr-FR"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723D3C"/>
    <w:pPr>
      <w:spacing w:line="240" w:lineRule="exact"/>
    </w:pPr>
    <w:rPr>
      <w:vertAlign w:val="superscript"/>
    </w:rPr>
  </w:style>
  <w:style w:type="paragraph" w:styleId="NormalWeb">
    <w:name w:val="Normal (Web)"/>
    <w:aliases w:val=" webb,webb"/>
    <w:basedOn w:val="Normal"/>
    <w:link w:val="NormalWebChar"/>
    <w:uiPriority w:val="99"/>
    <w:rsid w:val="00723D3C"/>
    <w:pPr>
      <w:spacing w:before="100" w:beforeAutospacing="1" w:after="100" w:afterAutospacing="1" w:line="240" w:lineRule="auto"/>
    </w:pPr>
    <w:rPr>
      <w:rFonts w:ascii="Times New Roman" w:eastAsia="Times New Roman" w:hAnsi="Times New Roman" w:cs="Times New Roman"/>
      <w:sz w:val="24"/>
      <w:szCs w:val="24"/>
      <w:lang w:val="fr-FR" w:eastAsia="en-GB"/>
    </w:rPr>
  </w:style>
  <w:style w:type="character" w:customStyle="1" w:styleId="NormalWebChar">
    <w:name w:val="Normal (Web) Char"/>
    <w:aliases w:val=" webb Char,webb Char"/>
    <w:link w:val="NormalWeb"/>
    <w:uiPriority w:val="99"/>
    <w:rsid w:val="00723D3C"/>
    <w:rPr>
      <w:rFonts w:ascii="Times New Roman" w:eastAsia="Times New Roman" w:hAnsi="Times New Roman" w:cs="Times New Roman"/>
      <w:sz w:val="24"/>
      <w:szCs w:val="24"/>
      <w:lang w:val="fr-FR" w:eastAsia="en-GB"/>
    </w:rPr>
  </w:style>
  <w:style w:type="paragraph" w:customStyle="1" w:styleId="Text1">
    <w:name w:val="Text 1"/>
    <w:basedOn w:val="Normal"/>
    <w:link w:val="Text1Char"/>
    <w:rsid w:val="00723D3C"/>
    <w:pPr>
      <w:spacing w:after="240" w:line="240" w:lineRule="auto"/>
      <w:ind w:left="482"/>
      <w:jc w:val="both"/>
    </w:pPr>
    <w:rPr>
      <w:rFonts w:ascii="Courier New" w:eastAsia="Times New Roman" w:hAnsi="Courier New" w:cs="Times New Roman"/>
      <w:sz w:val="24"/>
      <w:szCs w:val="20"/>
      <w:lang w:val="fr-FR" w:eastAsia="en-GB"/>
    </w:rPr>
  </w:style>
  <w:style w:type="character" w:customStyle="1" w:styleId="Text1Char">
    <w:name w:val="Text 1 Char"/>
    <w:link w:val="Text1"/>
    <w:rsid w:val="00723D3C"/>
    <w:rPr>
      <w:rFonts w:ascii="Courier New" w:eastAsia="Times New Roman" w:hAnsi="Courier New" w:cs="Times New Roman"/>
      <w:sz w:val="24"/>
      <w:szCs w:val="20"/>
      <w:lang w:val="fr-FR" w:eastAsia="en-GB"/>
    </w:rPr>
  </w:style>
  <w:style w:type="character" w:customStyle="1" w:styleId="epname">
    <w:name w:val="ep_name"/>
    <w:basedOn w:val="DefaultParagraphFont"/>
    <w:rsid w:val="0072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6419</Characters>
  <Application>Microsoft Office Word</Application>
  <DocSecurity>0</DocSecurity>
  <Lines>91</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2021-03-03T16:15:00Z</dcterms:created>
  <dcterms:modified xsi:type="dcterms:W3CDTF">2021-03-03T16:15:00Z</dcterms:modified>
</cp:coreProperties>
</file>