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B35" w:rsidRPr="00627B35" w:rsidRDefault="00627B35" w:rsidP="00627B35">
      <w:pPr>
        <w:spacing w:after="600" w:line="240" w:lineRule="auto"/>
        <w:jc w:val="center"/>
        <w:rPr>
          <w:rFonts w:eastAsia="Times New Roman" w:cs="Times New Roman"/>
          <w:b/>
          <w:szCs w:val="24"/>
          <w:lang w:val="fr-FR" w:eastAsia="en-GB"/>
        </w:rPr>
      </w:pPr>
      <w:bookmarkStart w:id="0" w:name="MeToo"/>
      <w:r w:rsidRPr="00627B35">
        <w:rPr>
          <w:rFonts w:eastAsia="Times New Roman" w:cs="Times New Roman"/>
          <w:b/>
          <w:szCs w:val="24"/>
          <w:lang w:val="fr-FR" w:eastAsia="en-GB"/>
        </w:rPr>
        <w:t xml:space="preserve">Suite donnée à la résolution non législative du Parlement européen </w:t>
      </w:r>
      <w:r w:rsidRPr="00627B35">
        <w:rPr>
          <w:rFonts w:eastAsia="Times New Roman" w:cs="Times New Roman"/>
          <w:b/>
          <w:bCs/>
          <w:szCs w:val="24"/>
          <w:lang w:val="fr-FR" w:eastAsia="en-GB"/>
        </w:rPr>
        <w:t xml:space="preserve">sur </w:t>
      </w:r>
      <w:proofErr w:type="spellStart"/>
      <w:r w:rsidRPr="00627B35">
        <w:rPr>
          <w:rFonts w:eastAsia="Times New Roman" w:cs="Times New Roman"/>
          <w:b/>
          <w:bCs/>
          <w:szCs w:val="24"/>
          <w:lang w:val="fr-FR" w:eastAsia="en-GB"/>
        </w:rPr>
        <w:t>MeToo</w:t>
      </w:r>
      <w:proofErr w:type="spellEnd"/>
      <w:r w:rsidRPr="00627B35">
        <w:rPr>
          <w:rFonts w:eastAsia="Times New Roman" w:cs="Times New Roman"/>
          <w:b/>
          <w:bCs/>
          <w:szCs w:val="24"/>
          <w:lang w:val="fr-FR" w:eastAsia="en-GB"/>
        </w:rPr>
        <w:t xml:space="preserve"> et le harcèlement: les conséquences pour les institutions de l’Union européenne</w:t>
      </w:r>
      <w:bookmarkEnd w:id="0"/>
    </w:p>
    <w:p w:rsidR="00627B35" w:rsidRPr="00627B35" w:rsidRDefault="00627B35" w:rsidP="00627B35">
      <w:pPr>
        <w:spacing w:after="240" w:line="240" w:lineRule="auto"/>
        <w:ind w:left="720" w:hanging="720"/>
        <w:jc w:val="both"/>
        <w:rPr>
          <w:rFonts w:eastAsia="Times New Roman" w:cs="Times New Roman"/>
          <w:b/>
          <w:szCs w:val="24"/>
          <w:lang w:val="fr-FR" w:eastAsia="en-GB"/>
        </w:rPr>
      </w:pPr>
      <w:r w:rsidRPr="00627B35">
        <w:rPr>
          <w:rFonts w:eastAsia="Times New Roman" w:cs="Times New Roman"/>
          <w:b/>
          <w:szCs w:val="24"/>
          <w:lang w:val="fr-FR" w:eastAsia="en-GB"/>
        </w:rPr>
        <w:t>1.</w:t>
      </w:r>
      <w:r w:rsidRPr="00627B35">
        <w:rPr>
          <w:rFonts w:eastAsia="Times New Roman" w:cs="Times New Roman"/>
          <w:b/>
          <w:szCs w:val="24"/>
          <w:lang w:val="fr-FR" w:eastAsia="en-GB"/>
        </w:rPr>
        <w:tab/>
        <w:t>Résolution présentée conformément à l’article 136, paragraphe 5, du règlement intérieur du Parlement européen</w:t>
      </w:r>
    </w:p>
    <w:p w:rsidR="00627B35" w:rsidRPr="00627B35" w:rsidRDefault="00627B35" w:rsidP="00627B35">
      <w:pPr>
        <w:spacing w:after="240" w:line="240" w:lineRule="auto"/>
        <w:jc w:val="both"/>
        <w:rPr>
          <w:rFonts w:eastAsia="Times New Roman" w:cs="Times New Roman"/>
          <w:i/>
          <w:szCs w:val="24"/>
          <w:lang w:val="fr-FR" w:eastAsia="en-GB"/>
        </w:rPr>
      </w:pPr>
      <w:r w:rsidRPr="00627B35">
        <w:rPr>
          <w:rFonts w:eastAsia="Times New Roman" w:cs="Times New Roman"/>
          <w:b/>
          <w:szCs w:val="24"/>
          <w:lang w:val="fr-FR" w:eastAsia="en-GB"/>
        </w:rPr>
        <w:t>2.</w:t>
      </w:r>
      <w:r w:rsidRPr="00627B35">
        <w:rPr>
          <w:rFonts w:eastAsia="Times New Roman" w:cs="Times New Roman"/>
          <w:b/>
          <w:szCs w:val="24"/>
          <w:lang w:val="fr-FR" w:eastAsia="en-GB"/>
        </w:rPr>
        <w:tab/>
        <w:t xml:space="preserve">Numéro de référence: </w:t>
      </w:r>
      <w:r w:rsidRPr="00627B35">
        <w:rPr>
          <w:rFonts w:eastAsia="Times New Roman" w:cs="Times New Roman"/>
          <w:szCs w:val="20"/>
          <w:lang w:val="fr-FR" w:eastAsia="en-GB"/>
        </w:rPr>
        <w:t>2021/2986 (</w:t>
      </w:r>
      <w:proofErr w:type="spellStart"/>
      <w:r w:rsidRPr="00627B35">
        <w:rPr>
          <w:rFonts w:eastAsia="Times New Roman" w:cs="Times New Roman"/>
          <w:szCs w:val="20"/>
          <w:lang w:val="fr-FR" w:eastAsia="en-GB"/>
        </w:rPr>
        <w:t>RSP</w:t>
      </w:r>
      <w:proofErr w:type="spellEnd"/>
      <w:r w:rsidRPr="00627B35">
        <w:rPr>
          <w:rFonts w:eastAsia="Times New Roman" w:cs="Times New Roman"/>
          <w:szCs w:val="20"/>
          <w:lang w:val="fr-FR" w:eastAsia="en-GB"/>
        </w:rPr>
        <w:t>) / B9-0587/2021 / P9_TA-</w:t>
      </w:r>
      <w:proofErr w:type="gramStart"/>
      <w:r w:rsidRPr="00627B35">
        <w:rPr>
          <w:rFonts w:eastAsia="Times New Roman" w:cs="Times New Roman"/>
          <w:szCs w:val="20"/>
          <w:lang w:val="fr-FR" w:eastAsia="en-GB"/>
        </w:rPr>
        <w:t>PROV(</w:t>
      </w:r>
      <w:proofErr w:type="gramEnd"/>
      <w:r w:rsidRPr="00627B35">
        <w:rPr>
          <w:rFonts w:eastAsia="Times New Roman" w:cs="Times New Roman"/>
          <w:szCs w:val="20"/>
          <w:lang w:val="fr-FR" w:eastAsia="en-GB"/>
        </w:rPr>
        <w:t>2021)0514</w:t>
      </w:r>
    </w:p>
    <w:p w:rsidR="00627B35" w:rsidRPr="00627B35" w:rsidRDefault="00627B35" w:rsidP="00627B35">
      <w:pPr>
        <w:spacing w:after="240" w:line="240" w:lineRule="auto"/>
        <w:jc w:val="both"/>
        <w:rPr>
          <w:rFonts w:eastAsia="Times New Roman" w:cs="Times New Roman"/>
          <w:szCs w:val="24"/>
          <w:lang w:val="fr-FR" w:eastAsia="en-GB"/>
        </w:rPr>
      </w:pPr>
      <w:r w:rsidRPr="00627B35">
        <w:rPr>
          <w:rFonts w:eastAsia="Times New Roman" w:cs="Times New Roman"/>
          <w:b/>
          <w:szCs w:val="24"/>
          <w:lang w:val="fr-FR" w:eastAsia="en-GB"/>
        </w:rPr>
        <w:t>3.</w:t>
      </w:r>
      <w:r w:rsidRPr="00627B35">
        <w:rPr>
          <w:rFonts w:eastAsia="Times New Roman" w:cs="Times New Roman"/>
          <w:b/>
          <w:szCs w:val="24"/>
          <w:lang w:val="fr-FR" w:eastAsia="en-GB"/>
        </w:rPr>
        <w:tab/>
        <w:t>Date d’adoption de la résolution:</w:t>
      </w:r>
      <w:r w:rsidRPr="00627B35">
        <w:rPr>
          <w:rFonts w:eastAsia="Times New Roman" w:cs="Times New Roman"/>
          <w:szCs w:val="24"/>
          <w:lang w:val="fr-FR" w:eastAsia="en-GB"/>
        </w:rPr>
        <w:t xml:space="preserve"> 16 décembre 2021</w:t>
      </w:r>
    </w:p>
    <w:p w:rsidR="00627B35" w:rsidRPr="00627B35" w:rsidRDefault="00627B35" w:rsidP="00627B35">
      <w:pPr>
        <w:spacing w:after="240" w:line="240" w:lineRule="auto"/>
        <w:ind w:left="720" w:hanging="720"/>
        <w:jc w:val="both"/>
        <w:rPr>
          <w:rFonts w:eastAsia="Times New Roman" w:cs="Times New Roman"/>
          <w:szCs w:val="24"/>
          <w:lang w:val="fr-FR" w:eastAsia="en-GB"/>
        </w:rPr>
      </w:pPr>
      <w:r w:rsidRPr="00627B35">
        <w:rPr>
          <w:rFonts w:eastAsia="Times New Roman" w:cs="Times New Roman"/>
          <w:b/>
          <w:szCs w:val="24"/>
          <w:lang w:val="fr-FR" w:eastAsia="en-GB"/>
        </w:rPr>
        <w:t>4.</w:t>
      </w:r>
      <w:r w:rsidRPr="00627B35">
        <w:rPr>
          <w:rFonts w:eastAsia="Times New Roman" w:cs="Times New Roman"/>
          <w:b/>
          <w:szCs w:val="24"/>
          <w:lang w:val="fr-FR" w:eastAsia="en-GB"/>
        </w:rPr>
        <w:tab/>
        <w:t xml:space="preserve">Commission parlementaire compétente: </w:t>
      </w:r>
      <w:r w:rsidRPr="00627B35">
        <w:rPr>
          <w:rFonts w:eastAsia="Times New Roman" w:cs="Times New Roman"/>
          <w:szCs w:val="24"/>
          <w:lang w:val="fr-FR" w:eastAsia="en-GB"/>
        </w:rPr>
        <w:t>commission des droits des femmes et de l’égalité des genres (</w:t>
      </w:r>
      <w:proofErr w:type="spellStart"/>
      <w:r w:rsidRPr="00627B35">
        <w:rPr>
          <w:rFonts w:eastAsia="Times New Roman" w:cs="Times New Roman"/>
          <w:szCs w:val="24"/>
          <w:lang w:val="fr-FR" w:eastAsia="en-GB"/>
        </w:rPr>
        <w:t>FEMM</w:t>
      </w:r>
      <w:proofErr w:type="spellEnd"/>
      <w:r w:rsidRPr="00627B35">
        <w:rPr>
          <w:rFonts w:eastAsia="Times New Roman" w:cs="Times New Roman"/>
          <w:szCs w:val="24"/>
          <w:lang w:val="fr-FR" w:eastAsia="en-GB"/>
        </w:rPr>
        <w:t>)</w:t>
      </w:r>
    </w:p>
    <w:p w:rsidR="00627B35" w:rsidRPr="00627B35" w:rsidRDefault="00627B35" w:rsidP="00627B35">
      <w:pPr>
        <w:widowControl w:val="0"/>
        <w:spacing w:after="240" w:line="240" w:lineRule="auto"/>
        <w:jc w:val="both"/>
        <w:rPr>
          <w:rFonts w:eastAsia="Times New Roman" w:cs="Times New Roman"/>
          <w:b/>
          <w:szCs w:val="24"/>
          <w:lang w:val="fr-FR" w:eastAsia="en-GB"/>
        </w:rPr>
      </w:pPr>
      <w:r w:rsidRPr="00627B35">
        <w:rPr>
          <w:rFonts w:eastAsia="Times New Roman" w:cs="Times New Roman"/>
          <w:b/>
          <w:szCs w:val="24"/>
          <w:lang w:val="fr-FR" w:eastAsia="en-GB"/>
        </w:rPr>
        <w:t>5.</w:t>
      </w:r>
      <w:r w:rsidRPr="00627B35">
        <w:rPr>
          <w:rFonts w:eastAsia="Times New Roman" w:cs="Times New Roman"/>
          <w:b/>
          <w:szCs w:val="24"/>
          <w:lang w:val="fr-FR" w:eastAsia="en-GB"/>
        </w:rPr>
        <w:tab/>
        <w:t>Analyse/évaluation succincte de la résolution et des demandes qu’elle contient:</w:t>
      </w:r>
    </w:p>
    <w:p w:rsidR="00627B35" w:rsidRPr="00627B35" w:rsidRDefault="00627B35" w:rsidP="00627B35">
      <w:pPr>
        <w:widowControl w:val="0"/>
        <w:spacing w:after="120" w:line="240" w:lineRule="auto"/>
        <w:jc w:val="both"/>
        <w:rPr>
          <w:rFonts w:eastAsia="Times New Roman" w:cs="Times New Roman"/>
          <w:szCs w:val="24"/>
          <w:lang w:val="fr-FR" w:eastAsia="en-GB"/>
        </w:rPr>
      </w:pPr>
      <w:r w:rsidRPr="00627B35">
        <w:rPr>
          <w:rFonts w:eastAsia="Times New Roman" w:cs="Times New Roman"/>
          <w:szCs w:val="24"/>
          <w:lang w:val="fr-FR" w:eastAsia="en-GB"/>
        </w:rPr>
        <w:t>Dans la résolution, le Parlement condamne toute forme de violence sexiste, y compris la violence sexuelle, et toute forme de harcèlement, notamment le harcèlement sexuel. Il réaffirme sa détermination à lutter contre la violence à caractère sexiste et sa conviction qu’une directive globale couvrant toutes les formes que prend la violence à caractère sexiste est le meilleur moyen de mettre fin à celle-ci. Il demande à nouveau au Conseil de conclure d’urgence la ratification de la convention d’Istanbul, sur la base d’une adhésion large sans limitations.</w:t>
      </w:r>
    </w:p>
    <w:p w:rsidR="00627B35" w:rsidRPr="00627B35" w:rsidRDefault="00627B35" w:rsidP="00627B35">
      <w:pPr>
        <w:widowControl w:val="0"/>
        <w:spacing w:after="120" w:line="240" w:lineRule="auto"/>
        <w:jc w:val="both"/>
        <w:rPr>
          <w:rFonts w:eastAsia="Times New Roman" w:cs="Times New Roman"/>
          <w:szCs w:val="24"/>
          <w:lang w:val="fr-FR" w:eastAsia="en-GB"/>
        </w:rPr>
      </w:pPr>
      <w:r w:rsidRPr="00627B35">
        <w:rPr>
          <w:rFonts w:eastAsia="Times New Roman" w:cs="Times New Roman"/>
          <w:szCs w:val="24"/>
          <w:lang w:val="fr-FR" w:eastAsia="en-GB"/>
        </w:rPr>
        <w:t>La résolution souligne le rôle de la prévention et de la sensibilisation dans la lutte contre le harcèlement sexuel. La prévention fait partie d’un cadre de mesures de soutien plus large comprenant des mécanismes de recours formels et informels et un soutien psychosocial, selon les besoins.</w:t>
      </w:r>
    </w:p>
    <w:p w:rsidR="00627B35" w:rsidRPr="00627B35" w:rsidRDefault="00627B35" w:rsidP="00627B35">
      <w:pPr>
        <w:widowControl w:val="0"/>
        <w:spacing w:after="120" w:line="240" w:lineRule="auto"/>
        <w:jc w:val="both"/>
        <w:rPr>
          <w:rFonts w:eastAsia="Times New Roman" w:cs="Times New Roman"/>
          <w:szCs w:val="24"/>
          <w:lang w:val="fr-FR" w:eastAsia="en-GB"/>
        </w:rPr>
      </w:pPr>
      <w:r w:rsidRPr="00627B35">
        <w:rPr>
          <w:rFonts w:eastAsia="Times New Roman" w:cs="Times New Roman"/>
          <w:szCs w:val="24"/>
          <w:lang w:val="fr-FR" w:eastAsia="en-GB"/>
        </w:rPr>
        <w:t xml:space="preserve">Dans sa résolution, le Parlement demande un renforcement de </w:t>
      </w:r>
      <w:r w:rsidRPr="00627B35">
        <w:rPr>
          <w:rFonts w:eastAsia="Times New Roman" w:cs="Times New Roman"/>
          <w:b/>
          <w:szCs w:val="24"/>
          <w:lang w:val="fr-FR" w:eastAsia="en-GB"/>
        </w:rPr>
        <w:t xml:space="preserve">sa propre politique </w:t>
      </w:r>
      <w:r w:rsidRPr="00627B35">
        <w:rPr>
          <w:rFonts w:eastAsia="Times New Roman" w:cs="Times New Roman"/>
          <w:szCs w:val="24"/>
          <w:lang w:val="fr-FR" w:eastAsia="en-GB"/>
        </w:rPr>
        <w:t>de lutte contre le harcèlement sur le lieu de travail (paragraphes 9 à 17).</w:t>
      </w:r>
    </w:p>
    <w:p w:rsidR="00627B35" w:rsidRPr="00627B35" w:rsidRDefault="00627B35" w:rsidP="00627B35">
      <w:pPr>
        <w:widowControl w:val="0"/>
        <w:spacing w:after="120" w:line="240" w:lineRule="auto"/>
        <w:jc w:val="both"/>
        <w:rPr>
          <w:rFonts w:eastAsia="Times New Roman" w:cs="Times New Roman"/>
          <w:szCs w:val="24"/>
          <w:lang w:val="fr-FR" w:eastAsia="en-GB"/>
        </w:rPr>
      </w:pPr>
      <w:r w:rsidRPr="00627B35">
        <w:rPr>
          <w:rFonts w:eastAsia="Times New Roman" w:cs="Times New Roman"/>
          <w:szCs w:val="24"/>
          <w:lang w:val="fr-FR" w:eastAsia="en-GB"/>
        </w:rPr>
        <w:t xml:space="preserve">Aux paragraphes 18 à 23, le Parlement </w:t>
      </w:r>
      <w:r w:rsidRPr="00627B35">
        <w:rPr>
          <w:rFonts w:eastAsia="Times New Roman" w:cs="Times New Roman"/>
          <w:b/>
          <w:szCs w:val="24"/>
          <w:lang w:val="fr-FR" w:eastAsia="en-GB"/>
        </w:rPr>
        <w:t>invite les institutions</w:t>
      </w:r>
      <w:r w:rsidRPr="00627B35">
        <w:rPr>
          <w:rFonts w:eastAsia="Times New Roman" w:cs="Times New Roman"/>
          <w:szCs w:val="24"/>
          <w:lang w:val="fr-FR" w:eastAsia="en-GB"/>
        </w:rPr>
        <w:t xml:space="preserve"> à travailler pour: échanger des bonnes pratiques en matière de politiques de prévention du harcèlement (paragraphe 18); mettre en place un réseau de personnes de confiance dans les institutions (paragraphe 19); adapter les politiques internes, afin d’assurer l’accès de l’ensemble du personnel, y compris </w:t>
      </w:r>
      <w:proofErr w:type="gramStart"/>
      <w:r w:rsidRPr="00627B35">
        <w:rPr>
          <w:rFonts w:eastAsia="Times New Roman" w:cs="Times New Roman"/>
          <w:szCs w:val="24"/>
          <w:lang w:val="fr-FR" w:eastAsia="en-GB"/>
        </w:rPr>
        <w:t>les</w:t>
      </w:r>
      <w:proofErr w:type="gramEnd"/>
      <w:r w:rsidRPr="00627B35">
        <w:rPr>
          <w:rFonts w:eastAsia="Times New Roman" w:cs="Times New Roman"/>
          <w:szCs w:val="24"/>
          <w:lang w:val="fr-FR" w:eastAsia="en-GB"/>
        </w:rPr>
        <w:t xml:space="preserve"> stagiaires et contractants (paragraphe 20); veiller à ce que les institutions mettent également en œuvre le principe fondamental de l’égalité entre les hommes et les femmes à tous les niveaux de leur personnel et de leur encadrement, en tenant compte des nouvelles conditions de travail à distance et des enseignements tirés à cet égard de la pandémie de COVID-19 (paragraphe 23).</w:t>
      </w:r>
    </w:p>
    <w:p w:rsidR="0052667D" w:rsidRDefault="00627B35" w:rsidP="00627B35">
      <w:pPr>
        <w:widowControl w:val="0"/>
        <w:spacing w:after="120" w:line="240" w:lineRule="auto"/>
        <w:jc w:val="both"/>
        <w:rPr>
          <w:rFonts w:eastAsia="Times New Roman" w:cs="Times New Roman"/>
          <w:szCs w:val="24"/>
          <w:lang w:val="fr-FR" w:eastAsia="en-GB"/>
        </w:rPr>
      </w:pPr>
      <w:r w:rsidRPr="00627B35">
        <w:rPr>
          <w:rFonts w:eastAsia="Times New Roman" w:cs="Times New Roman"/>
          <w:szCs w:val="24"/>
          <w:lang w:val="fr-FR" w:eastAsia="en-GB"/>
        </w:rPr>
        <w:t xml:space="preserve">Dans sa résolution, le Parlement </w:t>
      </w:r>
      <w:r w:rsidRPr="00627B35">
        <w:rPr>
          <w:rFonts w:eastAsia="Times New Roman" w:cs="Times New Roman"/>
          <w:b/>
          <w:szCs w:val="24"/>
          <w:lang w:val="fr-FR" w:eastAsia="en-GB"/>
        </w:rPr>
        <w:t>invite la Commission</w:t>
      </w:r>
      <w:r w:rsidRPr="00627B35">
        <w:rPr>
          <w:rFonts w:eastAsia="Times New Roman" w:cs="Times New Roman"/>
          <w:szCs w:val="24"/>
          <w:lang w:val="fr-FR" w:eastAsia="en-GB"/>
        </w:rPr>
        <w:t xml:space="preserve"> à: prévoir des instruments suffisants pour traiter les cas de harcèlement, éviter les préjudices secondaires pour les victimes et garantir des réponses rapides lors de la révision du statut des fonctionnaires de l’Union (paragraphe 22); surveiller la mise en œuvre de ces règles contre le harcèlement et du principe de plans d’action en faveur de l’égalité entre les hommes et les femmes afin de promouvoir et de renforcer davantage l’égalité entre les femmes et les hommes au sein des agences et organes de l’Union (paragraphe 23).</w:t>
      </w:r>
    </w:p>
    <w:p w:rsidR="0052667D" w:rsidRDefault="0052667D">
      <w:pPr>
        <w:rPr>
          <w:rFonts w:eastAsia="Times New Roman" w:cs="Times New Roman"/>
          <w:szCs w:val="24"/>
          <w:lang w:val="fr-FR" w:eastAsia="en-GB"/>
        </w:rPr>
      </w:pPr>
      <w:r>
        <w:rPr>
          <w:rFonts w:eastAsia="Times New Roman" w:cs="Times New Roman"/>
          <w:szCs w:val="24"/>
          <w:lang w:val="fr-FR" w:eastAsia="en-GB"/>
        </w:rPr>
        <w:br w:type="page"/>
      </w:r>
    </w:p>
    <w:p w:rsidR="00627B35" w:rsidRPr="00627B35" w:rsidRDefault="00627B35" w:rsidP="00627B35">
      <w:pPr>
        <w:widowControl w:val="0"/>
        <w:spacing w:after="240" w:line="240" w:lineRule="auto"/>
        <w:ind w:left="720" w:hanging="720"/>
        <w:jc w:val="both"/>
        <w:rPr>
          <w:rFonts w:eastAsia="Times New Roman" w:cs="Times New Roman"/>
          <w:b/>
          <w:szCs w:val="24"/>
          <w:lang w:val="fr-FR" w:eastAsia="en-GB"/>
        </w:rPr>
      </w:pPr>
      <w:r w:rsidRPr="00627B35">
        <w:rPr>
          <w:rFonts w:eastAsia="Times New Roman" w:cs="Times New Roman"/>
          <w:b/>
          <w:szCs w:val="24"/>
          <w:lang w:val="fr-FR" w:eastAsia="en-GB"/>
        </w:rPr>
        <w:lastRenderedPageBreak/>
        <w:t>6.</w:t>
      </w:r>
      <w:r w:rsidRPr="00627B35">
        <w:rPr>
          <w:rFonts w:eastAsia="Times New Roman" w:cs="Times New Roman"/>
          <w:b/>
          <w:szCs w:val="24"/>
          <w:lang w:val="fr-FR" w:eastAsia="en-GB"/>
        </w:rPr>
        <w:tab/>
        <w:t>Réponse à ces demandes et aperçu des mesures que la Commission a prises ou envisage de prendre:</w:t>
      </w:r>
    </w:p>
    <w:p w:rsidR="00627B35" w:rsidRPr="00627B35" w:rsidRDefault="00627B35" w:rsidP="00627B35">
      <w:pPr>
        <w:widowControl w:val="0"/>
        <w:spacing w:after="120" w:line="240" w:lineRule="auto"/>
        <w:jc w:val="both"/>
        <w:rPr>
          <w:rFonts w:eastAsia="Times New Roman" w:cs="Times New Roman"/>
          <w:szCs w:val="24"/>
          <w:lang w:val="fr-FR" w:eastAsia="en-GB"/>
        </w:rPr>
      </w:pPr>
      <w:r w:rsidRPr="00627B35">
        <w:rPr>
          <w:rFonts w:eastAsia="Times New Roman" w:cs="Times New Roman"/>
          <w:szCs w:val="24"/>
          <w:lang w:val="fr-FR" w:eastAsia="en-GB"/>
        </w:rPr>
        <w:t>Lutter contre la violence à caractère sexiste et le harcèlement est une priorité pour la Commission européenne. Étant donné la prévalence de ce type de violence dans l’Union, d’autres actions sont nécessaires au niveau de cette dernière. Le premier pilier de la stratégie de l’UE en faveur de l’égalité entre les hommes et les femmes 2020-2025</w:t>
      </w:r>
      <w:r w:rsidRPr="00627B35">
        <w:rPr>
          <w:rFonts w:eastAsia="Times New Roman" w:cs="Times New Roman"/>
          <w:szCs w:val="24"/>
          <w:vertAlign w:val="superscript"/>
          <w:lang w:val="fr-FR" w:eastAsia="en-GB"/>
        </w:rPr>
        <w:footnoteReference w:id="1"/>
      </w:r>
      <w:r w:rsidRPr="00627B35">
        <w:rPr>
          <w:rFonts w:eastAsia="Times New Roman" w:cs="Times New Roman"/>
          <w:szCs w:val="24"/>
          <w:lang w:val="fr-FR" w:eastAsia="en-GB"/>
        </w:rPr>
        <w:t xml:space="preserve"> définit un ensemble complet de mesures à cette fin. Ces mesures comprennent la poursuite du soutien à la conclusion de l’adhésion de l’UE à la convention du Conseil de l’Europe sur la prévention et la lutte contre la violence à l’égard des femmes (la</w:t>
      </w:r>
      <w:proofErr w:type="gramStart"/>
      <w:r w:rsidRPr="00627B35">
        <w:rPr>
          <w:rFonts w:eastAsia="Times New Roman" w:cs="Times New Roman"/>
          <w:szCs w:val="24"/>
          <w:lang w:val="fr-FR" w:eastAsia="en-GB"/>
        </w:rPr>
        <w:t xml:space="preserve"> «convention</w:t>
      </w:r>
      <w:proofErr w:type="gramEnd"/>
      <w:r w:rsidRPr="00627B35">
        <w:rPr>
          <w:rFonts w:eastAsia="Times New Roman" w:cs="Times New Roman"/>
          <w:szCs w:val="24"/>
          <w:lang w:val="fr-FR" w:eastAsia="en-GB"/>
        </w:rPr>
        <w:t xml:space="preserve"> d’Istanbul») et une proposition législative visant les mêmes objectifs. Une proposition de directive relative à la lutte contre la violence à l’égard des femmes et la violence domestique a été adoptée le 8 mars 2022 (paragraphe 1)</w:t>
      </w:r>
      <w:r w:rsidRPr="00627B35">
        <w:rPr>
          <w:rFonts w:eastAsia="Times New Roman" w:cs="Times New Roman"/>
          <w:szCs w:val="24"/>
          <w:vertAlign w:val="superscript"/>
          <w:lang w:val="fr-FR" w:eastAsia="en-GB"/>
        </w:rPr>
        <w:footnoteReference w:id="2"/>
      </w:r>
      <w:r w:rsidRPr="00627B35">
        <w:rPr>
          <w:rFonts w:eastAsia="Times New Roman" w:cs="Times New Roman"/>
          <w:szCs w:val="24"/>
          <w:lang w:val="fr-FR" w:eastAsia="en-GB"/>
        </w:rPr>
        <w:t>.</w:t>
      </w:r>
    </w:p>
    <w:p w:rsidR="00627B35" w:rsidRPr="00627B35" w:rsidRDefault="00627B35" w:rsidP="00627B35">
      <w:pPr>
        <w:widowControl w:val="0"/>
        <w:spacing w:after="120" w:line="240" w:lineRule="auto"/>
        <w:jc w:val="both"/>
        <w:rPr>
          <w:rFonts w:eastAsia="Times New Roman" w:cs="Times New Roman"/>
          <w:szCs w:val="24"/>
          <w:lang w:val="fr-FR" w:eastAsia="en-GB"/>
        </w:rPr>
      </w:pPr>
      <w:r w:rsidRPr="00627B35">
        <w:rPr>
          <w:rFonts w:eastAsia="Times New Roman" w:cs="Times New Roman"/>
          <w:szCs w:val="24"/>
          <w:lang w:val="fr-FR" w:eastAsia="en-GB"/>
        </w:rPr>
        <w:t>Chaque institution et agence de l’Union adopte ses propres règles et politiques pour mettre en œuvre l’interdiction de harcèlement définie dans le statut des fonctionnaires. Dans le même temps, la Commission rejoint le Parlement sur le fait que beaucoup d’enseignements peuvent être tirés de l’échange de bonnes pratiques (paragraphe 18) et citerait en exemples les avis et recommandations d’autres institutions de l’Union (notamment le Parlement européen, la Cour des comptes européenne et le Médiateur européen) ainsi que les ateliers, comme celui organisé le 25 mai 2021 par la commission </w:t>
      </w:r>
      <w:proofErr w:type="spellStart"/>
      <w:r w:rsidRPr="00627B35">
        <w:rPr>
          <w:rFonts w:eastAsia="Times New Roman" w:cs="Times New Roman"/>
          <w:szCs w:val="24"/>
          <w:lang w:val="fr-FR" w:eastAsia="en-GB"/>
        </w:rPr>
        <w:t>FEMM</w:t>
      </w:r>
      <w:proofErr w:type="spellEnd"/>
      <w:r w:rsidRPr="00627B35">
        <w:rPr>
          <w:rFonts w:eastAsia="Times New Roman" w:cs="Times New Roman"/>
          <w:szCs w:val="24"/>
          <w:vertAlign w:val="superscript"/>
          <w:lang w:val="fr-FR" w:eastAsia="en-GB"/>
        </w:rPr>
        <w:footnoteReference w:id="3"/>
      </w:r>
      <w:r w:rsidRPr="00627B35">
        <w:rPr>
          <w:rFonts w:eastAsia="Times New Roman" w:cs="Times New Roman"/>
          <w:szCs w:val="24"/>
          <w:lang w:val="fr-FR" w:eastAsia="en-GB"/>
        </w:rPr>
        <w:t xml:space="preserve">. En 2021, la Commission a commandé une étude visant à comparer de façon indépendante et objective les mesures de prévention du harcèlement établies dans diverses institutions de l’Union ainsi que dans d’autres organisations internationales. L’étude a également permis de repérer et de rassembler les bonnes pratiques à cet égard. La Commission continuera d’échanger avec les autres institutions de l’Union sur les questions éthiques d’intérêt commun (notamment la prévention du harcèlement et la lutte contre ce phénomène) dans le cadre des forums interinstitutionnels existants, notamment le </w:t>
      </w:r>
      <w:proofErr w:type="spellStart"/>
      <w:r w:rsidRPr="00627B35">
        <w:rPr>
          <w:rFonts w:eastAsia="Times New Roman" w:cs="Times New Roman"/>
          <w:szCs w:val="24"/>
          <w:lang w:val="fr-FR" w:eastAsia="en-GB"/>
        </w:rPr>
        <w:t>CPQS</w:t>
      </w:r>
      <w:proofErr w:type="spellEnd"/>
      <w:r w:rsidRPr="00627B35">
        <w:rPr>
          <w:rFonts w:eastAsia="Times New Roman" w:cs="Times New Roman"/>
          <w:szCs w:val="24"/>
          <w:lang w:val="fr-FR" w:eastAsia="en-GB"/>
        </w:rPr>
        <w:t xml:space="preserve"> (Comité pour les questions statutaires), et au niveau des services. En 2020, l’Institut européen pour l’égalité entre les hommes et les femmes a publié un guide sur la lutte contre le sexisme au travail, adapté au contexte des institutions et agences de l’Union</w:t>
      </w:r>
      <w:r w:rsidRPr="00627B35">
        <w:rPr>
          <w:rFonts w:eastAsia="Times New Roman" w:cs="Times New Roman"/>
          <w:szCs w:val="24"/>
          <w:vertAlign w:val="superscript"/>
          <w:lang w:val="fr-FR" w:eastAsia="en-GB"/>
        </w:rPr>
        <w:footnoteReference w:id="4"/>
      </w:r>
      <w:r w:rsidRPr="00627B35">
        <w:rPr>
          <w:rFonts w:eastAsia="Times New Roman" w:cs="Times New Roman"/>
          <w:szCs w:val="24"/>
          <w:lang w:val="fr-FR" w:eastAsia="en-GB"/>
        </w:rPr>
        <w:t>. L’étude confiée au Service de recherche du Parlement (paragraphe 21) représenterait un exemple supplémentaire de ces échanges interinstitutionnels.</w:t>
      </w:r>
    </w:p>
    <w:p w:rsidR="00627B35" w:rsidRPr="00627B35" w:rsidRDefault="00627B35" w:rsidP="00627B35">
      <w:pPr>
        <w:widowControl w:val="0"/>
        <w:spacing w:after="120" w:line="240" w:lineRule="auto"/>
        <w:jc w:val="both"/>
        <w:rPr>
          <w:rFonts w:eastAsia="Times New Roman" w:cs="Times New Roman"/>
          <w:szCs w:val="24"/>
          <w:lang w:val="fr-FR" w:eastAsia="en-GB"/>
        </w:rPr>
      </w:pPr>
      <w:r w:rsidRPr="00627B35">
        <w:rPr>
          <w:rFonts w:eastAsia="Times New Roman" w:cs="Times New Roman"/>
          <w:szCs w:val="24"/>
          <w:lang w:val="fr-FR" w:eastAsia="en-GB"/>
        </w:rPr>
        <w:t>La Commission a déjà mis en place en 2006 une politique complète de lutte contre le harcèlement</w:t>
      </w:r>
      <w:r w:rsidRPr="00627B35">
        <w:rPr>
          <w:rFonts w:eastAsia="Times New Roman" w:cs="Times New Roman"/>
          <w:szCs w:val="24"/>
          <w:vertAlign w:val="superscript"/>
          <w:lang w:val="fr-FR" w:eastAsia="en-GB"/>
        </w:rPr>
        <w:footnoteReference w:id="5"/>
      </w:r>
      <w:r w:rsidRPr="00627B35">
        <w:rPr>
          <w:rFonts w:eastAsia="Times New Roman" w:cs="Times New Roman"/>
          <w:szCs w:val="24"/>
          <w:lang w:val="fr-FR" w:eastAsia="en-GB"/>
        </w:rPr>
        <w:t xml:space="preserve">, fondée sur la prévention, le soutien et des mécanismes de recours pour le personnel signalant des faits de harcèlement. Les membres du personnel peuvent opter pour le dépôt d’une demande d’assistance, ce qui peut entraîner une enquête administrative pour établir les faits, une procédure disciplinaire contre </w:t>
      </w:r>
      <w:proofErr w:type="gramStart"/>
      <w:r w:rsidRPr="00627B35">
        <w:rPr>
          <w:rFonts w:eastAsia="Times New Roman" w:cs="Times New Roman"/>
          <w:szCs w:val="24"/>
          <w:lang w:val="fr-FR" w:eastAsia="en-GB"/>
        </w:rPr>
        <w:t>le harceleur</w:t>
      </w:r>
      <w:proofErr w:type="gramEnd"/>
      <w:r w:rsidRPr="00627B35">
        <w:rPr>
          <w:rFonts w:eastAsia="Times New Roman" w:cs="Times New Roman"/>
          <w:szCs w:val="24"/>
          <w:lang w:val="fr-FR" w:eastAsia="en-GB"/>
        </w:rPr>
        <w:t xml:space="preserve"> présumé et des mesures de protection de la victime. Ils peuvent également opter pour des mécanismes informels, qui peuvent comprendre une médiation par le service de médiation ou un soutien du réseau de personnes de confiance de la Commission, qui peuvent également agir en tant que conciliateurs. Ils peuvent aussi avoir accès à d’autres services de soutien, notamment une assistance psychosociale fournie par le service médical, si besoin. De la même façon, </w:t>
      </w:r>
      <w:r w:rsidRPr="00627B35">
        <w:rPr>
          <w:rFonts w:eastAsia="Times New Roman" w:cs="Times New Roman"/>
          <w:szCs w:val="20"/>
          <w:lang w:val="fr-FR" w:eastAsia="en-GB"/>
        </w:rPr>
        <w:t xml:space="preserve">le </w:t>
      </w:r>
      <w:r w:rsidRPr="00627B35">
        <w:rPr>
          <w:rFonts w:eastAsia="Times New Roman" w:cs="Times New Roman"/>
          <w:szCs w:val="20"/>
          <w:lang w:val="fr-FR" w:eastAsia="en-GB"/>
        </w:rPr>
        <w:lastRenderedPageBreak/>
        <w:t xml:space="preserve">personnel non statutaire, </w:t>
      </w:r>
      <w:r w:rsidRPr="00627B35">
        <w:rPr>
          <w:rFonts w:eastAsia="Times New Roman" w:cs="Times New Roman"/>
          <w:szCs w:val="24"/>
          <w:lang w:val="fr-FR" w:eastAsia="en-GB"/>
        </w:rPr>
        <w:t>comme les stagiaires et les contractants externes,</w:t>
      </w:r>
      <w:r w:rsidRPr="00627B35">
        <w:rPr>
          <w:rFonts w:eastAsia="Times New Roman" w:cs="Times New Roman"/>
          <w:szCs w:val="20"/>
          <w:lang w:val="fr-FR" w:eastAsia="en-GB"/>
        </w:rPr>
        <w:t xml:space="preserve"> </w:t>
      </w:r>
      <w:r w:rsidRPr="00627B35">
        <w:rPr>
          <w:rFonts w:eastAsia="Times New Roman" w:cs="Times New Roman"/>
          <w:szCs w:val="24"/>
          <w:lang w:val="fr-FR" w:eastAsia="en-GB"/>
        </w:rPr>
        <w:t xml:space="preserve">peut également accéder aux services de soutien dans ce domaine, </w:t>
      </w:r>
      <w:r w:rsidRPr="00627B35">
        <w:rPr>
          <w:rFonts w:eastAsia="Times New Roman" w:cs="Times New Roman"/>
          <w:szCs w:val="20"/>
          <w:lang w:val="fr-FR" w:eastAsia="en-GB"/>
        </w:rPr>
        <w:t>comme le réseau de personnes de confiance (paragraphe 20</w:t>
      </w:r>
      <w:r w:rsidRPr="00627B35">
        <w:rPr>
          <w:rFonts w:eastAsia="Times New Roman" w:cs="Times New Roman"/>
          <w:szCs w:val="24"/>
          <w:lang w:val="fr-FR" w:eastAsia="en-GB"/>
        </w:rPr>
        <w:t xml:space="preserve">). </w:t>
      </w:r>
      <w:r w:rsidRPr="00627B35">
        <w:rPr>
          <w:rFonts w:eastAsia="Times New Roman" w:cs="Times New Roman"/>
          <w:szCs w:val="20"/>
          <w:lang w:val="fr-FR" w:eastAsia="en-GB"/>
        </w:rPr>
        <w:t>Leurs plaintes peuvent également conduire à des enquêtes administratives et à des mesures disciplinaires.</w:t>
      </w:r>
    </w:p>
    <w:p w:rsidR="00627B35" w:rsidRPr="00627B35" w:rsidRDefault="00627B35" w:rsidP="00627B35">
      <w:pPr>
        <w:widowControl w:val="0"/>
        <w:spacing w:after="120" w:line="240" w:lineRule="auto"/>
        <w:jc w:val="both"/>
        <w:rPr>
          <w:rFonts w:eastAsia="Times New Roman" w:cs="Times New Roman"/>
          <w:szCs w:val="24"/>
          <w:lang w:val="fr-FR" w:eastAsia="en-GB"/>
        </w:rPr>
      </w:pPr>
      <w:r w:rsidRPr="00627B35">
        <w:rPr>
          <w:rFonts w:eastAsia="Times New Roman" w:cs="Times New Roman"/>
          <w:szCs w:val="24"/>
          <w:lang w:val="fr-FR" w:eastAsia="en-GB"/>
        </w:rPr>
        <w:t>La Commission estime que l’interdiction définie dans le statut des fonctionnaires offre une base juridique suffisante pour que les institutions et agences de l’Union puissent continuer de déterminer leurs propres approches et politiques en matière de lutte contre le harcèlement sur le lieu de travail (paragraphe 22).</w:t>
      </w:r>
    </w:p>
    <w:p w:rsidR="00627B35" w:rsidRPr="00627B35" w:rsidRDefault="00627B35" w:rsidP="00627B35">
      <w:pPr>
        <w:widowControl w:val="0"/>
        <w:spacing w:after="120" w:line="240" w:lineRule="auto"/>
        <w:jc w:val="both"/>
        <w:rPr>
          <w:rFonts w:eastAsia="Times New Roman" w:cs="Times New Roman"/>
          <w:szCs w:val="24"/>
          <w:lang w:val="fr-FR" w:eastAsia="en-GB"/>
        </w:rPr>
      </w:pPr>
      <w:r w:rsidRPr="00627B35">
        <w:rPr>
          <w:rFonts w:eastAsia="Times New Roman" w:cs="Times New Roman"/>
          <w:szCs w:val="24"/>
          <w:lang w:val="fr-FR" w:eastAsia="en-GB"/>
        </w:rPr>
        <w:t>La politique définie dans la décision de la Commission de 2006 est en cours de révision pour refléter les évolutions survenues depuis #</w:t>
      </w:r>
      <w:proofErr w:type="spellStart"/>
      <w:r w:rsidRPr="00627B35">
        <w:rPr>
          <w:rFonts w:eastAsia="Times New Roman" w:cs="Times New Roman"/>
          <w:szCs w:val="24"/>
          <w:lang w:val="fr-FR" w:eastAsia="en-GB"/>
        </w:rPr>
        <w:t>MeToo</w:t>
      </w:r>
      <w:proofErr w:type="spellEnd"/>
      <w:r w:rsidRPr="00627B35">
        <w:rPr>
          <w:rFonts w:eastAsia="Times New Roman" w:cs="Times New Roman"/>
          <w:szCs w:val="24"/>
          <w:lang w:val="fr-FR" w:eastAsia="en-GB"/>
        </w:rPr>
        <w:t xml:space="preserve"> et les mouvements associés, les changements intervenus dans l’environnement de travail depuis la pandémie et les évolutions de la jurisprudence. En 2021, afin d’étayer la révision de sa politique de lutte contre le harcèlement par des preuves, la Commission a réalisé une enquête auprès de son personnel sur la diversité, l’inclusion et le respect sur le lieu de travail. Elle a également commandé l’étude comparative sur les mesures de prévention du harcèlement susmentionnée, a échangé des bonnes pratiques avec d’autres organisations et a mené de nombreuses consultations avec différentes parties prenantes, notamment dans le cadre de l’élaboration de sa nouvelle stratégie de ressources humaines (RH).</w:t>
      </w:r>
    </w:p>
    <w:p w:rsidR="00627B35" w:rsidRPr="00627B35" w:rsidRDefault="00627B35" w:rsidP="00627B35">
      <w:pPr>
        <w:widowControl w:val="0"/>
        <w:spacing w:after="120" w:line="240" w:lineRule="auto"/>
        <w:jc w:val="both"/>
        <w:rPr>
          <w:rFonts w:eastAsia="Times New Roman" w:cs="Times New Roman"/>
          <w:szCs w:val="24"/>
          <w:lang w:val="fr-FR" w:eastAsia="en-GB"/>
        </w:rPr>
      </w:pPr>
      <w:r w:rsidRPr="00627B35">
        <w:rPr>
          <w:rFonts w:eastAsia="Times New Roman" w:cs="Times New Roman"/>
          <w:szCs w:val="24"/>
          <w:lang w:val="fr-FR" w:eastAsia="en-GB"/>
        </w:rPr>
        <w:t xml:space="preserve">La stratégie de l’UE en faveur de l’égalité entre les hommes et les femmes 2020-2025 confirme que la Commission adoptera un nouveau cadre juridique complet pour son personnel. </w:t>
      </w:r>
      <w:r w:rsidRPr="00627B35">
        <w:rPr>
          <w:rFonts w:eastAsia="Times New Roman" w:cs="Times New Roman"/>
          <w:szCs w:val="20"/>
          <w:lang w:val="fr-FR" w:eastAsia="en-GB"/>
        </w:rPr>
        <w:t>La révision fait également partie des mesures incluses dans sa future stratégie RH et doit être adoptée en</w:t>
      </w:r>
      <w:r w:rsidRPr="00627B35">
        <w:rPr>
          <w:rFonts w:eastAsia="Times New Roman" w:cs="Times New Roman"/>
          <w:szCs w:val="24"/>
          <w:lang w:val="fr-FR" w:eastAsia="en-GB"/>
        </w:rPr>
        <w:t xml:space="preserve"> 2022. La Commission tiendra compte des propositions définies dans la résolution dans le cadre de cette révision (paragraphe 20).</w:t>
      </w:r>
    </w:p>
    <w:p w:rsidR="00627B35" w:rsidRPr="00627B35" w:rsidRDefault="00627B35" w:rsidP="00627B35">
      <w:pPr>
        <w:widowControl w:val="0"/>
        <w:spacing w:after="120" w:line="240" w:lineRule="auto"/>
        <w:jc w:val="both"/>
        <w:rPr>
          <w:rFonts w:eastAsia="Times New Roman" w:cs="Times New Roman"/>
          <w:szCs w:val="24"/>
          <w:lang w:val="fr-FR" w:eastAsia="en-GB"/>
        </w:rPr>
      </w:pPr>
      <w:r w:rsidRPr="00627B35">
        <w:rPr>
          <w:rFonts w:eastAsia="Times New Roman" w:cs="Times New Roman"/>
          <w:szCs w:val="24"/>
          <w:lang w:val="fr-FR" w:eastAsia="en-GB"/>
        </w:rPr>
        <w:t>Selon l’article 110, paragraphe 2, du statut des fonctionnaires, les règles d’exécution s’appliquent par analogie aux agences. Par dérogation, une agence peut présenter à la Commission, en vue d’obtenir son accord, des règles d’exécution différentes. Par ailleurs, les échanges croissants de bonnes pratiques dans ce domaine devraient avoir pour effet de promouvoir et de renforcer davantage l’égalité entre les femmes et les hommes au sein des institutions et des organes de l’Union (paragraphe 23).</w:t>
      </w:r>
    </w:p>
    <w:p w:rsidR="00627B35" w:rsidRPr="00627B35" w:rsidRDefault="00627B35" w:rsidP="00627B35">
      <w:pPr>
        <w:spacing w:after="120" w:line="240" w:lineRule="auto"/>
        <w:jc w:val="both"/>
        <w:rPr>
          <w:rFonts w:eastAsia="Times New Roman" w:cs="Times New Roman"/>
          <w:szCs w:val="24"/>
          <w:lang w:val="fr-FR" w:eastAsia="en-GB"/>
        </w:rPr>
      </w:pPr>
      <w:r w:rsidRPr="00627B35">
        <w:rPr>
          <w:rFonts w:eastAsia="Times New Roman" w:cs="Times New Roman"/>
          <w:szCs w:val="24"/>
          <w:lang w:val="fr-FR" w:eastAsia="en-GB"/>
        </w:rPr>
        <w:t xml:space="preserve">L’attachement de la présidente </w:t>
      </w:r>
      <w:proofErr w:type="spellStart"/>
      <w:r w:rsidRPr="00627B35">
        <w:rPr>
          <w:rFonts w:eastAsia="Times New Roman" w:cs="Times New Roman"/>
          <w:szCs w:val="24"/>
          <w:lang w:val="fr-FR" w:eastAsia="en-GB"/>
        </w:rPr>
        <w:t>von</w:t>
      </w:r>
      <w:proofErr w:type="spellEnd"/>
      <w:r w:rsidRPr="00627B35">
        <w:rPr>
          <w:rFonts w:eastAsia="Times New Roman" w:cs="Times New Roman"/>
          <w:szCs w:val="24"/>
          <w:lang w:val="fr-FR" w:eastAsia="en-GB"/>
        </w:rPr>
        <w:t> der </w:t>
      </w:r>
      <w:proofErr w:type="spellStart"/>
      <w:r w:rsidRPr="00627B35">
        <w:rPr>
          <w:rFonts w:eastAsia="Times New Roman" w:cs="Times New Roman"/>
          <w:szCs w:val="24"/>
          <w:lang w:val="fr-FR" w:eastAsia="en-GB"/>
        </w:rPr>
        <w:t>Leyen</w:t>
      </w:r>
      <w:proofErr w:type="spellEnd"/>
      <w:r w:rsidRPr="00627B35">
        <w:rPr>
          <w:rFonts w:eastAsia="Times New Roman" w:cs="Times New Roman"/>
          <w:szCs w:val="24"/>
          <w:lang w:val="fr-FR" w:eastAsia="en-GB"/>
        </w:rPr>
        <w:t xml:space="preserve"> à l’équilibre hommes-femmes est visible depuis le tout début de son mandat, grâce à un collège de commissaires caractérisé par une parité des sexes et comportant le plus grand nombre de femmes commissaires à ce jour. Cet attachement a été réitéré dans sa promesse d’atteindre la parité des sexes à tous les niveaux d’encadrement de la Commission d’ici fin 2024.</w:t>
      </w:r>
      <w:r w:rsidRPr="00627B35">
        <w:rPr>
          <w:rFonts w:eastAsia="Times New Roman" w:cs="Times New Roman"/>
          <w:b/>
          <w:szCs w:val="24"/>
          <w:lang w:val="fr-FR" w:eastAsia="en-GB"/>
        </w:rPr>
        <w:t xml:space="preserve"> </w:t>
      </w:r>
      <w:r w:rsidRPr="00627B35">
        <w:rPr>
          <w:rFonts w:eastAsia="Times New Roman" w:cs="Times New Roman"/>
          <w:szCs w:val="24"/>
          <w:lang w:val="fr-FR" w:eastAsia="en-GB"/>
        </w:rPr>
        <w:t xml:space="preserve">La Commission constate qu’au début du mandat, la proportion de femmes occupant des fonctions d’encadrement était de 36,6 % au niveau de l’encadrement supérieur, de 41,5 % au niveau de l’encadrement intermédiaire et de 40,5 % de façon globale. En un peu plus de deux ans, le pourcentage de femmes occupant des fonctions d’encadrement a augmenté de plus de cinq points de pourcentage. En février 2022, elles occupaient ainsi 43,3 % des fonctions d’encadrement supérieur, 46,2 % des fonctions d’encadrement intermédiaire et 45,6 % des fonctions d’encadrement de façon globale. Un principe directeur clé des procédures de sélection de l’encadrement est que la composition des groupes de sélection doit respecter les exigences de l’équilibre hommes-femmes; une session de formation spécifique est disponible pour les membres de ces groupes afin d’assurer l’équité et l’égalité de traitement et d’éviter les préjugés inconscients. </w:t>
      </w:r>
      <w:r w:rsidRPr="00627B35">
        <w:rPr>
          <w:rFonts w:eastAsia="Times New Roman" w:cs="Times New Roman"/>
          <w:szCs w:val="20"/>
          <w:lang w:val="fr-FR" w:eastAsia="en-GB"/>
        </w:rPr>
        <w:t xml:space="preserve">En 2020, le collège a adopté deux ensembles de mesures contraignantes et de mesures d’accompagnement pour promouvoir l’équilibre hommes-femmes et envoyer clairement le message selon lequel celui-ci est nécessaire et attendu à toutes les étapes des procédures de sélection de l’encadrement. </w:t>
      </w:r>
      <w:r w:rsidRPr="00627B35">
        <w:rPr>
          <w:rFonts w:eastAsia="Times New Roman" w:cs="Times New Roman"/>
          <w:szCs w:val="24"/>
          <w:lang w:val="fr-FR" w:eastAsia="en-GB"/>
        </w:rPr>
        <w:t xml:space="preserve">Parmi les initiatives clés ayant permis un meilleur équilibre hommes-femmes, on peut citer: </w:t>
      </w:r>
      <w:r w:rsidRPr="00627B35">
        <w:rPr>
          <w:rFonts w:eastAsia="Times New Roman" w:cs="Times New Roman"/>
          <w:szCs w:val="24"/>
          <w:lang w:val="fr-FR" w:eastAsia="en-GB"/>
        </w:rPr>
        <w:lastRenderedPageBreak/>
        <w:t>l’accompagnement, la mise en réseau et les ressources spécifiques, comme le programme de développement des talents féminins; la désignation de 55 % de femmes en tant que directrices adjointes; le principe de parité des sexes au niveau des chefs d’unité adjoints. Ces actions de grande envergure seront poursuivies et renforcées dans la nouvelle stratégie RH de la Commission, qui doit bientôt être adoptée.</w:t>
      </w:r>
    </w:p>
    <w:p w:rsidR="00627B35" w:rsidRPr="00627B35" w:rsidRDefault="00627B35" w:rsidP="00627B35">
      <w:pPr>
        <w:widowControl w:val="0"/>
        <w:spacing w:after="120" w:line="240" w:lineRule="auto"/>
        <w:jc w:val="both"/>
        <w:rPr>
          <w:rFonts w:eastAsia="Times New Roman" w:cs="Times New Roman"/>
          <w:szCs w:val="20"/>
          <w:lang w:val="fr-FR" w:eastAsia="en-GB"/>
        </w:rPr>
      </w:pPr>
      <w:r w:rsidRPr="00627B35">
        <w:rPr>
          <w:rFonts w:eastAsia="Times New Roman" w:cs="Times New Roman"/>
          <w:szCs w:val="20"/>
          <w:lang w:val="fr-FR" w:eastAsia="en-GB"/>
        </w:rPr>
        <w:t>Conformément aux engagements définis dans sa stratégie en faveur de l’égalité entre les hommes et les femmes 2020-2025, la Commission redouble également d’efforts pour parvenir à une plus grande proportion de femmes au sein de l’encadrement dans les agences de l’Union. Le cas échéant, elle demande aux agences de mettre en place des plans d’action pour traiter tout déséquilibre.</w:t>
      </w:r>
    </w:p>
    <w:p w:rsidR="00F36993" w:rsidRPr="00627B35" w:rsidRDefault="00F36993">
      <w:pPr>
        <w:rPr>
          <w:lang w:val="fr-FR"/>
        </w:rPr>
      </w:pPr>
    </w:p>
    <w:sectPr w:rsidR="00F36993" w:rsidRPr="00627B35" w:rsidSect="005D60A2">
      <w:footnotePr>
        <w:numRestart w:val="eachSect"/>
      </w:footnotePr>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B35" w:rsidRDefault="00627B35" w:rsidP="00627B35">
      <w:pPr>
        <w:spacing w:after="0" w:line="240" w:lineRule="auto"/>
      </w:pPr>
      <w:r>
        <w:separator/>
      </w:r>
    </w:p>
  </w:endnote>
  <w:endnote w:type="continuationSeparator" w:id="0">
    <w:p w:rsidR="00627B35" w:rsidRDefault="00627B35" w:rsidP="00627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B35" w:rsidRDefault="00627B35" w:rsidP="00627B35">
      <w:pPr>
        <w:spacing w:after="0" w:line="240" w:lineRule="auto"/>
      </w:pPr>
      <w:r>
        <w:separator/>
      </w:r>
    </w:p>
  </w:footnote>
  <w:footnote w:type="continuationSeparator" w:id="0">
    <w:p w:rsidR="00627B35" w:rsidRDefault="00627B35" w:rsidP="00627B35">
      <w:pPr>
        <w:spacing w:after="0" w:line="240" w:lineRule="auto"/>
      </w:pPr>
      <w:r>
        <w:continuationSeparator/>
      </w:r>
    </w:p>
  </w:footnote>
  <w:footnote w:id="1">
    <w:p w:rsidR="00627B35" w:rsidRPr="00627B35" w:rsidRDefault="00627B35" w:rsidP="0052667D">
      <w:pPr>
        <w:pStyle w:val="FootnoteText"/>
        <w:tabs>
          <w:tab w:val="left" w:pos="284"/>
        </w:tabs>
        <w:jc w:val="both"/>
        <w:rPr>
          <w:lang w:val="fr-BE"/>
        </w:rPr>
      </w:pPr>
      <w:r>
        <w:rPr>
          <w:rStyle w:val="FootnoteReference"/>
        </w:rPr>
        <w:footnoteRef/>
      </w:r>
      <w:r w:rsidRPr="00627B35">
        <w:rPr>
          <w:lang w:val="fr-BE"/>
        </w:rPr>
        <w:t xml:space="preserve"> </w:t>
      </w:r>
      <w:r w:rsidRPr="00627B35">
        <w:rPr>
          <w:lang w:val="fr-BE"/>
        </w:rPr>
        <w:tab/>
        <w:t xml:space="preserve">Communication de la Commission au Parlement européen, au Conseil, au Comité économique et social </w:t>
      </w:r>
      <w:r w:rsidR="0052667D">
        <w:rPr>
          <w:rFonts w:eastAsia="Times New Roman" w:cs="Times New Roman"/>
          <w:szCs w:val="24"/>
          <w:lang w:val="fr-FR" w:eastAsia="en-GB"/>
        </w:rPr>
        <w:tab/>
      </w:r>
      <w:r w:rsidRPr="00627B35">
        <w:rPr>
          <w:lang w:val="fr-BE"/>
        </w:rPr>
        <w:t xml:space="preserve">européen et au </w:t>
      </w:r>
      <w:bookmarkStart w:id="1" w:name="_GoBack"/>
      <w:bookmarkEnd w:id="1"/>
      <w:r w:rsidRPr="00627B35">
        <w:rPr>
          <w:lang w:val="fr-BE"/>
        </w:rPr>
        <w:t>Comité des régions:</w:t>
      </w:r>
      <w:proofErr w:type="gramStart"/>
      <w:r w:rsidRPr="00627B35">
        <w:rPr>
          <w:lang w:val="fr-BE"/>
        </w:rPr>
        <w:t xml:space="preserve"> «Une</w:t>
      </w:r>
      <w:proofErr w:type="gramEnd"/>
      <w:r w:rsidRPr="00627B35">
        <w:rPr>
          <w:lang w:val="fr-BE"/>
        </w:rPr>
        <w:t xml:space="preserve"> Union de l’égalité: stratégie en faveur de l’égalité entre les hommes </w:t>
      </w:r>
      <w:r w:rsidR="0052667D">
        <w:rPr>
          <w:rFonts w:eastAsia="Times New Roman" w:cs="Times New Roman"/>
          <w:szCs w:val="24"/>
          <w:lang w:val="fr-FR" w:eastAsia="en-GB"/>
        </w:rPr>
        <w:tab/>
      </w:r>
      <w:r w:rsidRPr="00627B35">
        <w:rPr>
          <w:lang w:val="fr-BE"/>
        </w:rPr>
        <w:t>et les femmes 2020-2025», COM(2020) 152 final.</w:t>
      </w:r>
    </w:p>
  </w:footnote>
  <w:footnote w:id="2">
    <w:p w:rsidR="00627B35" w:rsidRPr="00627B35" w:rsidRDefault="00627B35" w:rsidP="0052667D">
      <w:pPr>
        <w:pStyle w:val="FootnoteText"/>
        <w:tabs>
          <w:tab w:val="left" w:pos="284"/>
        </w:tabs>
        <w:rPr>
          <w:lang w:val="fr-BE"/>
        </w:rPr>
      </w:pPr>
      <w:r>
        <w:rPr>
          <w:rStyle w:val="FootnoteReference"/>
        </w:rPr>
        <w:footnoteRef/>
      </w:r>
      <w:r w:rsidRPr="00627B35">
        <w:rPr>
          <w:lang w:val="fr-BE"/>
        </w:rPr>
        <w:t xml:space="preserve"> </w:t>
      </w:r>
      <w:r w:rsidRPr="00627B35">
        <w:rPr>
          <w:lang w:val="fr-BE"/>
        </w:rPr>
        <w:tab/>
      </w:r>
      <w:hyperlink r:id="rId1" w:history="1">
        <w:r w:rsidRPr="00627B35">
          <w:rPr>
            <w:rStyle w:val="Hyperlink"/>
            <w:lang w:val="fr-BE"/>
          </w:rPr>
          <w:t>Des règles à l’échelle de l’UE pour lutter contre la violence à l’égard des femmes (europa.eu)</w:t>
        </w:r>
      </w:hyperlink>
    </w:p>
  </w:footnote>
  <w:footnote w:id="3">
    <w:p w:rsidR="00627B35" w:rsidRPr="00627B35" w:rsidRDefault="00627B35" w:rsidP="0052667D">
      <w:pPr>
        <w:pStyle w:val="FootnoteText"/>
        <w:tabs>
          <w:tab w:val="left" w:pos="284"/>
        </w:tabs>
        <w:jc w:val="both"/>
        <w:rPr>
          <w:lang w:val="fr-BE"/>
        </w:rPr>
      </w:pPr>
      <w:r>
        <w:rPr>
          <w:rStyle w:val="FootnoteReference"/>
        </w:rPr>
        <w:footnoteRef/>
      </w:r>
      <w:r w:rsidRPr="00FB3F19">
        <w:rPr>
          <w:lang w:val="en-US"/>
        </w:rPr>
        <w:t xml:space="preserve"> </w:t>
      </w:r>
      <w:r w:rsidRPr="00FB3F19">
        <w:rPr>
          <w:lang w:val="en-US"/>
        </w:rPr>
        <w:tab/>
        <w:t xml:space="preserve">Atelier </w:t>
      </w:r>
      <w:proofErr w:type="spellStart"/>
      <w:r w:rsidRPr="00FB3F19">
        <w:rPr>
          <w:lang w:val="en-US"/>
        </w:rPr>
        <w:t>organisé</w:t>
      </w:r>
      <w:proofErr w:type="spellEnd"/>
      <w:r w:rsidRPr="00FB3F19">
        <w:rPr>
          <w:lang w:val="en-US"/>
        </w:rPr>
        <w:t xml:space="preserve"> par la commission </w:t>
      </w:r>
      <w:proofErr w:type="spellStart"/>
      <w:r w:rsidRPr="00FB3F19">
        <w:rPr>
          <w:lang w:val="en-US"/>
        </w:rPr>
        <w:t>FEMM</w:t>
      </w:r>
      <w:proofErr w:type="spellEnd"/>
      <w:r w:rsidRPr="00FB3F19">
        <w:rPr>
          <w:lang w:val="en-US"/>
        </w:rPr>
        <w:t xml:space="preserve"> «Three years after #</w:t>
      </w:r>
      <w:proofErr w:type="spellStart"/>
      <w:r w:rsidRPr="00FB3F19">
        <w:rPr>
          <w:lang w:val="en-US"/>
        </w:rPr>
        <w:t>Metoo</w:t>
      </w:r>
      <w:proofErr w:type="spellEnd"/>
      <w:r w:rsidRPr="00FB3F19">
        <w:rPr>
          <w:lang w:val="en-US"/>
        </w:rPr>
        <w:t xml:space="preserve"> - what needs to be done? </w:t>
      </w:r>
      <w:r w:rsidRPr="00627B35">
        <w:rPr>
          <w:lang w:val="fr-BE"/>
        </w:rPr>
        <w:t xml:space="preserve">A call for </w:t>
      </w:r>
      <w:r w:rsidR="0052667D">
        <w:rPr>
          <w:rFonts w:eastAsia="Times New Roman" w:cs="Times New Roman"/>
          <w:szCs w:val="24"/>
          <w:lang w:val="fr-FR" w:eastAsia="en-GB"/>
        </w:rPr>
        <w:tab/>
      </w:r>
      <w:proofErr w:type="spellStart"/>
      <w:r w:rsidRPr="00627B35">
        <w:rPr>
          <w:lang w:val="fr-BE"/>
        </w:rPr>
        <w:t>reforms</w:t>
      </w:r>
      <w:proofErr w:type="spellEnd"/>
      <w:r w:rsidRPr="00627B35">
        <w:rPr>
          <w:lang w:val="fr-BE"/>
        </w:rPr>
        <w:t xml:space="preserve"> to </w:t>
      </w:r>
      <w:proofErr w:type="spellStart"/>
      <w:r w:rsidRPr="00627B35">
        <w:rPr>
          <w:lang w:val="fr-BE"/>
        </w:rPr>
        <w:t>avoid</w:t>
      </w:r>
      <w:proofErr w:type="spellEnd"/>
      <w:r w:rsidRPr="00627B35">
        <w:rPr>
          <w:lang w:val="fr-BE"/>
        </w:rPr>
        <w:t xml:space="preserve"> </w:t>
      </w:r>
      <w:proofErr w:type="spellStart"/>
      <w:r w:rsidRPr="00627B35">
        <w:rPr>
          <w:lang w:val="fr-BE"/>
        </w:rPr>
        <w:t>sexual</w:t>
      </w:r>
      <w:proofErr w:type="spellEnd"/>
      <w:r w:rsidRPr="00627B35">
        <w:rPr>
          <w:lang w:val="fr-BE"/>
        </w:rPr>
        <w:t xml:space="preserve"> </w:t>
      </w:r>
      <w:proofErr w:type="spellStart"/>
      <w:r w:rsidRPr="00627B35">
        <w:rPr>
          <w:lang w:val="fr-BE"/>
        </w:rPr>
        <w:t>harassment</w:t>
      </w:r>
      <w:proofErr w:type="spellEnd"/>
      <w:r w:rsidRPr="00627B35">
        <w:rPr>
          <w:lang w:val="fr-BE"/>
        </w:rPr>
        <w:t xml:space="preserve"> in EU </w:t>
      </w:r>
      <w:proofErr w:type="gramStart"/>
      <w:r w:rsidRPr="00627B35">
        <w:rPr>
          <w:lang w:val="fr-BE"/>
        </w:rPr>
        <w:t>institutions»</w:t>
      </w:r>
      <w:proofErr w:type="gramEnd"/>
      <w:r w:rsidRPr="00627B35">
        <w:rPr>
          <w:lang w:val="fr-BE"/>
        </w:rPr>
        <w:t xml:space="preserve"> (Trois ans après #</w:t>
      </w:r>
      <w:proofErr w:type="spellStart"/>
      <w:r w:rsidRPr="00627B35">
        <w:rPr>
          <w:lang w:val="fr-BE"/>
        </w:rPr>
        <w:t>Metoo</w:t>
      </w:r>
      <w:proofErr w:type="spellEnd"/>
      <w:r w:rsidRPr="00627B35">
        <w:rPr>
          <w:lang w:val="fr-BE"/>
        </w:rPr>
        <w:t xml:space="preserve">, que reste-t-il à faire? Un </w:t>
      </w:r>
      <w:r w:rsidR="0052667D">
        <w:rPr>
          <w:rFonts w:eastAsia="Times New Roman" w:cs="Times New Roman"/>
          <w:szCs w:val="24"/>
          <w:lang w:val="fr-FR" w:eastAsia="en-GB"/>
        </w:rPr>
        <w:tab/>
      </w:r>
      <w:r w:rsidRPr="00627B35">
        <w:rPr>
          <w:lang w:val="fr-BE"/>
        </w:rPr>
        <w:t>appel à des réformes pour éviter le harcèlement sexuel au sein des institutions de l’Union).</w:t>
      </w:r>
    </w:p>
  </w:footnote>
  <w:footnote w:id="4">
    <w:p w:rsidR="00627B35" w:rsidRPr="00627B35" w:rsidRDefault="00627B35" w:rsidP="0052667D">
      <w:pPr>
        <w:pStyle w:val="FootnoteText"/>
        <w:tabs>
          <w:tab w:val="left" w:pos="284"/>
        </w:tabs>
        <w:rPr>
          <w:lang w:val="fr-BE"/>
        </w:rPr>
      </w:pPr>
      <w:r>
        <w:rPr>
          <w:rStyle w:val="FootnoteReference"/>
        </w:rPr>
        <w:footnoteRef/>
      </w:r>
      <w:r w:rsidRPr="00627B35">
        <w:rPr>
          <w:lang w:val="fr-BE"/>
        </w:rPr>
        <w:t xml:space="preserve"> </w:t>
      </w:r>
      <w:r w:rsidRPr="00627B35">
        <w:rPr>
          <w:lang w:val="fr-BE"/>
        </w:rPr>
        <w:tab/>
      </w:r>
      <w:hyperlink r:id="rId2" w:history="1">
        <w:r w:rsidRPr="00627B35">
          <w:rPr>
            <w:rStyle w:val="Hyperlink"/>
            <w:lang w:val="fr-BE"/>
          </w:rPr>
          <w:t>https://eige.europa.eu/publications/sexism-work-how-can-we-stop-it-handbook-eu-institutions-and-agencies</w:t>
        </w:r>
      </w:hyperlink>
      <w:r w:rsidRPr="00627B35">
        <w:rPr>
          <w:lang w:val="fr-BE"/>
        </w:rPr>
        <w:t>.</w:t>
      </w:r>
    </w:p>
  </w:footnote>
  <w:footnote w:id="5">
    <w:p w:rsidR="00627B35" w:rsidRPr="00627B35" w:rsidRDefault="00627B35" w:rsidP="0052667D">
      <w:pPr>
        <w:pStyle w:val="FootnoteText"/>
        <w:tabs>
          <w:tab w:val="left" w:pos="284"/>
        </w:tabs>
        <w:rPr>
          <w:lang w:val="fr-BE"/>
        </w:rPr>
      </w:pPr>
      <w:r>
        <w:rPr>
          <w:rStyle w:val="FootnoteReference"/>
        </w:rPr>
        <w:footnoteRef/>
      </w:r>
      <w:r w:rsidRPr="00627B35">
        <w:rPr>
          <w:lang w:val="fr-BE"/>
        </w:rPr>
        <w:t xml:space="preserve"> </w:t>
      </w:r>
      <w:r w:rsidRPr="00627B35">
        <w:rPr>
          <w:lang w:val="fr-BE"/>
        </w:rPr>
        <w:tab/>
        <w:t>Décision </w:t>
      </w:r>
      <w:proofErr w:type="gramStart"/>
      <w:r w:rsidRPr="00627B35">
        <w:rPr>
          <w:lang w:val="fr-BE"/>
        </w:rPr>
        <w:t>C(</w:t>
      </w:r>
      <w:proofErr w:type="gramEnd"/>
      <w:r w:rsidRPr="00627B35">
        <w:rPr>
          <w:lang w:val="fr-BE"/>
        </w:rPr>
        <w:t>2006) 1624/3 de la Commission du 26 avril 2006.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revisionView w:inkAnnotations="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B35"/>
    <w:rsid w:val="000F15F1"/>
    <w:rsid w:val="001E37D4"/>
    <w:rsid w:val="00512EE8"/>
    <w:rsid w:val="0052667D"/>
    <w:rsid w:val="00627B35"/>
    <w:rsid w:val="0065281F"/>
    <w:rsid w:val="0076069D"/>
    <w:rsid w:val="00815B75"/>
    <w:rsid w:val="008342CE"/>
    <w:rsid w:val="0095347B"/>
    <w:rsid w:val="00EF1DA5"/>
    <w:rsid w:val="00F36993"/>
    <w:rsid w:val="00FF2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804F6"/>
  <w15:chartTrackingRefBased/>
  <w15:docId w15:val="{747C57DC-E78A-4DDF-AACA-74D2A71FE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27B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7B35"/>
    <w:rPr>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627B35"/>
    <w:rPr>
      <w:vertAlign w:val="superscript"/>
    </w:rPr>
  </w:style>
  <w:style w:type="character" w:styleId="Hyperlink">
    <w:name w:val="Hyperlink"/>
    <w:aliases w:val="Char1"/>
    <w:uiPriority w:val="99"/>
    <w:rsid w:val="00627B35"/>
    <w:rPr>
      <w:color w:val="0000FF"/>
      <w:u w:val="single"/>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627B35"/>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eige.europa.eu/publications/sexism-work-how-can-we-stop-it-handbook-eu-institutions-and-agencies" TargetMode="External"/><Relationship Id="rId1" Type="http://schemas.openxmlformats.org/officeDocument/2006/relationships/hyperlink" Target="https://ec.europa.eu/commission/presscorner/detail/fr/ip_22_15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1721</Words>
  <Characters>9537</Characters>
  <Application>Microsoft Office Word</Application>
  <DocSecurity>0</DocSecurity>
  <Lines>138</Lines>
  <Paragraphs>25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BIANCHIN Raffaella (SG)</dc:creator>
  <cp:keywords/>
  <dc:description/>
  <cp:lastModifiedBy>BIANCHIN Raffaella (SG)</cp:lastModifiedBy>
  <cp:revision>2</cp:revision>
  <dcterms:created xsi:type="dcterms:W3CDTF">2022-04-27T15:24:00Z</dcterms:created>
  <dcterms:modified xsi:type="dcterms:W3CDTF">2022-04-27T15:25:00Z</dcterms:modified>
</cp:coreProperties>
</file>