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89" w:rsidRPr="00952489" w:rsidRDefault="00952489" w:rsidP="00952489">
      <w:pPr>
        <w:spacing w:after="600" w:line="240" w:lineRule="auto"/>
        <w:jc w:val="center"/>
        <w:rPr>
          <w:rFonts w:eastAsia="Times New Roman" w:cs="Times New Roman"/>
          <w:b/>
          <w:szCs w:val="24"/>
          <w:lang w:eastAsia="en-GB"/>
        </w:rPr>
      </w:pPr>
      <w:bookmarkStart w:id="0" w:name="Fisheries"/>
      <w:r w:rsidRPr="00952489">
        <w:rPr>
          <w:rFonts w:eastAsia="Times New Roman" w:cs="Times New Roman"/>
          <w:b/>
          <w:bCs/>
          <w:szCs w:val="24"/>
          <w:lang w:eastAsia="en-GB"/>
        </w:rPr>
        <w:t xml:space="preserve">Follow up to the </w:t>
      </w:r>
      <w:r w:rsidRPr="00952489">
        <w:rPr>
          <w:rFonts w:eastAsia="Times New Roman" w:cs="Times New Roman"/>
          <w:b/>
          <w:szCs w:val="24"/>
          <w:lang w:eastAsia="en-GB"/>
        </w:rPr>
        <w:t xml:space="preserve">European Parliament non-legislative resolution </w:t>
      </w:r>
      <w:r w:rsidRPr="00952489">
        <w:rPr>
          <w:rFonts w:eastAsia="Times New Roman" w:cs="Times New Roman"/>
          <w:b/>
          <w:bCs/>
          <w:szCs w:val="24"/>
          <w:lang w:eastAsia="en-GB"/>
        </w:rPr>
        <w:t>on the Commission delegated regulation of 5 November 2021 supplementing Regulation (EU) 2021/1139</w:t>
      </w:r>
      <w:r w:rsidR="00D75F9D">
        <w:rPr>
          <w:rFonts w:eastAsia="Times New Roman" w:cs="Times New Roman"/>
          <w:b/>
          <w:bCs/>
          <w:szCs w:val="24"/>
          <w:lang w:eastAsia="en-GB"/>
        </w:rPr>
        <w:br/>
      </w:r>
      <w:r w:rsidRPr="00952489">
        <w:rPr>
          <w:rFonts w:eastAsia="Times New Roman" w:cs="Times New Roman"/>
          <w:b/>
          <w:bCs/>
          <w:szCs w:val="24"/>
          <w:lang w:eastAsia="en-GB"/>
        </w:rPr>
        <w:t xml:space="preserve">of the European Parliament and of the Council on the European Maritime, </w:t>
      </w:r>
      <w:r w:rsidR="00D75F9D">
        <w:rPr>
          <w:rFonts w:eastAsia="Times New Roman" w:cs="Times New Roman"/>
          <w:b/>
          <w:bCs/>
          <w:szCs w:val="24"/>
          <w:lang w:eastAsia="en-GB"/>
        </w:rPr>
        <w:br/>
      </w:r>
      <w:r w:rsidRPr="00952489">
        <w:rPr>
          <w:rFonts w:eastAsia="Times New Roman" w:cs="Times New Roman"/>
          <w:b/>
          <w:bCs/>
          <w:szCs w:val="24"/>
          <w:lang w:eastAsia="en-GB"/>
        </w:rPr>
        <w:t xml:space="preserve">Fisheries and Aquaculture Fund as regards the </w:t>
      </w:r>
      <w:proofErr w:type="gramStart"/>
      <w:r w:rsidRPr="00952489">
        <w:rPr>
          <w:rFonts w:eastAsia="Times New Roman" w:cs="Times New Roman"/>
          <w:b/>
          <w:bCs/>
          <w:szCs w:val="24"/>
          <w:lang w:eastAsia="en-GB"/>
        </w:rPr>
        <w:t>periods of time</w:t>
      </w:r>
      <w:proofErr w:type="gramEnd"/>
      <w:r w:rsidRPr="00952489">
        <w:rPr>
          <w:rFonts w:eastAsia="Times New Roman" w:cs="Times New Roman"/>
          <w:b/>
          <w:bCs/>
          <w:szCs w:val="24"/>
          <w:lang w:eastAsia="en-GB"/>
        </w:rPr>
        <w:t xml:space="preserve"> and</w:t>
      </w:r>
      <w:r w:rsidR="00D75F9D">
        <w:rPr>
          <w:rFonts w:eastAsia="Times New Roman" w:cs="Times New Roman"/>
          <w:b/>
          <w:bCs/>
          <w:szCs w:val="24"/>
          <w:lang w:eastAsia="en-GB"/>
        </w:rPr>
        <w:br/>
      </w:r>
      <w:r w:rsidRPr="00952489">
        <w:rPr>
          <w:rFonts w:eastAsia="Times New Roman" w:cs="Times New Roman"/>
          <w:b/>
          <w:bCs/>
          <w:szCs w:val="24"/>
          <w:lang w:eastAsia="en-GB"/>
        </w:rPr>
        <w:t xml:space="preserve"> the dates for the inadmissibility of applications for support</w:t>
      </w:r>
      <w:bookmarkEnd w:id="0"/>
    </w:p>
    <w:p w:rsidR="00952489" w:rsidRPr="00952489" w:rsidRDefault="00952489" w:rsidP="00952489">
      <w:pPr>
        <w:spacing w:after="240" w:line="240" w:lineRule="auto"/>
        <w:ind w:left="720" w:hanging="720"/>
        <w:jc w:val="both"/>
        <w:rPr>
          <w:rFonts w:eastAsia="Times New Roman" w:cs="Times New Roman"/>
          <w:b/>
          <w:szCs w:val="24"/>
          <w:lang w:eastAsia="en-GB"/>
        </w:rPr>
      </w:pPr>
      <w:r w:rsidRPr="00952489">
        <w:rPr>
          <w:rFonts w:eastAsia="Times New Roman" w:cs="Times New Roman"/>
          <w:b/>
          <w:szCs w:val="24"/>
          <w:lang w:eastAsia="en-GB"/>
        </w:rPr>
        <w:t>1.</w:t>
      </w:r>
      <w:r w:rsidRPr="00952489">
        <w:rPr>
          <w:rFonts w:eastAsia="Times New Roman" w:cs="Times New Roman"/>
          <w:b/>
          <w:szCs w:val="24"/>
          <w:lang w:eastAsia="en-GB"/>
        </w:rPr>
        <w:tab/>
        <w:t>Resolution tabled pursuant to Rules 113(3) of the European Parliament's Rules of procedure</w:t>
      </w:r>
    </w:p>
    <w:p w:rsidR="00952489" w:rsidRPr="00952489" w:rsidRDefault="00952489" w:rsidP="00952489">
      <w:pPr>
        <w:spacing w:after="240" w:line="240" w:lineRule="auto"/>
        <w:jc w:val="both"/>
        <w:rPr>
          <w:rFonts w:eastAsia="Times New Roman" w:cs="Times New Roman"/>
          <w:i/>
          <w:szCs w:val="24"/>
          <w:lang w:eastAsia="en-GB"/>
        </w:rPr>
      </w:pPr>
      <w:r w:rsidRPr="00952489">
        <w:rPr>
          <w:rFonts w:eastAsia="Times New Roman" w:cs="Times New Roman"/>
          <w:b/>
          <w:szCs w:val="24"/>
          <w:lang w:eastAsia="en-GB"/>
        </w:rPr>
        <w:t>2.</w:t>
      </w:r>
      <w:r w:rsidRPr="00952489">
        <w:rPr>
          <w:rFonts w:eastAsia="Times New Roman" w:cs="Times New Roman"/>
          <w:b/>
          <w:szCs w:val="24"/>
          <w:lang w:eastAsia="en-GB"/>
        </w:rPr>
        <w:tab/>
        <w:t xml:space="preserve">Reference number: </w:t>
      </w:r>
      <w:r w:rsidRPr="00952489">
        <w:rPr>
          <w:rFonts w:eastAsia="Times New Roman" w:cs="Times New Roman"/>
          <w:noProof/>
          <w:szCs w:val="20"/>
          <w:lang w:eastAsia="fr-BE"/>
        </w:rPr>
        <w:t xml:space="preserve">2021/2961 (DEA) </w:t>
      </w:r>
      <w:r w:rsidRPr="00952489">
        <w:rPr>
          <w:rFonts w:eastAsia="Times New Roman" w:cs="Times New Roman"/>
          <w:szCs w:val="20"/>
          <w:lang w:eastAsia="en-GB"/>
        </w:rPr>
        <w:t xml:space="preserve">/ </w:t>
      </w:r>
      <w:r w:rsidRPr="00952489">
        <w:rPr>
          <w:rFonts w:eastAsia="Times New Roman" w:cs="Times New Roman"/>
          <w:noProof/>
          <w:szCs w:val="20"/>
          <w:lang w:eastAsia="fr-BE"/>
        </w:rPr>
        <w:t>B9-</w:t>
      </w:r>
      <w:r w:rsidR="005D2E1A">
        <w:rPr>
          <w:rFonts w:eastAsia="Times New Roman" w:cs="Times New Roman"/>
          <w:szCs w:val="20"/>
          <w:lang w:eastAsia="fr-BE"/>
        </w:rPr>
        <w:t>00</w:t>
      </w:r>
      <w:r w:rsidRPr="00952489">
        <w:rPr>
          <w:rFonts w:eastAsia="Times New Roman" w:cs="Times New Roman"/>
          <w:szCs w:val="20"/>
          <w:lang w:eastAsia="fr-BE"/>
        </w:rPr>
        <w:t xml:space="preserve">90/2022 </w:t>
      </w:r>
      <w:r w:rsidRPr="00952489">
        <w:rPr>
          <w:rFonts w:eastAsia="Times New Roman" w:cs="Times New Roman"/>
          <w:szCs w:val="20"/>
          <w:lang w:eastAsia="en-GB"/>
        </w:rPr>
        <w:t xml:space="preserve">/ P9_TA </w:t>
      </w:r>
      <w:proofErr w:type="spellStart"/>
      <w:proofErr w:type="gramStart"/>
      <w:r w:rsidRPr="00952489">
        <w:rPr>
          <w:rFonts w:eastAsia="Times New Roman" w:cs="Times New Roman"/>
          <w:szCs w:val="20"/>
          <w:lang w:eastAsia="en-GB"/>
        </w:rPr>
        <w:t>PROV</w:t>
      </w:r>
      <w:proofErr w:type="spellEnd"/>
      <w:r w:rsidRPr="00952489">
        <w:rPr>
          <w:rFonts w:eastAsia="Times New Roman" w:cs="Times New Roman"/>
          <w:szCs w:val="20"/>
          <w:lang w:eastAsia="en-GB"/>
        </w:rPr>
        <w:t>(</w:t>
      </w:r>
      <w:proofErr w:type="gramEnd"/>
      <w:r w:rsidRPr="00952489">
        <w:rPr>
          <w:rFonts w:eastAsia="Times New Roman" w:cs="Times New Roman"/>
          <w:szCs w:val="20"/>
          <w:lang w:eastAsia="en-GB"/>
        </w:rPr>
        <w:t>2022)0026</w:t>
      </w:r>
    </w:p>
    <w:p w:rsidR="00952489" w:rsidRPr="00952489" w:rsidRDefault="00952489" w:rsidP="00952489">
      <w:pPr>
        <w:spacing w:after="240" w:line="240" w:lineRule="auto"/>
        <w:jc w:val="both"/>
        <w:rPr>
          <w:rFonts w:eastAsia="Times New Roman" w:cs="Times New Roman"/>
          <w:szCs w:val="24"/>
          <w:lang w:eastAsia="en-GB"/>
        </w:rPr>
      </w:pPr>
      <w:r w:rsidRPr="00952489">
        <w:rPr>
          <w:rFonts w:eastAsia="Times New Roman" w:cs="Times New Roman"/>
          <w:b/>
          <w:szCs w:val="24"/>
          <w:lang w:eastAsia="en-GB"/>
        </w:rPr>
        <w:t>3.</w:t>
      </w:r>
      <w:r w:rsidRPr="00952489">
        <w:rPr>
          <w:rFonts w:eastAsia="Times New Roman" w:cs="Times New Roman"/>
          <w:b/>
          <w:szCs w:val="24"/>
          <w:lang w:eastAsia="en-GB"/>
        </w:rPr>
        <w:tab/>
        <w:t>Date of adoption of the resolution:</w:t>
      </w:r>
      <w:r w:rsidRPr="00952489">
        <w:rPr>
          <w:rFonts w:eastAsia="Times New Roman" w:cs="Times New Roman"/>
          <w:szCs w:val="24"/>
          <w:lang w:eastAsia="en-GB"/>
        </w:rPr>
        <w:t xml:space="preserve"> 15 February 2022</w:t>
      </w:r>
      <w:bookmarkStart w:id="1" w:name="_GoBack"/>
      <w:bookmarkEnd w:id="1"/>
    </w:p>
    <w:p w:rsidR="00952489" w:rsidRPr="00952489" w:rsidRDefault="00952489" w:rsidP="00952489">
      <w:pPr>
        <w:spacing w:after="240" w:line="240" w:lineRule="auto"/>
        <w:ind w:left="720" w:hanging="720"/>
        <w:jc w:val="both"/>
        <w:rPr>
          <w:rFonts w:eastAsia="Times New Roman" w:cs="Times New Roman"/>
          <w:i/>
          <w:szCs w:val="24"/>
          <w:lang w:eastAsia="en-GB"/>
        </w:rPr>
      </w:pPr>
      <w:r w:rsidRPr="00952489">
        <w:rPr>
          <w:rFonts w:eastAsia="Times New Roman" w:cs="Times New Roman"/>
          <w:b/>
          <w:szCs w:val="24"/>
          <w:lang w:eastAsia="en-GB"/>
        </w:rPr>
        <w:t>4.</w:t>
      </w:r>
      <w:r w:rsidRPr="00952489">
        <w:rPr>
          <w:rFonts w:eastAsia="Times New Roman" w:cs="Times New Roman"/>
          <w:b/>
          <w:szCs w:val="24"/>
          <w:lang w:eastAsia="en-GB"/>
        </w:rPr>
        <w:tab/>
        <w:t xml:space="preserve">Competent Parliamentary Committee: </w:t>
      </w:r>
      <w:r w:rsidRPr="00952489">
        <w:rPr>
          <w:rFonts w:eastAsia="Times New Roman" w:cs="Times New Roman"/>
          <w:szCs w:val="24"/>
          <w:lang w:eastAsia="en-GB"/>
        </w:rPr>
        <w:t>Committee on Fisheries (</w:t>
      </w:r>
      <w:proofErr w:type="spellStart"/>
      <w:r w:rsidRPr="00952489">
        <w:rPr>
          <w:rFonts w:eastAsia="Times New Roman" w:cs="Times New Roman"/>
          <w:szCs w:val="24"/>
          <w:lang w:eastAsia="en-GB"/>
        </w:rPr>
        <w:t>PECH</w:t>
      </w:r>
      <w:proofErr w:type="spellEnd"/>
      <w:r w:rsidRPr="00952489">
        <w:rPr>
          <w:rFonts w:eastAsia="Times New Roman" w:cs="Times New Roman"/>
          <w:szCs w:val="24"/>
          <w:lang w:eastAsia="en-GB"/>
        </w:rPr>
        <w:t>)</w:t>
      </w:r>
    </w:p>
    <w:p w:rsidR="00952489" w:rsidRPr="00952489" w:rsidRDefault="00952489" w:rsidP="00952489">
      <w:pPr>
        <w:widowControl w:val="0"/>
        <w:spacing w:after="240" w:line="240" w:lineRule="auto"/>
        <w:jc w:val="both"/>
        <w:rPr>
          <w:rFonts w:eastAsia="Times New Roman" w:cs="Times New Roman"/>
          <w:b/>
          <w:szCs w:val="24"/>
          <w:lang w:eastAsia="en-GB"/>
        </w:rPr>
      </w:pPr>
      <w:r w:rsidRPr="00952489">
        <w:rPr>
          <w:rFonts w:eastAsia="Times New Roman" w:cs="Times New Roman"/>
          <w:b/>
          <w:szCs w:val="24"/>
          <w:lang w:eastAsia="en-GB"/>
        </w:rPr>
        <w:t>5.</w:t>
      </w:r>
      <w:r w:rsidRPr="00952489">
        <w:rPr>
          <w:rFonts w:eastAsia="Times New Roman" w:cs="Times New Roman"/>
          <w:b/>
          <w:szCs w:val="24"/>
          <w:lang w:eastAsia="en-GB"/>
        </w:rPr>
        <w:tab/>
        <w:t>Brief analysis/assessment of the resolution and requests made in it:</w:t>
      </w:r>
    </w:p>
    <w:p w:rsidR="00952489" w:rsidRPr="00952489" w:rsidRDefault="00952489" w:rsidP="00952489">
      <w:pPr>
        <w:widowControl w:val="0"/>
        <w:spacing w:after="120" w:line="240" w:lineRule="auto"/>
        <w:jc w:val="both"/>
        <w:rPr>
          <w:rFonts w:eastAsia="Times New Roman" w:cs="Times New Roman"/>
          <w:szCs w:val="20"/>
          <w:lang w:eastAsia="en-GB"/>
        </w:rPr>
      </w:pPr>
      <w:r w:rsidRPr="00952489">
        <w:rPr>
          <w:rFonts w:eastAsia="Times New Roman" w:cs="Times New Roman"/>
          <w:szCs w:val="24"/>
          <w:lang w:eastAsia="en-GB"/>
        </w:rPr>
        <w:t xml:space="preserve">This resolution objects to the delegated act that </w:t>
      </w:r>
      <w:r w:rsidRPr="00952489">
        <w:rPr>
          <w:rFonts w:eastAsia="Times New Roman" w:cs="Times New Roman"/>
          <w:szCs w:val="20"/>
          <w:lang w:eastAsia="en-GB"/>
        </w:rPr>
        <w:t>supplements Regulation (EU) 2021/1139 on the European Maritime, Fisheries and Aquaculture Fund (‘</w:t>
      </w:r>
      <w:proofErr w:type="spellStart"/>
      <w:r w:rsidRPr="00952489">
        <w:rPr>
          <w:rFonts w:eastAsia="Times New Roman" w:cs="Times New Roman"/>
          <w:szCs w:val="20"/>
          <w:lang w:eastAsia="en-GB"/>
        </w:rPr>
        <w:t>EMFAF</w:t>
      </w:r>
      <w:proofErr w:type="spellEnd"/>
      <w:r w:rsidRPr="00952489">
        <w:rPr>
          <w:rFonts w:eastAsia="Times New Roman" w:cs="Times New Roman"/>
          <w:szCs w:val="20"/>
          <w:lang w:eastAsia="en-GB"/>
        </w:rPr>
        <w:t xml:space="preserve"> Regulation’) concerning the inadmissibility of applications for support from operators who committed certain infringements.</w:t>
      </w:r>
    </w:p>
    <w:p w:rsidR="00952489" w:rsidRPr="00952489" w:rsidRDefault="00952489" w:rsidP="00952489">
      <w:pPr>
        <w:widowControl w:val="0"/>
        <w:spacing w:after="120" w:line="240" w:lineRule="auto"/>
        <w:jc w:val="both"/>
        <w:rPr>
          <w:rFonts w:eastAsia="Times New Roman" w:cs="Times New Roman"/>
          <w:szCs w:val="24"/>
          <w:lang w:eastAsia="en-GB"/>
        </w:rPr>
      </w:pPr>
      <w:r w:rsidRPr="00952489">
        <w:rPr>
          <w:rFonts w:eastAsia="Times New Roman" w:cs="Times New Roman"/>
          <w:szCs w:val="24"/>
          <w:lang w:eastAsia="en-GB"/>
        </w:rPr>
        <w:t xml:space="preserve">The resolution states </w:t>
      </w:r>
      <w:proofErr w:type="gramStart"/>
      <w:r w:rsidRPr="00952489">
        <w:rPr>
          <w:rFonts w:eastAsia="Times New Roman" w:cs="Times New Roman"/>
          <w:szCs w:val="24"/>
          <w:lang w:eastAsia="en-GB"/>
        </w:rPr>
        <w:t>that the delegated act “</w:t>
      </w:r>
      <w:r w:rsidRPr="00952489">
        <w:rPr>
          <w:rFonts w:eastAsia="Times New Roman" w:cs="Times New Roman"/>
          <w:i/>
          <w:szCs w:val="24"/>
          <w:lang w:eastAsia="en-GB"/>
        </w:rPr>
        <w:t>worsens the conditions</w:t>
      </w:r>
      <w:r w:rsidRPr="00952489">
        <w:rPr>
          <w:rFonts w:eastAsia="Times New Roman" w:cs="Times New Roman"/>
          <w:szCs w:val="24"/>
          <w:lang w:eastAsia="en-GB"/>
        </w:rPr>
        <w:t>” compared to the previous framework (2014-2020) and is “</w:t>
      </w:r>
      <w:r w:rsidRPr="00952489">
        <w:rPr>
          <w:rFonts w:eastAsia="Times New Roman" w:cs="Times New Roman"/>
          <w:i/>
          <w:szCs w:val="24"/>
          <w:lang w:eastAsia="en-GB"/>
        </w:rPr>
        <w:t>not in line</w:t>
      </w:r>
      <w:r w:rsidRPr="00952489">
        <w:rPr>
          <w:rFonts w:eastAsia="Times New Roman" w:cs="Times New Roman"/>
          <w:szCs w:val="24"/>
          <w:lang w:eastAsia="en-GB"/>
        </w:rPr>
        <w:t xml:space="preserve">” with the empowerment laid down in the </w:t>
      </w:r>
      <w:proofErr w:type="spellStart"/>
      <w:r w:rsidRPr="00952489">
        <w:rPr>
          <w:rFonts w:eastAsia="Times New Roman" w:cs="Times New Roman"/>
          <w:szCs w:val="24"/>
          <w:lang w:eastAsia="en-GB"/>
        </w:rPr>
        <w:t>EMFAF</w:t>
      </w:r>
      <w:proofErr w:type="spellEnd"/>
      <w:r w:rsidRPr="00952489">
        <w:rPr>
          <w:rFonts w:eastAsia="Times New Roman" w:cs="Times New Roman"/>
          <w:szCs w:val="24"/>
          <w:lang w:eastAsia="en-GB"/>
        </w:rPr>
        <w:t xml:space="preserve"> Regulation</w:t>
      </w:r>
      <w:proofErr w:type="gramEnd"/>
      <w:r w:rsidRPr="00952489">
        <w:rPr>
          <w:rFonts w:eastAsia="Times New Roman" w:cs="Times New Roman"/>
          <w:szCs w:val="24"/>
          <w:lang w:eastAsia="en-GB"/>
        </w:rPr>
        <w:t>. It calls on the Commission to “</w:t>
      </w:r>
      <w:r w:rsidRPr="00952489">
        <w:rPr>
          <w:rFonts w:eastAsia="Times New Roman" w:cs="Times New Roman"/>
          <w:i/>
          <w:szCs w:val="24"/>
          <w:shd w:val="clear" w:color="auto" w:fill="FFFFFF"/>
          <w:lang w:eastAsia="en-GB"/>
        </w:rPr>
        <w:t>propose an alternative and more proportionate solution regarding the duration of the inadmissibility period</w:t>
      </w:r>
      <w:r w:rsidRPr="00952489">
        <w:rPr>
          <w:rFonts w:eastAsia="Times New Roman" w:cs="Times New Roman"/>
          <w:szCs w:val="24"/>
          <w:shd w:val="clear" w:color="auto" w:fill="FFFFFF"/>
          <w:lang w:eastAsia="en-GB"/>
        </w:rPr>
        <w:t>”.</w:t>
      </w:r>
    </w:p>
    <w:p w:rsidR="00952489" w:rsidRPr="00952489" w:rsidRDefault="00952489" w:rsidP="00952489">
      <w:pPr>
        <w:spacing w:after="120" w:line="240" w:lineRule="auto"/>
        <w:jc w:val="both"/>
        <w:rPr>
          <w:rFonts w:eastAsia="Times New Roman" w:cs="Times New Roman"/>
          <w:b/>
          <w:szCs w:val="24"/>
          <w:lang w:eastAsia="en-GB"/>
        </w:rPr>
      </w:pPr>
      <w:r w:rsidRPr="00952489">
        <w:rPr>
          <w:rFonts w:eastAsia="Times New Roman" w:cs="Times New Roman"/>
          <w:b/>
          <w:szCs w:val="24"/>
          <w:lang w:eastAsia="en-GB"/>
        </w:rPr>
        <w:t>6.</w:t>
      </w:r>
      <w:r w:rsidRPr="00952489">
        <w:rPr>
          <w:rFonts w:eastAsia="Times New Roman" w:cs="Times New Roman"/>
          <w:b/>
          <w:szCs w:val="24"/>
          <w:lang w:eastAsia="en-GB"/>
        </w:rPr>
        <w:tab/>
        <w:t xml:space="preserve">Response to requests and overview of action taken, or </w:t>
      </w:r>
      <w:proofErr w:type="gramStart"/>
      <w:r w:rsidRPr="00952489">
        <w:rPr>
          <w:rFonts w:eastAsia="Times New Roman" w:cs="Times New Roman"/>
          <w:b/>
          <w:szCs w:val="24"/>
          <w:lang w:eastAsia="en-GB"/>
        </w:rPr>
        <w:t>intended to be taken</w:t>
      </w:r>
      <w:proofErr w:type="gramEnd"/>
      <w:r w:rsidRPr="00952489">
        <w:rPr>
          <w:rFonts w:eastAsia="Times New Roman" w:cs="Times New Roman"/>
          <w:b/>
          <w:szCs w:val="24"/>
          <w:lang w:eastAsia="en-GB"/>
        </w:rPr>
        <w:t>, by the Commission:</w:t>
      </w:r>
    </w:p>
    <w:p w:rsidR="00952489" w:rsidRPr="00952489" w:rsidRDefault="00952489" w:rsidP="00952489">
      <w:pPr>
        <w:spacing w:after="120" w:line="240" w:lineRule="auto"/>
        <w:jc w:val="both"/>
        <w:rPr>
          <w:rFonts w:eastAsia="Times New Roman" w:cs="Times New Roman"/>
          <w:szCs w:val="24"/>
          <w:lang w:eastAsia="en-GB"/>
        </w:rPr>
      </w:pPr>
      <w:proofErr w:type="gramStart"/>
      <w:r w:rsidRPr="00952489">
        <w:rPr>
          <w:rFonts w:eastAsia="Times New Roman" w:cs="Times New Roman"/>
          <w:szCs w:val="24"/>
          <w:lang w:eastAsia="en-GB"/>
        </w:rPr>
        <w:t xml:space="preserve">The </w:t>
      </w:r>
      <w:proofErr w:type="spellStart"/>
      <w:r w:rsidRPr="00952489">
        <w:rPr>
          <w:rFonts w:eastAsia="Times New Roman" w:cs="Times New Roman"/>
          <w:szCs w:val="24"/>
          <w:lang w:eastAsia="en-GB"/>
        </w:rPr>
        <w:t>EMFAF</w:t>
      </w:r>
      <w:proofErr w:type="spellEnd"/>
      <w:r w:rsidRPr="00952489">
        <w:rPr>
          <w:rFonts w:eastAsia="Times New Roman" w:cs="Times New Roman"/>
          <w:szCs w:val="24"/>
          <w:lang w:eastAsia="en-GB"/>
        </w:rPr>
        <w:t xml:space="preserve"> Regulation empowers the Commission to adopt a delegated act defining: (a) the </w:t>
      </w:r>
      <w:r w:rsidRPr="00952489">
        <w:rPr>
          <w:rFonts w:eastAsia="Times New Roman" w:cs="Times New Roman"/>
          <w:szCs w:val="24"/>
          <w:u w:val="single"/>
          <w:lang w:eastAsia="en-GB"/>
        </w:rPr>
        <w:t>threshold</w:t>
      </w:r>
      <w:r w:rsidRPr="00952489">
        <w:rPr>
          <w:rFonts w:eastAsia="Times New Roman" w:cs="Times New Roman"/>
          <w:szCs w:val="24"/>
          <w:lang w:eastAsia="en-GB"/>
        </w:rPr>
        <w:t xml:space="preserve"> above which applications by operators who have committed serious infringements, environmental offences or fraud are no longer admissible; (b) the </w:t>
      </w:r>
      <w:r w:rsidRPr="00952489">
        <w:rPr>
          <w:rFonts w:eastAsia="Times New Roman" w:cs="Times New Roman"/>
          <w:szCs w:val="24"/>
          <w:u w:val="single"/>
          <w:lang w:eastAsia="en-GB"/>
        </w:rPr>
        <w:t>duration</w:t>
      </w:r>
      <w:r w:rsidRPr="00952489">
        <w:rPr>
          <w:rFonts w:eastAsia="Times New Roman" w:cs="Times New Roman"/>
          <w:szCs w:val="24"/>
          <w:lang w:eastAsia="en-GB"/>
        </w:rPr>
        <w:t xml:space="preserve"> of the period of inadmissibility that shall be of at least one year, including its starting and ending dates and the conditions for reducing it; and (c) the </w:t>
      </w:r>
      <w:r w:rsidRPr="00952489">
        <w:rPr>
          <w:rFonts w:eastAsia="Times New Roman" w:cs="Times New Roman"/>
          <w:szCs w:val="24"/>
          <w:u w:val="single"/>
          <w:lang w:eastAsia="en-GB"/>
        </w:rPr>
        <w:t>arrangements for recovering the aid</w:t>
      </w:r>
      <w:r w:rsidRPr="00952489">
        <w:rPr>
          <w:rFonts w:eastAsia="Times New Roman" w:cs="Times New Roman"/>
          <w:szCs w:val="24"/>
          <w:lang w:eastAsia="en-GB"/>
        </w:rPr>
        <w:t xml:space="preserve"> granted in the framework of financial corrections by Member States.</w:t>
      </w:r>
      <w:proofErr w:type="gramEnd"/>
    </w:p>
    <w:p w:rsidR="00952489" w:rsidRPr="00952489" w:rsidRDefault="00952489" w:rsidP="00952489">
      <w:pPr>
        <w:spacing w:after="120" w:line="240" w:lineRule="auto"/>
        <w:jc w:val="both"/>
        <w:rPr>
          <w:rFonts w:eastAsia="Times New Roman" w:cs="Times New Roman"/>
          <w:szCs w:val="24"/>
          <w:lang w:eastAsia="en-GB"/>
        </w:rPr>
      </w:pPr>
      <w:r w:rsidRPr="00952489">
        <w:rPr>
          <w:rFonts w:eastAsia="Times New Roman" w:cs="Times New Roman"/>
          <w:szCs w:val="24"/>
          <w:lang w:eastAsia="en-GB"/>
        </w:rPr>
        <w:t>The resolution adopted by the Parliament states that the delegated act is “</w:t>
      </w:r>
      <w:r w:rsidRPr="00952489">
        <w:rPr>
          <w:rFonts w:eastAsia="Times New Roman" w:cs="Times New Roman"/>
          <w:i/>
          <w:szCs w:val="24"/>
          <w:lang w:eastAsia="en-GB"/>
        </w:rPr>
        <w:t>not in line</w:t>
      </w:r>
      <w:r w:rsidRPr="00952489">
        <w:rPr>
          <w:rFonts w:eastAsia="Times New Roman" w:cs="Times New Roman"/>
          <w:szCs w:val="24"/>
          <w:lang w:eastAsia="en-GB"/>
        </w:rPr>
        <w:t>” with the empowerment. The Commission does not agree with this statement and considers that the delegated acts fully respects the clear requirements of the empowerment:</w:t>
      </w:r>
    </w:p>
    <w:p w:rsidR="00952489" w:rsidRPr="00952489" w:rsidRDefault="00952489" w:rsidP="00952489">
      <w:pPr>
        <w:numPr>
          <w:ilvl w:val="0"/>
          <w:numId w:val="1"/>
        </w:numPr>
        <w:spacing w:after="120" w:line="240" w:lineRule="auto"/>
        <w:ind w:left="360"/>
        <w:jc w:val="both"/>
        <w:rPr>
          <w:rFonts w:eastAsia="Times New Roman" w:cs="Times New Roman"/>
          <w:szCs w:val="24"/>
          <w:lang w:eastAsia="en-GB"/>
        </w:rPr>
      </w:pPr>
      <w:r w:rsidRPr="00952489">
        <w:rPr>
          <w:rFonts w:eastAsia="Times New Roman" w:cs="Times New Roman"/>
          <w:szCs w:val="20"/>
          <w:lang w:eastAsia="en-GB"/>
        </w:rPr>
        <w:t>The Commission is empowered to adopt a delegated act that identifies the threshold for triggering the inadmissibility, which should be “</w:t>
      </w:r>
      <w:r w:rsidRPr="00952489">
        <w:rPr>
          <w:rFonts w:eastAsia="Times New Roman" w:cs="Times New Roman"/>
          <w:i/>
          <w:szCs w:val="20"/>
          <w:lang w:eastAsia="en-GB"/>
        </w:rPr>
        <w:t>proportionate to the nature, gravity, duration and repetition of the serious infringements, offences or fraud committed</w:t>
      </w:r>
      <w:r w:rsidRPr="00952489">
        <w:rPr>
          <w:rFonts w:eastAsia="Times New Roman" w:cs="Times New Roman"/>
          <w:szCs w:val="20"/>
          <w:lang w:eastAsia="en-GB"/>
        </w:rPr>
        <w:t xml:space="preserve">”. In line with this empowerment, </w:t>
      </w:r>
      <w:r w:rsidRPr="00952489">
        <w:rPr>
          <w:rFonts w:eastAsia="Times New Roman" w:cs="Times New Roman"/>
          <w:szCs w:val="24"/>
          <w:lang w:eastAsia="en-GB"/>
        </w:rPr>
        <w:t xml:space="preserve">the standard threshold for triggering the inadmissibility is two serious infringements. </w:t>
      </w:r>
      <w:proofErr w:type="gramStart"/>
      <w:r w:rsidRPr="00952489">
        <w:rPr>
          <w:rFonts w:eastAsia="Times New Roman" w:cs="Times New Roman"/>
          <w:szCs w:val="24"/>
          <w:lang w:eastAsia="en-GB"/>
        </w:rPr>
        <w:t>However</w:t>
      </w:r>
      <w:proofErr w:type="gramEnd"/>
      <w:r w:rsidRPr="00952489">
        <w:rPr>
          <w:rFonts w:eastAsia="Times New Roman" w:cs="Times New Roman"/>
          <w:szCs w:val="24"/>
          <w:lang w:eastAsia="en-GB"/>
        </w:rPr>
        <w:t xml:space="preserve"> by way of derogation this threshold is reduced to one serious infringement in the case of the most serious infringements, which are particularly damaging due to their nature and seriousness. This ensures proportionality in accordance with the empowerment.</w:t>
      </w:r>
    </w:p>
    <w:p w:rsidR="00952489" w:rsidRPr="00952489" w:rsidRDefault="00952489" w:rsidP="00952489">
      <w:pPr>
        <w:numPr>
          <w:ilvl w:val="0"/>
          <w:numId w:val="1"/>
        </w:numPr>
        <w:spacing w:after="120" w:line="240" w:lineRule="auto"/>
        <w:ind w:left="360"/>
        <w:jc w:val="both"/>
        <w:rPr>
          <w:rFonts w:eastAsia="Times New Roman" w:cs="Times New Roman"/>
          <w:szCs w:val="24"/>
          <w:lang w:eastAsia="en-GB"/>
        </w:rPr>
      </w:pPr>
      <w:r w:rsidRPr="00952489">
        <w:rPr>
          <w:rFonts w:eastAsia="Times New Roman" w:cs="Times New Roman"/>
          <w:szCs w:val="24"/>
          <w:lang w:eastAsia="en-GB"/>
        </w:rPr>
        <w:t xml:space="preserve">The duration of the inadmissibility period cannot be less than 12 months, as required by the </w:t>
      </w:r>
      <w:proofErr w:type="spellStart"/>
      <w:r w:rsidRPr="00952489">
        <w:rPr>
          <w:rFonts w:eastAsia="Times New Roman" w:cs="Times New Roman"/>
          <w:szCs w:val="24"/>
          <w:lang w:eastAsia="en-GB"/>
        </w:rPr>
        <w:t>EMFAF</w:t>
      </w:r>
      <w:proofErr w:type="spellEnd"/>
      <w:r w:rsidRPr="00952489">
        <w:rPr>
          <w:rFonts w:eastAsia="Times New Roman" w:cs="Times New Roman"/>
          <w:szCs w:val="24"/>
          <w:lang w:eastAsia="en-GB"/>
        </w:rPr>
        <w:t xml:space="preserve"> Regulation, and is proportional to the gravity of the infringements by applying 2 months of inadmissibility for each infringement point assigned pursuant to </w:t>
      </w:r>
      <w:r w:rsidRPr="00952489">
        <w:rPr>
          <w:rFonts w:eastAsia="Times New Roman" w:cs="Times New Roman"/>
          <w:szCs w:val="24"/>
          <w:lang w:eastAsia="en-GB"/>
        </w:rPr>
        <w:lastRenderedPageBreak/>
        <w:t>Annex XXX to Commission Implementing Regulation (EU) No 404/2011 (i.e. the Implementing Regulation of the Control Regulation).</w:t>
      </w:r>
    </w:p>
    <w:p w:rsidR="00952489" w:rsidRPr="00952489" w:rsidRDefault="00952489" w:rsidP="00952489">
      <w:pPr>
        <w:spacing w:after="120" w:line="240" w:lineRule="auto"/>
        <w:jc w:val="both"/>
        <w:rPr>
          <w:rFonts w:eastAsia="Times New Roman" w:cs="Times New Roman"/>
          <w:szCs w:val="24"/>
          <w:lang w:eastAsia="en-GB"/>
        </w:rPr>
      </w:pPr>
      <w:r w:rsidRPr="00952489">
        <w:rPr>
          <w:rFonts w:eastAsia="Times New Roman" w:cs="Times New Roman"/>
          <w:szCs w:val="24"/>
          <w:lang w:eastAsia="en-GB"/>
        </w:rPr>
        <w:t>The resolution suggests an alternative proposal:</w:t>
      </w:r>
      <w:r w:rsidRPr="00952489">
        <w:rPr>
          <w:rFonts w:eastAsia="Times New Roman" w:cs="Times New Roman"/>
          <w:szCs w:val="24"/>
          <w:shd w:val="clear" w:color="auto" w:fill="FFFFFF"/>
          <w:lang w:eastAsia="en-GB"/>
        </w:rPr>
        <w:t xml:space="preserve"> “</w:t>
      </w:r>
      <w:r w:rsidRPr="00952489">
        <w:rPr>
          <w:rFonts w:eastAsia="Times New Roman" w:cs="Times New Roman"/>
          <w:i/>
          <w:szCs w:val="24"/>
          <w:shd w:val="clear" w:color="auto" w:fill="FFFFFF"/>
          <w:lang w:eastAsia="en-GB"/>
        </w:rPr>
        <w:t>a more proportionate solution could be to provide for the first two infringements only one month of inadmissibility instead of two for each point in the case of certain infringements, thus better capturing the rationale of the basic regulation in terms of proportionality</w:t>
      </w:r>
      <w:r w:rsidRPr="00952489">
        <w:rPr>
          <w:rFonts w:eastAsia="Times New Roman" w:cs="Times New Roman"/>
          <w:szCs w:val="24"/>
          <w:shd w:val="clear" w:color="auto" w:fill="FFFFFF"/>
          <w:lang w:eastAsia="en-GB"/>
        </w:rPr>
        <w:t>”.</w:t>
      </w:r>
      <w:r w:rsidRPr="00952489">
        <w:rPr>
          <w:rFonts w:eastAsia="Times New Roman" w:cs="Times New Roman"/>
          <w:szCs w:val="24"/>
          <w:lang w:eastAsia="en-GB"/>
        </w:rPr>
        <w:t xml:space="preserve"> This alternative is not legally compatible with the empowerment, as it would lead in certain cases to shorter period of inadmissibility than the required minimum of 12 months.</w:t>
      </w:r>
    </w:p>
    <w:p w:rsidR="00952489" w:rsidRPr="00952489" w:rsidRDefault="00952489" w:rsidP="00952489">
      <w:pPr>
        <w:spacing w:after="120" w:line="240" w:lineRule="auto"/>
        <w:jc w:val="both"/>
        <w:rPr>
          <w:rFonts w:eastAsia="Times New Roman" w:cs="Times New Roman"/>
          <w:szCs w:val="24"/>
          <w:shd w:val="clear" w:color="auto" w:fill="FFFFFF"/>
          <w:lang w:eastAsia="en-GB"/>
        </w:rPr>
      </w:pPr>
      <w:r w:rsidRPr="00952489">
        <w:rPr>
          <w:rFonts w:eastAsia="Times New Roman" w:cs="Times New Roman"/>
          <w:szCs w:val="24"/>
          <w:lang w:val="en-IE" w:eastAsia="en-GB"/>
        </w:rPr>
        <w:t>The resolution also states that the delegated act “</w:t>
      </w:r>
      <w:r w:rsidRPr="00952489">
        <w:rPr>
          <w:rFonts w:eastAsia="Times New Roman" w:cs="Times New Roman"/>
          <w:i/>
          <w:szCs w:val="24"/>
          <w:lang w:val="en-IE" w:eastAsia="en-GB"/>
        </w:rPr>
        <w:t>worsens the conditions</w:t>
      </w:r>
      <w:r w:rsidRPr="00952489">
        <w:rPr>
          <w:rFonts w:eastAsia="Times New Roman" w:cs="Times New Roman"/>
          <w:szCs w:val="24"/>
          <w:lang w:val="en-IE" w:eastAsia="en-GB"/>
        </w:rPr>
        <w:t xml:space="preserve">” compared to the previous framework </w:t>
      </w:r>
      <w:r w:rsidRPr="00952489">
        <w:rPr>
          <w:rFonts w:eastAsia="Times New Roman" w:cs="Times New Roman"/>
          <w:szCs w:val="24"/>
          <w:lang w:eastAsia="en-GB"/>
        </w:rPr>
        <w:t xml:space="preserve">established in Commission Delegated Regulation (EU) No 2015/288 on the admissibility of applications under the </w:t>
      </w:r>
      <w:proofErr w:type="spellStart"/>
      <w:r w:rsidRPr="00952489">
        <w:rPr>
          <w:rFonts w:eastAsia="Times New Roman" w:cs="Times New Roman"/>
          <w:szCs w:val="24"/>
          <w:lang w:eastAsia="en-GB"/>
        </w:rPr>
        <w:t>EMFF</w:t>
      </w:r>
      <w:proofErr w:type="spellEnd"/>
      <w:r w:rsidRPr="00952489">
        <w:rPr>
          <w:rFonts w:eastAsia="Times New Roman" w:cs="Times New Roman"/>
          <w:szCs w:val="24"/>
          <w:lang w:eastAsia="en-GB"/>
        </w:rPr>
        <w:t xml:space="preserve"> (2014-2020). </w:t>
      </w:r>
      <w:r w:rsidRPr="00952489">
        <w:rPr>
          <w:rFonts w:eastAsia="Times New Roman" w:cs="Times New Roman"/>
          <w:szCs w:val="24"/>
          <w:shd w:val="clear" w:color="auto" w:fill="FFFFFF"/>
          <w:lang w:eastAsia="en-GB"/>
        </w:rPr>
        <w:t>In this respect, the Commission highlights the following points:</w:t>
      </w:r>
    </w:p>
    <w:p w:rsidR="00952489" w:rsidRPr="00952489" w:rsidRDefault="00952489" w:rsidP="00952489">
      <w:pPr>
        <w:numPr>
          <w:ilvl w:val="0"/>
          <w:numId w:val="1"/>
        </w:numPr>
        <w:spacing w:after="120" w:line="240" w:lineRule="auto"/>
        <w:ind w:left="360"/>
        <w:jc w:val="both"/>
        <w:rPr>
          <w:rFonts w:eastAsia="Times New Roman" w:cs="Times New Roman"/>
          <w:szCs w:val="24"/>
          <w:lang w:eastAsia="en-GB"/>
        </w:rPr>
      </w:pPr>
      <w:r w:rsidRPr="00952489">
        <w:rPr>
          <w:rFonts w:eastAsia="Times New Roman" w:cs="Times New Roman"/>
          <w:szCs w:val="24"/>
          <w:lang w:eastAsia="en-GB"/>
        </w:rPr>
        <w:t xml:space="preserve">Under the previous framework, one single serious infringement was sufficient to trigger an inadmissibility period of 12 months, irrespective of the number of points. An exception to this rule was in place </w:t>
      </w:r>
      <w:r w:rsidRPr="00952489">
        <w:rPr>
          <w:rFonts w:eastAsia="Times New Roman" w:cs="Times New Roman"/>
          <w:b/>
          <w:szCs w:val="24"/>
          <w:lang w:eastAsia="en-GB"/>
        </w:rPr>
        <w:t>only for 3 types of serious infringements</w:t>
      </w:r>
      <w:r w:rsidRPr="00952489">
        <w:rPr>
          <w:rFonts w:eastAsia="Times New Roman" w:cs="Times New Roman"/>
          <w:szCs w:val="24"/>
          <w:lang w:eastAsia="en-GB"/>
        </w:rPr>
        <w:t xml:space="preserve"> (number 1 with 3 points, number 2 with 4 points and number 5 with 5 points</w:t>
      </w:r>
      <w:r w:rsidRPr="00952489">
        <w:rPr>
          <w:rFonts w:eastAsia="Times New Roman" w:cs="Times New Roman"/>
          <w:szCs w:val="24"/>
          <w:vertAlign w:val="superscript"/>
          <w:lang w:eastAsia="en-GB"/>
        </w:rPr>
        <w:footnoteReference w:id="1"/>
      </w:r>
      <w:r w:rsidRPr="00952489">
        <w:rPr>
          <w:rFonts w:eastAsia="Times New Roman" w:cs="Times New Roman"/>
          <w:szCs w:val="24"/>
          <w:lang w:eastAsia="en-GB"/>
        </w:rPr>
        <w:t xml:space="preserve">), for which a threshold of 9 points was necessary to trigger the inadmissibility. Under the </w:t>
      </w:r>
      <w:proofErr w:type="gramStart"/>
      <w:r w:rsidRPr="00952489">
        <w:rPr>
          <w:rFonts w:eastAsia="Times New Roman" w:cs="Times New Roman"/>
          <w:szCs w:val="24"/>
          <w:lang w:eastAsia="en-GB"/>
        </w:rPr>
        <w:t>new delegated</w:t>
      </w:r>
      <w:proofErr w:type="gramEnd"/>
      <w:r w:rsidRPr="00952489">
        <w:rPr>
          <w:rFonts w:eastAsia="Times New Roman" w:cs="Times New Roman"/>
          <w:szCs w:val="24"/>
          <w:lang w:eastAsia="en-GB"/>
        </w:rPr>
        <w:t xml:space="preserve"> act, two serious infringements instead of one are necessary to trigger inadmissibility, irrespective of the number of points. </w:t>
      </w:r>
    </w:p>
    <w:p w:rsidR="00952489" w:rsidRPr="00952489" w:rsidRDefault="00952489" w:rsidP="00952489">
      <w:pPr>
        <w:numPr>
          <w:ilvl w:val="0"/>
          <w:numId w:val="1"/>
        </w:numPr>
        <w:spacing w:after="120" w:line="240" w:lineRule="auto"/>
        <w:ind w:left="360"/>
        <w:jc w:val="both"/>
        <w:rPr>
          <w:rFonts w:eastAsia="Times New Roman" w:cs="Times New Roman"/>
          <w:szCs w:val="24"/>
          <w:lang w:eastAsia="en-GB"/>
        </w:rPr>
      </w:pPr>
      <w:r w:rsidRPr="00952489">
        <w:rPr>
          <w:rFonts w:eastAsia="Times New Roman" w:cs="Times New Roman"/>
          <w:szCs w:val="24"/>
          <w:lang w:eastAsia="en-GB"/>
        </w:rPr>
        <w:t>F</w:t>
      </w:r>
      <w:r w:rsidRPr="00952489">
        <w:rPr>
          <w:rFonts w:eastAsia="Times New Roman" w:cs="Times New Roman"/>
          <w:szCs w:val="20"/>
          <w:lang w:eastAsia="en-GB"/>
        </w:rPr>
        <w:t>or all the other categories of serious infringements (i.e. those with 5</w:t>
      </w:r>
      <w:r w:rsidRPr="00952489">
        <w:rPr>
          <w:rFonts w:eastAsia="Times New Roman" w:cs="Times New Roman"/>
          <w:szCs w:val="20"/>
          <w:vertAlign w:val="superscript"/>
          <w:lang w:eastAsia="en-GB"/>
        </w:rPr>
        <w:footnoteReference w:id="2"/>
      </w:r>
      <w:r w:rsidRPr="00952489">
        <w:rPr>
          <w:rFonts w:eastAsia="Times New Roman" w:cs="Times New Roman"/>
          <w:szCs w:val="20"/>
          <w:lang w:eastAsia="en-GB"/>
        </w:rPr>
        <w:t>, 6, 7 or no points), the previous framework triggered inadmissibility as of the first serious infringement, while the new delegated act applies a threshold of two serious infringements horizontally. The exception to this rule relates to the most serious infringements (i.e. those with 7 points or no points), for which the trigger is one case.</w:t>
      </w:r>
    </w:p>
    <w:p w:rsidR="00952489" w:rsidRPr="00952489" w:rsidRDefault="00952489" w:rsidP="00952489">
      <w:pPr>
        <w:numPr>
          <w:ilvl w:val="0"/>
          <w:numId w:val="1"/>
        </w:numPr>
        <w:spacing w:after="120" w:line="240" w:lineRule="auto"/>
        <w:ind w:left="360"/>
        <w:jc w:val="both"/>
        <w:rPr>
          <w:rFonts w:eastAsia="Times New Roman" w:cs="Times New Roman"/>
          <w:szCs w:val="24"/>
          <w:lang w:eastAsia="en-GB"/>
        </w:rPr>
      </w:pPr>
      <w:r w:rsidRPr="00952489">
        <w:rPr>
          <w:rFonts w:eastAsia="Times New Roman" w:cs="Times New Roman"/>
          <w:szCs w:val="20"/>
          <w:lang w:eastAsia="en-GB"/>
        </w:rPr>
        <w:t xml:space="preserve">The reference to 2 months of inadmissibility per point was introduced in the </w:t>
      </w:r>
      <w:proofErr w:type="gramStart"/>
      <w:r w:rsidRPr="00952489">
        <w:rPr>
          <w:rFonts w:eastAsia="Times New Roman" w:cs="Times New Roman"/>
          <w:szCs w:val="20"/>
          <w:lang w:eastAsia="en-GB"/>
        </w:rPr>
        <w:t>new delegated</w:t>
      </w:r>
      <w:proofErr w:type="gramEnd"/>
      <w:r w:rsidRPr="00952489">
        <w:rPr>
          <w:rFonts w:eastAsia="Times New Roman" w:cs="Times New Roman"/>
          <w:szCs w:val="20"/>
          <w:lang w:eastAsia="en-GB"/>
        </w:rPr>
        <w:t xml:space="preserve"> act to comply with the minimum duration of 12 months of inadmissibility. As the minimum number of points is </w:t>
      </w:r>
      <w:proofErr w:type="gramStart"/>
      <w:r w:rsidRPr="00952489">
        <w:rPr>
          <w:rFonts w:eastAsia="Times New Roman" w:cs="Times New Roman"/>
          <w:szCs w:val="20"/>
          <w:lang w:eastAsia="en-GB"/>
        </w:rPr>
        <w:t>3</w:t>
      </w:r>
      <w:proofErr w:type="gramEnd"/>
      <w:r w:rsidRPr="00952489">
        <w:rPr>
          <w:rFonts w:eastAsia="Times New Roman" w:cs="Times New Roman"/>
          <w:szCs w:val="20"/>
          <w:lang w:eastAsia="en-GB"/>
        </w:rPr>
        <w:t xml:space="preserve">, and as with the delegated act, 2 serious infringements are necessary to trigger the inadmissibility, 6 points is the minimum number of points that may trigger the inadmissibility. Assigning 2 months by point sticks with the minimum duration of 12 months. Assigning only one month by point implies that Managing Authorities, in case of 6 points, would have </w:t>
      </w:r>
      <w:proofErr w:type="gramStart"/>
      <w:r w:rsidRPr="00952489">
        <w:rPr>
          <w:rFonts w:eastAsia="Times New Roman" w:cs="Times New Roman"/>
          <w:szCs w:val="20"/>
          <w:lang w:eastAsia="en-GB"/>
        </w:rPr>
        <w:t>to artificially add</w:t>
      </w:r>
      <w:proofErr w:type="gramEnd"/>
      <w:r w:rsidRPr="00952489">
        <w:rPr>
          <w:rFonts w:eastAsia="Times New Roman" w:cs="Times New Roman"/>
          <w:szCs w:val="20"/>
          <w:lang w:eastAsia="en-GB"/>
        </w:rPr>
        <w:t xml:space="preserve"> 6 months to the inadmissibility period in order to comply with the minimum of 12 months.</w:t>
      </w:r>
    </w:p>
    <w:p w:rsidR="00952489" w:rsidRPr="00952489" w:rsidRDefault="00952489" w:rsidP="00952489">
      <w:pPr>
        <w:spacing w:after="120" w:line="240" w:lineRule="auto"/>
        <w:jc w:val="both"/>
        <w:rPr>
          <w:rFonts w:eastAsia="Times New Roman" w:cs="Times New Roman"/>
          <w:szCs w:val="24"/>
          <w:lang w:eastAsia="en-GB"/>
        </w:rPr>
      </w:pPr>
      <w:r w:rsidRPr="00952489">
        <w:rPr>
          <w:rFonts w:eastAsia="Times New Roman" w:cs="Times New Roman"/>
          <w:szCs w:val="20"/>
          <w:lang w:eastAsia="en-GB"/>
        </w:rPr>
        <w:t xml:space="preserve">The Commission therefore does not agree </w:t>
      </w:r>
      <w:proofErr w:type="gramStart"/>
      <w:r w:rsidRPr="00952489">
        <w:rPr>
          <w:rFonts w:eastAsia="Times New Roman" w:cs="Times New Roman"/>
          <w:szCs w:val="20"/>
          <w:lang w:eastAsia="en-GB"/>
        </w:rPr>
        <w:t>that overall</w:t>
      </w:r>
      <w:proofErr w:type="gramEnd"/>
      <w:r w:rsidRPr="00952489">
        <w:rPr>
          <w:rFonts w:eastAsia="Times New Roman" w:cs="Times New Roman"/>
          <w:szCs w:val="20"/>
          <w:lang w:eastAsia="en-GB"/>
        </w:rPr>
        <w:t xml:space="preserve"> the delegated act “</w:t>
      </w:r>
      <w:r w:rsidRPr="00952489">
        <w:rPr>
          <w:rFonts w:eastAsia="Times New Roman" w:cs="Times New Roman"/>
          <w:i/>
          <w:szCs w:val="20"/>
          <w:lang w:eastAsia="en-GB"/>
        </w:rPr>
        <w:t>worsens the situation</w:t>
      </w:r>
      <w:r w:rsidRPr="00952489">
        <w:rPr>
          <w:rFonts w:eastAsia="Times New Roman" w:cs="Times New Roman"/>
          <w:szCs w:val="20"/>
          <w:lang w:eastAsia="en-GB"/>
        </w:rPr>
        <w:t xml:space="preserve">” as suggested in the resolution. </w:t>
      </w:r>
      <w:proofErr w:type="gramStart"/>
      <w:r w:rsidRPr="00952489">
        <w:rPr>
          <w:rFonts w:eastAsia="Times New Roman" w:cs="Times New Roman"/>
          <w:szCs w:val="20"/>
          <w:lang w:eastAsia="en-GB"/>
        </w:rPr>
        <w:t>Overall</w:t>
      </w:r>
      <w:proofErr w:type="gramEnd"/>
      <w:r w:rsidRPr="00952489">
        <w:rPr>
          <w:rFonts w:eastAsia="Times New Roman" w:cs="Times New Roman"/>
          <w:szCs w:val="20"/>
          <w:lang w:eastAsia="en-GB"/>
        </w:rPr>
        <w:t xml:space="preserve"> the system is more proportionate and simpler.</w:t>
      </w:r>
    </w:p>
    <w:p w:rsidR="00952489" w:rsidRPr="00952489" w:rsidRDefault="00952489" w:rsidP="00952489">
      <w:pPr>
        <w:spacing w:after="120" w:line="240" w:lineRule="auto"/>
        <w:jc w:val="both"/>
        <w:rPr>
          <w:rFonts w:eastAsia="Times New Roman" w:cs="Times New Roman"/>
          <w:szCs w:val="24"/>
          <w:lang w:eastAsia="en-GB"/>
        </w:rPr>
      </w:pPr>
      <w:r w:rsidRPr="00952489">
        <w:rPr>
          <w:rFonts w:eastAsia="Times New Roman" w:cs="Times New Roman"/>
          <w:szCs w:val="24"/>
          <w:lang w:eastAsia="en-GB"/>
        </w:rPr>
        <w:t xml:space="preserve">The Commission takes note of the findings of the resolution and has already started preparations for a </w:t>
      </w:r>
      <w:proofErr w:type="gramStart"/>
      <w:r w:rsidRPr="00952489">
        <w:rPr>
          <w:rFonts w:eastAsia="Times New Roman" w:cs="Times New Roman"/>
          <w:szCs w:val="24"/>
          <w:lang w:eastAsia="en-GB"/>
        </w:rPr>
        <w:t>new delegated</w:t>
      </w:r>
      <w:proofErr w:type="gramEnd"/>
      <w:r w:rsidRPr="00952489">
        <w:rPr>
          <w:rFonts w:eastAsia="Times New Roman" w:cs="Times New Roman"/>
          <w:szCs w:val="24"/>
          <w:lang w:eastAsia="en-GB"/>
        </w:rPr>
        <w:t xml:space="preserve"> act.</w:t>
      </w:r>
    </w:p>
    <w:sectPr w:rsidR="00952489" w:rsidRPr="00952489" w:rsidSect="005D60A2">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89" w:rsidRDefault="00952489" w:rsidP="00952489">
      <w:pPr>
        <w:spacing w:after="0" w:line="240" w:lineRule="auto"/>
      </w:pPr>
      <w:r>
        <w:separator/>
      </w:r>
    </w:p>
  </w:endnote>
  <w:endnote w:type="continuationSeparator" w:id="0">
    <w:p w:rsidR="00952489" w:rsidRDefault="00952489" w:rsidP="0095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89" w:rsidRDefault="00952489" w:rsidP="00952489">
      <w:pPr>
        <w:spacing w:after="0" w:line="240" w:lineRule="auto"/>
      </w:pPr>
      <w:r>
        <w:separator/>
      </w:r>
    </w:p>
  </w:footnote>
  <w:footnote w:type="continuationSeparator" w:id="0">
    <w:p w:rsidR="00952489" w:rsidRDefault="00952489" w:rsidP="00952489">
      <w:pPr>
        <w:spacing w:after="0" w:line="240" w:lineRule="auto"/>
      </w:pPr>
      <w:r>
        <w:continuationSeparator/>
      </w:r>
    </w:p>
  </w:footnote>
  <w:footnote w:id="1">
    <w:p w:rsidR="00952489" w:rsidRPr="00D75F9D" w:rsidRDefault="00952489" w:rsidP="00D75F9D">
      <w:pPr>
        <w:tabs>
          <w:tab w:val="left" w:pos="284"/>
        </w:tabs>
        <w:spacing w:after="0"/>
        <w:jc w:val="both"/>
        <w:rPr>
          <w:sz w:val="20"/>
          <w:szCs w:val="20"/>
        </w:rPr>
      </w:pPr>
      <w:r w:rsidRPr="00D75F9D">
        <w:rPr>
          <w:rStyle w:val="FootnoteReference"/>
          <w:sz w:val="20"/>
          <w:szCs w:val="20"/>
        </w:rPr>
        <w:footnoteRef/>
      </w:r>
      <w:r w:rsidRPr="00D75F9D">
        <w:rPr>
          <w:sz w:val="20"/>
          <w:szCs w:val="20"/>
        </w:rPr>
        <w:t xml:space="preserve"> </w:t>
      </w:r>
      <w:r w:rsidRPr="00D75F9D">
        <w:rPr>
          <w:sz w:val="20"/>
          <w:szCs w:val="20"/>
        </w:rPr>
        <w:tab/>
        <w:t xml:space="preserve">Serious Infringements 1 and 2, although serious, do not necessarily directly cause a serious prejudice to </w:t>
      </w:r>
      <w:r w:rsidR="00D75F9D" w:rsidRPr="00D75F9D">
        <w:rPr>
          <w:sz w:val="20"/>
          <w:szCs w:val="20"/>
        </w:rPr>
        <w:tab/>
      </w:r>
      <w:r w:rsidRPr="00D75F9D">
        <w:rPr>
          <w:sz w:val="20"/>
          <w:szCs w:val="20"/>
        </w:rPr>
        <w:t xml:space="preserve">fisheries resources and the marine environment while Serious Infringement number 5 was related to the </w:t>
      </w:r>
      <w:r w:rsidR="00D75F9D" w:rsidRPr="00D75F9D">
        <w:rPr>
          <w:sz w:val="20"/>
          <w:szCs w:val="20"/>
        </w:rPr>
        <w:tab/>
      </w:r>
      <w:r w:rsidRPr="00D75F9D">
        <w:rPr>
          <w:sz w:val="20"/>
          <w:szCs w:val="20"/>
        </w:rPr>
        <w:t xml:space="preserve">landing obligation that was only gradually entering into force at the beginning of the </w:t>
      </w:r>
      <w:proofErr w:type="spellStart"/>
      <w:r w:rsidRPr="00D75F9D">
        <w:rPr>
          <w:sz w:val="20"/>
          <w:szCs w:val="20"/>
        </w:rPr>
        <w:t>EMFF</w:t>
      </w:r>
      <w:proofErr w:type="spellEnd"/>
      <w:r w:rsidRPr="00D75F9D">
        <w:rPr>
          <w:sz w:val="20"/>
          <w:szCs w:val="20"/>
        </w:rPr>
        <w:t xml:space="preserve"> programming </w:t>
      </w:r>
      <w:r w:rsidR="00D75F9D" w:rsidRPr="00D75F9D">
        <w:rPr>
          <w:sz w:val="20"/>
          <w:szCs w:val="20"/>
        </w:rPr>
        <w:tab/>
      </w:r>
      <w:r w:rsidRPr="00D75F9D">
        <w:rPr>
          <w:sz w:val="20"/>
          <w:szCs w:val="20"/>
        </w:rPr>
        <w:t>period in 2014</w:t>
      </w:r>
    </w:p>
  </w:footnote>
  <w:footnote w:id="2">
    <w:p w:rsidR="00952489" w:rsidRPr="00DE1F6D" w:rsidRDefault="00952489" w:rsidP="00D75F9D">
      <w:pPr>
        <w:pStyle w:val="FootnoteText"/>
        <w:tabs>
          <w:tab w:val="left" w:pos="284"/>
        </w:tabs>
      </w:pPr>
      <w:r w:rsidRPr="00DE1F6D">
        <w:rPr>
          <w:rStyle w:val="FootnoteReference"/>
        </w:rPr>
        <w:footnoteRef/>
      </w:r>
      <w:r w:rsidRPr="00DE1F6D">
        <w:t xml:space="preserve"> </w:t>
      </w:r>
      <w:r>
        <w:tab/>
      </w:r>
      <w:r w:rsidRPr="00DE1F6D">
        <w:t>With the exception o</w:t>
      </w:r>
      <w:r>
        <w:t>f Serious Infringement number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0A3B"/>
    <w:multiLevelType w:val="hybridMultilevel"/>
    <w:tmpl w:val="D63443B8"/>
    <w:lvl w:ilvl="0" w:tplc="B94E61B6">
      <w:start w:val="1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89"/>
    <w:rsid w:val="000F15F1"/>
    <w:rsid w:val="001E37D4"/>
    <w:rsid w:val="00512EE8"/>
    <w:rsid w:val="005D2E1A"/>
    <w:rsid w:val="0065281F"/>
    <w:rsid w:val="0076069D"/>
    <w:rsid w:val="00815B75"/>
    <w:rsid w:val="008342CE"/>
    <w:rsid w:val="00952489"/>
    <w:rsid w:val="0095347B"/>
    <w:rsid w:val="00D75F9D"/>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B919"/>
  <w15:chartTrackingRefBased/>
  <w15:docId w15:val="{4798EA08-3344-4717-9BA9-8A138657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2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89"/>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952489"/>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95248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5066</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2022-04-04T13:44:00Z</dcterms:created>
  <dcterms:modified xsi:type="dcterms:W3CDTF">2022-04-04T14:24:00Z</dcterms:modified>
</cp:coreProperties>
</file>