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B9B" w:rsidRPr="00F74B9B" w:rsidRDefault="00F74B9B" w:rsidP="00F74B9B">
      <w:pPr>
        <w:tabs>
          <w:tab w:val="left" w:pos="567"/>
        </w:tabs>
        <w:spacing w:after="240"/>
        <w:jc w:val="center"/>
        <w:rPr>
          <w:lang w:val="fr-FR"/>
        </w:rPr>
      </w:pPr>
      <w:r w:rsidRPr="00F74B9B">
        <w:rPr>
          <w:b/>
          <w:caps/>
          <w:lang w:val="fr-FR"/>
        </w:rPr>
        <w:t>PROCÉDURE</w:t>
      </w:r>
      <w:r w:rsidRPr="00F74B9B">
        <w:rPr>
          <w:b/>
          <w:lang w:val="fr-FR"/>
        </w:rPr>
        <w:t xml:space="preserve"> LÉGISLATIVE ORDINAIRE – Première lecture</w:t>
      </w:r>
    </w:p>
    <w:p w:rsidR="00F74B9B" w:rsidRPr="00F74B9B" w:rsidRDefault="00F74B9B" w:rsidP="00F74B9B">
      <w:pPr>
        <w:spacing w:after="600"/>
        <w:jc w:val="center"/>
        <w:rPr>
          <w:b/>
          <w:bCs/>
          <w:lang w:val="fr-FR"/>
        </w:rPr>
      </w:pPr>
      <w:bookmarkStart w:id="0" w:name="codex"/>
      <w:r w:rsidRPr="00F74B9B">
        <w:rPr>
          <w:b/>
          <w:bCs/>
          <w:lang w:val="fr-FR"/>
        </w:rPr>
        <w:t>Suite donnée à la</w:t>
      </w:r>
      <w:r w:rsidRPr="00F74B9B">
        <w:rPr>
          <w:b/>
          <w:lang w:val="fr-FR"/>
        </w:rPr>
        <w:t xml:space="preserve"> résolution législative du Parlement européen </w:t>
      </w:r>
      <w:r w:rsidRPr="00F74B9B">
        <w:rPr>
          <w:b/>
          <w:bCs/>
          <w:lang w:val="fr-FR"/>
        </w:rPr>
        <w:t xml:space="preserve">sur la proposition de règlement du Parlement européen et du Conseil relatif à un système de communication informatisé pour les procédures civiles et pénales transfrontières (système e-CODEX), et </w:t>
      </w:r>
      <w:r w:rsidRPr="00F74B9B">
        <w:rPr>
          <w:lang w:val="fr-FR"/>
        </w:rPr>
        <w:t xml:space="preserve"> </w:t>
      </w:r>
      <w:r w:rsidRPr="00F74B9B">
        <w:rPr>
          <w:lang w:val="fr-FR"/>
        </w:rPr>
        <w:br/>
      </w:r>
      <w:r w:rsidRPr="00F74B9B">
        <w:rPr>
          <w:b/>
          <w:bCs/>
          <w:lang w:val="fr-FR"/>
        </w:rPr>
        <w:t>modifiant le règlement (UE) 2018/1726</w:t>
      </w:r>
      <w:bookmarkEnd w:id="0"/>
    </w:p>
    <w:p w:rsidR="00F74B9B" w:rsidRPr="00F74B9B" w:rsidRDefault="00F74B9B" w:rsidP="00F74B9B">
      <w:pPr>
        <w:spacing w:after="240"/>
        <w:ind w:left="567" w:hanging="567"/>
        <w:rPr>
          <w:lang w:val="fr-FR"/>
        </w:rPr>
      </w:pPr>
      <w:r w:rsidRPr="00F74B9B">
        <w:rPr>
          <w:b/>
          <w:lang w:val="fr-FR"/>
        </w:rPr>
        <w:t>1.</w:t>
      </w:r>
      <w:r w:rsidRPr="00F74B9B">
        <w:rPr>
          <w:lang w:val="fr-FR"/>
        </w:rPr>
        <w:tab/>
      </w:r>
      <w:r w:rsidRPr="00F74B9B">
        <w:rPr>
          <w:b/>
          <w:lang w:val="fr-FR"/>
        </w:rPr>
        <w:t xml:space="preserve">Rapporteurs: </w:t>
      </w:r>
      <w:r w:rsidRPr="00F74B9B">
        <w:rPr>
          <w:color w:val="1E1E1F"/>
          <w:lang w:val="fr-FR"/>
        </w:rPr>
        <w:t>Emil RADEV (PPE / BG), Nuno MELO (PPE / PT)</w:t>
      </w:r>
    </w:p>
    <w:p w:rsidR="00F74B9B" w:rsidRPr="00F74B9B" w:rsidRDefault="00F74B9B" w:rsidP="00F74B9B">
      <w:pPr>
        <w:spacing w:after="240"/>
        <w:ind w:left="567" w:hanging="567"/>
        <w:rPr>
          <w:lang w:val="fr-FR"/>
        </w:rPr>
      </w:pPr>
      <w:r w:rsidRPr="00F74B9B">
        <w:rPr>
          <w:b/>
          <w:lang w:val="fr-FR"/>
        </w:rPr>
        <w:t>2.</w:t>
      </w:r>
      <w:r w:rsidRPr="00F74B9B">
        <w:rPr>
          <w:lang w:val="fr-FR"/>
        </w:rPr>
        <w:tab/>
      </w:r>
      <w:r w:rsidRPr="00F74B9B">
        <w:rPr>
          <w:b/>
          <w:lang w:val="fr-FR"/>
        </w:rPr>
        <w:t>Numéros de référence:</w:t>
      </w:r>
      <w:r w:rsidRPr="00F74B9B">
        <w:rPr>
          <w:lang w:val="fr-FR"/>
        </w:rPr>
        <w:t xml:space="preserve"> 2020/0345 (COD) / A9-0288/2021 / P9_TA-</w:t>
      </w:r>
      <w:proofErr w:type="gramStart"/>
      <w:r w:rsidRPr="00F74B9B">
        <w:rPr>
          <w:lang w:val="fr-FR"/>
        </w:rPr>
        <w:t>PROV(</w:t>
      </w:r>
      <w:proofErr w:type="gramEnd"/>
      <w:r w:rsidRPr="00F74B9B">
        <w:rPr>
          <w:lang w:val="fr-FR"/>
        </w:rPr>
        <w:t>2022)0091</w:t>
      </w:r>
    </w:p>
    <w:p w:rsidR="00F74B9B" w:rsidRPr="00F74B9B" w:rsidRDefault="00F74B9B" w:rsidP="00F74B9B">
      <w:pPr>
        <w:spacing w:after="240"/>
        <w:ind w:left="567" w:hanging="567"/>
        <w:rPr>
          <w:lang w:val="fr-FR"/>
        </w:rPr>
      </w:pPr>
      <w:r w:rsidRPr="00F74B9B">
        <w:rPr>
          <w:b/>
          <w:lang w:val="fr-FR"/>
        </w:rPr>
        <w:t>3.</w:t>
      </w:r>
      <w:r w:rsidRPr="00F74B9B">
        <w:rPr>
          <w:lang w:val="fr-FR"/>
        </w:rPr>
        <w:tab/>
      </w:r>
      <w:r w:rsidRPr="00F74B9B">
        <w:rPr>
          <w:b/>
          <w:lang w:val="fr-FR"/>
        </w:rPr>
        <w:t xml:space="preserve">Date d’adoption de la résolution: </w:t>
      </w:r>
      <w:r w:rsidRPr="00F74B9B">
        <w:rPr>
          <w:lang w:val="fr-FR"/>
        </w:rPr>
        <w:t>24 mars 2022</w:t>
      </w:r>
    </w:p>
    <w:p w:rsidR="00F74B9B" w:rsidRPr="00F74B9B" w:rsidRDefault="00F74B9B" w:rsidP="00F74B9B">
      <w:pPr>
        <w:spacing w:after="240"/>
        <w:ind w:left="567" w:hanging="567"/>
        <w:rPr>
          <w:lang w:val="fr-FR"/>
        </w:rPr>
      </w:pPr>
      <w:r w:rsidRPr="00F74B9B">
        <w:rPr>
          <w:b/>
          <w:lang w:val="fr-FR"/>
        </w:rPr>
        <w:t>4.</w:t>
      </w:r>
      <w:r w:rsidRPr="00F74B9B">
        <w:rPr>
          <w:lang w:val="fr-FR"/>
        </w:rPr>
        <w:tab/>
      </w:r>
      <w:r w:rsidRPr="00F74B9B">
        <w:rPr>
          <w:b/>
          <w:lang w:val="fr-FR"/>
        </w:rPr>
        <w:t xml:space="preserve">Base juridique: </w:t>
      </w:r>
      <w:r w:rsidRPr="00F74B9B">
        <w:rPr>
          <w:lang w:val="fr-FR"/>
        </w:rPr>
        <w:t>article 81, paragraphe 2, et article 82, paragraphe 1, du traité sur le fonctionnement de l’Union européenne</w:t>
      </w:r>
    </w:p>
    <w:p w:rsidR="00F74B9B" w:rsidRPr="00F74B9B" w:rsidRDefault="00F74B9B" w:rsidP="00F74B9B">
      <w:pPr>
        <w:shd w:val="clear" w:color="auto" w:fill="FFFFFF"/>
        <w:spacing w:after="240" w:line="288" w:lineRule="atLeast"/>
        <w:ind w:left="567" w:hanging="567"/>
        <w:textAlignment w:val="center"/>
        <w:rPr>
          <w:i/>
          <w:lang w:val="fr-FR"/>
        </w:rPr>
      </w:pPr>
      <w:r w:rsidRPr="00F74B9B">
        <w:rPr>
          <w:b/>
          <w:lang w:val="fr-FR"/>
        </w:rPr>
        <w:t>5.</w:t>
      </w:r>
      <w:r w:rsidRPr="00F74B9B">
        <w:rPr>
          <w:lang w:val="fr-FR"/>
        </w:rPr>
        <w:tab/>
      </w:r>
      <w:r w:rsidRPr="00F74B9B">
        <w:rPr>
          <w:b/>
          <w:lang w:val="fr-FR"/>
        </w:rPr>
        <w:t xml:space="preserve">Commissions parlementaires compétentes: </w:t>
      </w:r>
      <w:r w:rsidRPr="00F74B9B">
        <w:rPr>
          <w:lang w:val="fr-FR"/>
        </w:rPr>
        <w:t>commission des affaires juridiques (JURI) et commission des libertés civiles, de la justice et des affaires intérieures (LIBE)</w:t>
      </w:r>
    </w:p>
    <w:p w:rsidR="008765BE" w:rsidRPr="00F74B9B" w:rsidRDefault="00F74B9B" w:rsidP="00F74B9B">
      <w:pPr>
        <w:rPr>
          <w:lang w:val="fr-FR"/>
        </w:rPr>
      </w:pPr>
      <w:r w:rsidRPr="00F74B9B">
        <w:rPr>
          <w:b/>
          <w:lang w:val="fr-FR"/>
        </w:rPr>
        <w:t>6.</w:t>
      </w:r>
      <w:r w:rsidRPr="00F74B9B">
        <w:rPr>
          <w:lang w:val="fr-FR"/>
        </w:rPr>
        <w:tab/>
      </w:r>
      <w:r w:rsidRPr="00F74B9B">
        <w:rPr>
          <w:b/>
          <w:lang w:val="fr-FR"/>
        </w:rPr>
        <w:t>Position de la Commission:</w:t>
      </w:r>
      <w:r w:rsidRPr="00F74B9B">
        <w:rPr>
          <w:color w:val="000000"/>
          <w:sz w:val="22"/>
          <w:szCs w:val="22"/>
          <w:lang w:val="fr-FR"/>
        </w:rPr>
        <w:t xml:space="preserve"> </w:t>
      </w:r>
      <w:r w:rsidRPr="00F74B9B">
        <w:rPr>
          <w:color w:val="000000"/>
          <w:lang w:val="fr-FR"/>
        </w:rPr>
        <w:t>la Commission accepte tous les amendements.</w:t>
      </w:r>
      <w:bookmarkStart w:id="1" w:name="_GoBack"/>
      <w:bookmarkEnd w:id="1"/>
    </w:p>
    <w:sectPr w:rsidR="008765BE" w:rsidRPr="00F74B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9B"/>
    <w:rsid w:val="005762E3"/>
    <w:rsid w:val="008765BE"/>
    <w:rsid w:val="00F7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1FC57-3759-402E-BE44-FF2FC080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2022-05-03T15:21:00Z</dcterms:created>
  <dcterms:modified xsi:type="dcterms:W3CDTF">2022-05-03T15:21:00Z</dcterms:modified>
</cp:coreProperties>
</file>