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E5" w:rsidRPr="007760E5" w:rsidRDefault="007760E5" w:rsidP="007760E5">
      <w:pPr>
        <w:spacing w:after="600" w:line="240" w:lineRule="auto"/>
        <w:jc w:val="center"/>
        <w:rPr>
          <w:rFonts w:eastAsia="Times New Roman" w:cs="Times New Roman"/>
          <w:b/>
          <w:szCs w:val="24"/>
          <w:lang w:val="fr-FR" w:eastAsia="en-GB"/>
        </w:rPr>
      </w:pPr>
      <w:bookmarkStart w:id="0" w:name="oilseed"/>
      <w:r w:rsidRPr="007760E5">
        <w:rPr>
          <w:rFonts w:eastAsia="Times New Roman" w:cs="Times New Roman"/>
          <w:b/>
          <w:szCs w:val="20"/>
          <w:lang w:val="fr-FR" w:eastAsia="en-GB"/>
        </w:rPr>
        <w:t xml:space="preserve">Suite donnée à la résolution non législative du Parlement européen sur le projet de décision d’exécution de la Commission renouvelant l’autorisation de mise sur le marché de produits contenant du colza génétiquement modifié 73496 (DP-Ø73496-4), consistant en ce colza ou </w:t>
      </w:r>
      <w:r w:rsidR="00997444">
        <w:rPr>
          <w:rFonts w:eastAsia="Times New Roman" w:cs="Times New Roman"/>
          <w:b/>
          <w:szCs w:val="20"/>
          <w:lang w:val="fr-FR" w:eastAsia="en-GB"/>
        </w:rPr>
        <w:t xml:space="preserve">produits à partir de celui-ci, </w:t>
      </w:r>
      <w:r w:rsidRPr="007760E5">
        <w:rPr>
          <w:rFonts w:eastAsia="Times New Roman" w:cs="Times New Roman"/>
          <w:b/>
          <w:szCs w:val="20"/>
          <w:lang w:val="fr-FR" w:eastAsia="en-GB"/>
        </w:rPr>
        <w:t xml:space="preserve">en application </w:t>
      </w:r>
      <w:r w:rsidR="00997444">
        <w:rPr>
          <w:rFonts w:eastAsia="Times New Roman" w:cs="Times New Roman"/>
          <w:b/>
          <w:szCs w:val="20"/>
          <w:lang w:val="fr-FR" w:eastAsia="en-GB"/>
        </w:rPr>
        <w:t xml:space="preserve">du règlement (CE) nº 1829/2003 </w:t>
      </w:r>
      <w:r w:rsidRPr="007760E5">
        <w:rPr>
          <w:rFonts w:eastAsia="Times New Roman" w:cs="Times New Roman"/>
          <w:b/>
          <w:szCs w:val="20"/>
          <w:lang w:val="fr-FR" w:eastAsia="en-GB"/>
        </w:rPr>
        <w:t>du Parlement européen et du Conseil</w:t>
      </w:r>
      <w:bookmarkEnd w:id="0"/>
    </w:p>
    <w:p w:rsidR="007760E5" w:rsidRPr="007760E5" w:rsidRDefault="007760E5" w:rsidP="007760E5">
      <w:pPr>
        <w:spacing w:after="240" w:line="240" w:lineRule="auto"/>
        <w:ind w:left="720" w:hanging="720"/>
        <w:jc w:val="both"/>
        <w:rPr>
          <w:rFonts w:eastAsia="Times New Roman" w:cs="Times New Roman"/>
          <w:b/>
          <w:szCs w:val="24"/>
          <w:lang w:val="fr-FR" w:eastAsia="en-GB"/>
        </w:rPr>
      </w:pPr>
      <w:r w:rsidRPr="007760E5">
        <w:rPr>
          <w:rFonts w:eastAsia="Times New Roman" w:cs="Times New Roman"/>
          <w:b/>
          <w:szCs w:val="20"/>
          <w:lang w:val="fr-FR" w:eastAsia="en-GB"/>
        </w:rPr>
        <w:t>1.</w:t>
      </w:r>
      <w:r w:rsidRPr="007760E5">
        <w:rPr>
          <w:rFonts w:eastAsia="Times New Roman" w:cs="Times New Roman"/>
          <w:b/>
          <w:szCs w:val="20"/>
          <w:lang w:val="fr-FR" w:eastAsia="en-GB"/>
        </w:rPr>
        <w:tab/>
        <w:t>Résolution présentée conformément à l’article 112, paragraphes 2 et 3, du règlement intérieur du Parlement européen</w:t>
      </w:r>
    </w:p>
    <w:p w:rsidR="007760E5" w:rsidRPr="007760E5" w:rsidRDefault="007760E5" w:rsidP="007760E5">
      <w:pPr>
        <w:spacing w:after="240" w:line="240" w:lineRule="auto"/>
        <w:jc w:val="both"/>
        <w:rPr>
          <w:rFonts w:eastAsia="Times New Roman" w:cs="Times New Roman"/>
          <w:i/>
          <w:szCs w:val="24"/>
          <w:lang w:val="fr-FR" w:eastAsia="en-GB"/>
        </w:rPr>
      </w:pPr>
      <w:r w:rsidRPr="007760E5">
        <w:rPr>
          <w:rFonts w:eastAsia="Times New Roman" w:cs="Times New Roman"/>
          <w:b/>
          <w:szCs w:val="20"/>
          <w:lang w:val="fr-FR" w:eastAsia="en-GB"/>
        </w:rPr>
        <w:t>2.</w:t>
      </w:r>
      <w:r w:rsidRPr="007760E5">
        <w:rPr>
          <w:rFonts w:eastAsia="Times New Roman" w:cs="Times New Roman"/>
          <w:b/>
          <w:szCs w:val="20"/>
          <w:lang w:val="fr-FR" w:eastAsia="en-GB"/>
        </w:rPr>
        <w:tab/>
        <w:t xml:space="preserve">Numéro de référence: </w:t>
      </w:r>
      <w:r w:rsidRPr="007760E5">
        <w:rPr>
          <w:rFonts w:eastAsia="Times New Roman" w:cs="Times New Roman"/>
          <w:szCs w:val="20"/>
          <w:lang w:val="fr-FR" w:eastAsia="en-GB"/>
        </w:rPr>
        <w:t xml:space="preserve">2021/3058 (RSP) / </w:t>
      </w:r>
      <w:bookmarkStart w:id="1" w:name="_GoBack"/>
      <w:r w:rsidRPr="007760E5">
        <w:rPr>
          <w:rFonts w:eastAsia="Times New Roman" w:cs="Times New Roman"/>
          <w:szCs w:val="20"/>
          <w:lang w:val="fr-FR" w:eastAsia="en-GB"/>
        </w:rPr>
        <w:t xml:space="preserve">B9-0127/2022 </w:t>
      </w:r>
      <w:bookmarkEnd w:id="1"/>
      <w:r w:rsidRPr="007760E5">
        <w:rPr>
          <w:rFonts w:eastAsia="Times New Roman" w:cs="Times New Roman"/>
          <w:szCs w:val="20"/>
          <w:lang w:val="fr-FR" w:eastAsia="en-GB"/>
        </w:rPr>
        <w:t>/ P9_TA PROV(2022)0063</w:t>
      </w:r>
    </w:p>
    <w:p w:rsidR="007760E5" w:rsidRPr="007760E5" w:rsidRDefault="007760E5" w:rsidP="007760E5">
      <w:pPr>
        <w:spacing w:after="240" w:line="240" w:lineRule="auto"/>
        <w:jc w:val="both"/>
        <w:rPr>
          <w:rFonts w:eastAsia="Times New Roman" w:cs="Times New Roman"/>
          <w:szCs w:val="24"/>
          <w:lang w:val="fr-FR" w:eastAsia="en-GB"/>
        </w:rPr>
      </w:pPr>
      <w:r w:rsidRPr="007760E5">
        <w:rPr>
          <w:rFonts w:eastAsia="Times New Roman" w:cs="Times New Roman"/>
          <w:b/>
          <w:szCs w:val="20"/>
          <w:lang w:val="fr-FR" w:eastAsia="en-GB"/>
        </w:rPr>
        <w:t>3.</w:t>
      </w:r>
      <w:r w:rsidRPr="007760E5">
        <w:rPr>
          <w:rFonts w:eastAsia="Times New Roman" w:cs="Times New Roman"/>
          <w:b/>
          <w:szCs w:val="20"/>
          <w:lang w:val="fr-FR" w:eastAsia="en-GB"/>
        </w:rPr>
        <w:tab/>
        <w:t>Date d’adoption de la résolution:</w:t>
      </w:r>
      <w:r w:rsidRPr="007760E5">
        <w:rPr>
          <w:rFonts w:eastAsia="Times New Roman" w:cs="Times New Roman"/>
          <w:szCs w:val="20"/>
          <w:lang w:val="fr-FR" w:eastAsia="en-GB"/>
        </w:rPr>
        <w:t xml:space="preserve"> 9 mars 2022</w:t>
      </w:r>
    </w:p>
    <w:p w:rsidR="007760E5" w:rsidRPr="007760E5" w:rsidRDefault="007760E5" w:rsidP="007760E5">
      <w:pPr>
        <w:spacing w:after="240" w:line="240" w:lineRule="auto"/>
        <w:ind w:left="720" w:hanging="720"/>
        <w:jc w:val="both"/>
        <w:rPr>
          <w:rFonts w:eastAsia="Times New Roman" w:cs="Times New Roman"/>
          <w:i/>
          <w:szCs w:val="24"/>
          <w:lang w:val="fr-FR" w:eastAsia="en-GB"/>
        </w:rPr>
      </w:pPr>
      <w:r w:rsidRPr="007760E5">
        <w:rPr>
          <w:rFonts w:eastAsia="Times New Roman" w:cs="Times New Roman"/>
          <w:b/>
          <w:szCs w:val="20"/>
          <w:lang w:val="fr-FR" w:eastAsia="en-GB"/>
        </w:rPr>
        <w:t>4.</w:t>
      </w:r>
      <w:r w:rsidRPr="007760E5">
        <w:rPr>
          <w:rFonts w:eastAsia="Times New Roman" w:cs="Times New Roman"/>
          <w:b/>
          <w:szCs w:val="20"/>
          <w:lang w:val="fr-FR" w:eastAsia="en-GB"/>
        </w:rPr>
        <w:tab/>
        <w:t xml:space="preserve">Commission parlementaire compétente: </w:t>
      </w:r>
      <w:r w:rsidRPr="007760E5">
        <w:rPr>
          <w:rFonts w:eastAsia="Times New Roman" w:cs="Times New Roman"/>
          <w:szCs w:val="20"/>
          <w:lang w:val="fr-FR" w:eastAsia="en-GB"/>
        </w:rPr>
        <w:t>commission de l’environnement, de la santé publique et de la sécurité alimentaire (ENVI)</w:t>
      </w:r>
    </w:p>
    <w:p w:rsidR="007760E5" w:rsidRPr="007760E5" w:rsidRDefault="007760E5" w:rsidP="007760E5">
      <w:pPr>
        <w:widowControl w:val="0"/>
        <w:spacing w:after="240" w:line="240" w:lineRule="auto"/>
        <w:jc w:val="both"/>
        <w:rPr>
          <w:rFonts w:eastAsia="Times New Roman" w:cs="Times New Roman"/>
          <w:b/>
          <w:szCs w:val="24"/>
          <w:lang w:val="fr-FR" w:eastAsia="en-GB"/>
        </w:rPr>
      </w:pPr>
      <w:r w:rsidRPr="007760E5">
        <w:rPr>
          <w:rFonts w:eastAsia="Times New Roman" w:cs="Times New Roman"/>
          <w:b/>
          <w:szCs w:val="20"/>
          <w:lang w:val="fr-FR" w:eastAsia="en-GB"/>
        </w:rPr>
        <w:t>5.</w:t>
      </w:r>
      <w:r w:rsidRPr="007760E5">
        <w:rPr>
          <w:rFonts w:eastAsia="Times New Roman" w:cs="Times New Roman"/>
          <w:b/>
          <w:szCs w:val="20"/>
          <w:lang w:val="fr-FR" w:eastAsia="en-GB"/>
        </w:rPr>
        <w:tab/>
        <w:t>Analyse/évaluation succincte de la résolution et des demandes qu’elle contient: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Dans sa résolution, le Parlement européen demande le retrait du projet de décision d’exécution de la Commission (</w:t>
      </w:r>
      <w:r w:rsidRPr="007760E5">
        <w:rPr>
          <w:rFonts w:eastAsia="Times New Roman" w:cs="Times New Roman"/>
          <w:b/>
          <w:szCs w:val="20"/>
          <w:lang w:val="fr-FR" w:eastAsia="en-GB"/>
        </w:rPr>
        <w:t>paragraphe 3</w:t>
      </w:r>
      <w:r w:rsidRPr="007760E5">
        <w:rPr>
          <w:rFonts w:eastAsia="Times New Roman" w:cs="Times New Roman"/>
          <w:szCs w:val="20"/>
          <w:lang w:val="fr-FR" w:eastAsia="en-GB"/>
        </w:rPr>
        <w:t>), au motif que ce projet de mesure excède les compétences d’exécution prévues dans le règlement (CE) nº 1829/2003 (</w:t>
      </w:r>
      <w:r w:rsidRPr="007760E5">
        <w:rPr>
          <w:rFonts w:eastAsia="Times New Roman" w:cs="Times New Roman"/>
          <w:b/>
          <w:szCs w:val="20"/>
          <w:lang w:val="fr-FR" w:eastAsia="en-GB"/>
        </w:rPr>
        <w:t>paragraphe 1</w:t>
      </w:r>
      <w:r w:rsidRPr="007760E5">
        <w:rPr>
          <w:rFonts w:eastAsia="Times New Roman" w:cs="Times New Roman"/>
          <w:szCs w:val="20"/>
          <w:lang w:val="fr-FR" w:eastAsia="en-GB"/>
        </w:rPr>
        <w:t>)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sidRPr="007760E5">
        <w:rPr>
          <w:rFonts w:eastAsia="Times New Roman" w:cs="Times New Roman"/>
          <w:b/>
          <w:szCs w:val="20"/>
          <w:lang w:val="fr-FR" w:eastAsia="en-GB"/>
        </w:rPr>
        <w:t>paragraphe 2</w:t>
      </w:r>
      <w:r w:rsidRPr="007760E5">
        <w:rPr>
          <w:rFonts w:eastAsia="Times New Roman" w:cs="Times New Roman"/>
          <w:szCs w:val="20"/>
          <w:lang w:val="fr-FR" w:eastAsia="en-GB"/>
        </w:rPr>
        <w: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Le Parlement rappelle dans la résolution que le colza génétiquement modifié est tolérant aux herbicides à base de glyphosate (</w:t>
      </w:r>
      <w:r w:rsidRPr="007760E5">
        <w:rPr>
          <w:rFonts w:eastAsia="Times New Roman" w:cs="Times New Roman"/>
          <w:b/>
          <w:bCs/>
          <w:szCs w:val="20"/>
          <w:lang w:val="fr-FR" w:eastAsia="en-GB"/>
        </w:rPr>
        <w:t>considérant C</w:t>
      </w:r>
      <w:r w:rsidRPr="007760E5">
        <w:rPr>
          <w:rFonts w:eastAsia="Times New Roman" w:cs="Times New Roman"/>
          <w:szCs w:val="20"/>
          <w:lang w:val="fr-FR" w:eastAsia="en-GB"/>
        </w:rPr>
        <w:t>) et il invite la Commission à ne pas autoriser de plantes génétiquement modifiées tolérantes aux herbicides sans évaluation complète des résidus de la pulvérisation avec des herbicides complémentaires, des métabolites et leurs éventuels effets combinatoires (</w:t>
      </w:r>
      <w:r w:rsidRPr="007760E5">
        <w:rPr>
          <w:rFonts w:eastAsia="Times New Roman" w:cs="Times New Roman"/>
          <w:b/>
          <w:bCs/>
          <w:szCs w:val="20"/>
          <w:lang w:val="fr-FR" w:eastAsia="en-GB"/>
        </w:rPr>
        <w:t>paragraphe 4</w:t>
      </w:r>
      <w:r w:rsidRPr="007760E5">
        <w:rPr>
          <w:rFonts w:eastAsia="Times New Roman" w:cs="Times New Roman"/>
          <w:szCs w:val="20"/>
          <w:lang w:val="fr-FR" w:eastAsia="en-GB"/>
        </w:rPr>
        <w: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Dans sa résolution, le Parlement se félicite que la Commission ait reconnu que les décisions d’autorisation relatives aux OGM doivent tenir compte de la durabilité et se déclare profondément déçu que la Commission ait continué d’autoriser l’importation d’OGM, malgré les objections exprimées à de multiples reprises par le Parlement et le vote contre de la majorité des États membres (</w:t>
      </w:r>
      <w:r w:rsidRPr="007760E5">
        <w:rPr>
          <w:rFonts w:eastAsia="Times New Roman" w:cs="Times New Roman"/>
          <w:b/>
          <w:bCs/>
          <w:szCs w:val="20"/>
          <w:lang w:val="fr-FR" w:eastAsia="en-GB"/>
        </w:rPr>
        <w:t>paragraphe 5</w:t>
      </w:r>
      <w:r w:rsidRPr="007760E5">
        <w:rPr>
          <w:rFonts w:eastAsia="Times New Roman" w:cs="Times New Roman"/>
          <w:szCs w:val="20"/>
          <w:lang w:val="fr-FR" w:eastAsia="en-GB"/>
        </w:rPr>
        <w: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Dans sa résolution, le Parlement prie aussi l’Autorité européenne de sécurité des aliments (EFSA) de demander des données supplémentaires aux fins de l’évaluation des risques (</w:t>
      </w:r>
      <w:r w:rsidRPr="007760E5">
        <w:rPr>
          <w:rFonts w:eastAsia="Times New Roman" w:cs="Times New Roman"/>
          <w:b/>
          <w:bCs/>
          <w:szCs w:val="20"/>
          <w:lang w:val="fr-FR" w:eastAsia="en-GB"/>
        </w:rPr>
        <w:t>paragraphe 6</w:t>
      </w:r>
      <w:r w:rsidRPr="007760E5">
        <w:rPr>
          <w:rFonts w:eastAsia="Times New Roman" w:cs="Times New Roman"/>
          <w:szCs w:val="20"/>
          <w:lang w:val="fr-FR" w:eastAsia="en-GB"/>
        </w:rPr>
        <w: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Il demande instamment à la Commission, une fois encore, de tenir compte des obligations qui incombent à l’Union en vertu d’accords internationaux, tels que l’accord de Paris sur le climat, la convention des Nations unies sur la diversité biologique et les objectifs de développement durable des Nations unies (</w:t>
      </w:r>
      <w:r w:rsidRPr="007760E5">
        <w:rPr>
          <w:rFonts w:eastAsia="Times New Roman" w:cs="Times New Roman"/>
          <w:b/>
          <w:szCs w:val="20"/>
          <w:lang w:val="fr-FR" w:eastAsia="en-GB"/>
        </w:rPr>
        <w:t>paragraphe 7</w:t>
      </w:r>
      <w:r w:rsidRPr="007760E5">
        <w:rPr>
          <w:rFonts w:eastAsia="Times New Roman" w:cs="Times New Roman"/>
          <w:szCs w:val="20"/>
          <w:lang w:val="fr-FR" w:eastAsia="en-GB"/>
        </w:rPr>
        <w:t xml:space="preserve"> et </w:t>
      </w:r>
      <w:r w:rsidRPr="007760E5">
        <w:rPr>
          <w:rFonts w:eastAsia="Times New Roman" w:cs="Times New Roman"/>
          <w:b/>
          <w:bCs/>
          <w:szCs w:val="20"/>
          <w:lang w:val="fr-FR" w:eastAsia="en-GB"/>
        </w:rPr>
        <w:t>considérants J à M</w:t>
      </w:r>
      <w:r w:rsidRPr="007760E5">
        <w:rPr>
          <w:rFonts w:eastAsia="Times New Roman" w:cs="Times New Roman"/>
          <w:szCs w:val="20"/>
          <w:lang w:val="fr-FR" w:eastAsia="en-GB"/>
        </w:rPr>
        <w: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 xml:space="preserve">Il souligne les amendements à la proposition de règlement du Parlement européen et du Conseil modifiant le règlement (UE) nº 182/2011 adoptés par le Parlement le </w:t>
      </w:r>
      <w:r w:rsidRPr="007760E5">
        <w:rPr>
          <w:rFonts w:eastAsia="Times New Roman" w:cs="Times New Roman"/>
          <w:szCs w:val="20"/>
          <w:lang w:val="fr-FR" w:eastAsia="en-GB"/>
        </w:rPr>
        <w:lastRenderedPageBreak/>
        <w:t>17 décembre 2020, et invite le Conseil à poursuivre d’urgence ses travaux sur ce dossier, et affirme que la Commission ne devrait pas autoriser des OGM en l’absence d’une majorité qualifiée d’États membres favorables (</w:t>
      </w:r>
      <w:r w:rsidRPr="007760E5">
        <w:rPr>
          <w:rFonts w:eastAsia="Times New Roman" w:cs="Times New Roman"/>
          <w:b/>
          <w:bCs/>
          <w:szCs w:val="20"/>
          <w:lang w:val="fr-FR" w:eastAsia="en-GB"/>
        </w:rPr>
        <w:t>paragraphe 8</w:t>
      </w:r>
      <w:r w:rsidRPr="007760E5">
        <w:rPr>
          <w:rFonts w:eastAsia="Times New Roman" w:cs="Times New Roman"/>
          <w:szCs w:val="20"/>
          <w:lang w:val="fr-FR" w:eastAsia="en-GB"/>
        </w:rPr>
        <w: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Dans sa résolution, le Parlement rappelle les observations critiques formulées par les États membres au cours de la période de consultation de trois mois concernant la représentativité des sites d’essai (</w:t>
      </w:r>
      <w:r w:rsidRPr="007760E5">
        <w:rPr>
          <w:rFonts w:eastAsia="Times New Roman" w:cs="Times New Roman"/>
          <w:b/>
          <w:bCs/>
          <w:szCs w:val="20"/>
          <w:lang w:val="fr-FR" w:eastAsia="en-GB"/>
        </w:rPr>
        <w:t>considérant I</w:t>
      </w:r>
      <w:r w:rsidRPr="007760E5">
        <w:rPr>
          <w:rFonts w:eastAsia="Times New Roman" w:cs="Times New Roman"/>
          <w:szCs w:val="20"/>
          <w:lang w:val="fr-FR" w:eastAsia="en-GB"/>
        </w:rPr>
        <w: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Il mentionne également que le glyphosate est classé comme étant probablement carcinogène pour l’homme par le Centre international de recherche sur le cancer, tandis que l’EFSA a conclu qu’il était peu probable qu’il soit carcinogène (</w:t>
      </w:r>
      <w:r w:rsidRPr="007760E5">
        <w:rPr>
          <w:rFonts w:eastAsia="Times New Roman" w:cs="Times New Roman"/>
          <w:b/>
          <w:bCs/>
          <w:szCs w:val="20"/>
          <w:lang w:val="fr-FR" w:eastAsia="en-GB"/>
        </w:rPr>
        <w:t>considérant D</w:t>
      </w:r>
      <w:r w:rsidRPr="007760E5">
        <w:rPr>
          <w:rFonts w:eastAsia="Times New Roman" w:cs="Times New Roman"/>
          <w:szCs w:val="20"/>
          <w:lang w:val="fr-FR" w:eastAsia="en-GB"/>
        </w:rPr>
        <w:t>), et qu’une quantité potentiellement plus élevée de résidus de la pulvérisation avec du glyphosate pouvait être présente dans les récoltes (</w:t>
      </w:r>
      <w:r w:rsidRPr="007760E5">
        <w:rPr>
          <w:rFonts w:eastAsia="Times New Roman" w:cs="Times New Roman"/>
          <w:b/>
          <w:bCs/>
          <w:szCs w:val="20"/>
          <w:lang w:val="fr-FR" w:eastAsia="en-GB"/>
        </w:rPr>
        <w:t>considérant E</w:t>
      </w:r>
      <w:r w:rsidRPr="007760E5">
        <w:rPr>
          <w:rFonts w:eastAsia="Times New Roman" w:cs="Times New Roman"/>
          <w:szCs w:val="20"/>
          <w:lang w:val="fr-FR" w:eastAsia="en-GB"/>
        </w:rPr>
        <w:t>). Selon le Parlement européen, le fait que l’évaluation des herbicides et de leurs résidus soit considérée comme ne relevant pas des compétences du groupe scientifique de l’EFSA sur les organismes génétiquement modifiés pose problème, car la formation des métabolites, ainsi que leur composition et leur toxicité peuvent être influencées par la modification génétique elle-même (</w:t>
      </w:r>
      <w:r w:rsidRPr="007760E5">
        <w:rPr>
          <w:rFonts w:eastAsia="Times New Roman" w:cs="Times New Roman"/>
          <w:b/>
          <w:bCs/>
          <w:szCs w:val="20"/>
          <w:lang w:val="fr-FR" w:eastAsia="en-GB"/>
        </w:rPr>
        <w:t>considérant H</w:t>
      </w:r>
      <w:r w:rsidRPr="007760E5">
        <w:rPr>
          <w:rFonts w:eastAsia="Times New Roman" w:cs="Times New Roman"/>
          <w:szCs w:val="20"/>
          <w:lang w:val="fr-FR" w:eastAsia="en-GB"/>
        </w:rPr>
        <w:t>).</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 xml:space="preserve">Le Parlement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w:t>
      </w:r>
      <w:r w:rsidRPr="007760E5">
        <w:rPr>
          <w:rFonts w:eastAsia="Times New Roman" w:cs="Times New Roman"/>
          <w:b/>
          <w:szCs w:val="20"/>
          <w:lang w:val="fr-FR" w:eastAsia="en-GB"/>
        </w:rPr>
        <w:t>(considérant O)</w:t>
      </w:r>
      <w:r w:rsidRPr="007760E5">
        <w:rPr>
          <w:rFonts w:eastAsia="Times New Roman" w:cs="Times New Roman"/>
          <w:szCs w:val="20"/>
          <w:lang w:val="fr-FR" w:eastAsia="en-GB"/>
        </w:rPr>
        <w:t>. En outre, le Parlement rappelle les nombreuses résolutions s’opposant à l’autorisation d’OGM qu’il a adoptées au cours de ses huitième et neuvième législatures (</w:t>
      </w:r>
      <w:r w:rsidRPr="007760E5">
        <w:rPr>
          <w:rFonts w:eastAsia="Times New Roman" w:cs="Times New Roman"/>
          <w:b/>
          <w:bCs/>
          <w:szCs w:val="20"/>
          <w:lang w:val="fr-FR" w:eastAsia="en-GB"/>
        </w:rPr>
        <w:t>considérant P</w:t>
      </w:r>
      <w:r w:rsidRPr="007760E5">
        <w:rPr>
          <w:rFonts w:eastAsia="Times New Roman" w:cs="Times New Roman"/>
          <w:szCs w:val="20"/>
          <w:lang w:val="fr-FR" w:eastAsia="en-GB"/>
        </w:rPr>
        <w:t>) et déclare qu’il n’est pas nécessaire de modifier la législation pour que la Commission puisse refuser d’autoriser des OGM en l’absence d’une majorité qualifiée d’États membres favorables au sein du comité d’appel (</w:t>
      </w:r>
      <w:r w:rsidRPr="007760E5">
        <w:rPr>
          <w:rFonts w:eastAsia="Times New Roman" w:cs="Times New Roman"/>
          <w:b/>
          <w:bCs/>
          <w:szCs w:val="20"/>
          <w:lang w:val="fr-FR" w:eastAsia="en-GB"/>
        </w:rPr>
        <w:t>considérant R</w:t>
      </w:r>
      <w:r w:rsidRPr="007760E5">
        <w:rPr>
          <w:rFonts w:eastAsia="Times New Roman" w:cs="Times New Roman"/>
          <w:szCs w:val="20"/>
          <w:lang w:val="fr-FR" w:eastAsia="en-GB"/>
        </w:rPr>
        <w:t>).</w:t>
      </w:r>
    </w:p>
    <w:p w:rsidR="007760E5" w:rsidRPr="007760E5" w:rsidRDefault="007760E5" w:rsidP="007760E5">
      <w:pPr>
        <w:widowControl w:val="0"/>
        <w:spacing w:after="240" w:line="240" w:lineRule="auto"/>
        <w:ind w:left="720" w:hanging="720"/>
        <w:jc w:val="both"/>
        <w:rPr>
          <w:rFonts w:eastAsia="Times New Roman" w:cs="Times New Roman"/>
          <w:b/>
          <w:szCs w:val="24"/>
          <w:lang w:val="fr-FR" w:eastAsia="en-GB"/>
        </w:rPr>
      </w:pPr>
      <w:r w:rsidRPr="007760E5">
        <w:rPr>
          <w:rFonts w:eastAsia="Times New Roman" w:cs="Times New Roman"/>
          <w:b/>
          <w:szCs w:val="20"/>
          <w:lang w:val="fr-FR" w:eastAsia="en-GB"/>
        </w:rPr>
        <w:t>6.</w:t>
      </w:r>
      <w:r w:rsidRPr="007760E5">
        <w:rPr>
          <w:rFonts w:eastAsia="Times New Roman" w:cs="Times New Roman"/>
          <w:b/>
          <w:szCs w:val="20"/>
          <w:lang w:val="fr-FR" w:eastAsia="en-GB"/>
        </w:rPr>
        <w:tab/>
        <w:t>Réponse à ces demandes et aperçu des mesures que la Commission a prises ou envisage de prendre:</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La Commission tient à rappeler que le projet de décision d’exécution autorise la mise sur le marché de produits contenant du colza génétiquement modifié 73496 (DP-Ø73496-4), consistant en ce colza ou produits à partir de celui-ci, mais pas la culture de ce colza.</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 xml:space="preserve">En ce qui concerne les </w:t>
      </w:r>
      <w:r w:rsidRPr="007760E5">
        <w:rPr>
          <w:rFonts w:eastAsia="Times New Roman" w:cs="Times New Roman"/>
          <w:b/>
          <w:bCs/>
          <w:szCs w:val="20"/>
          <w:lang w:val="fr-FR" w:eastAsia="en-GB"/>
        </w:rPr>
        <w:t>paragraphes 1 à 3</w:t>
      </w:r>
      <w:r w:rsidRPr="007760E5">
        <w:rPr>
          <w:rFonts w:eastAsia="Times New Roman" w:cs="Times New Roman"/>
          <w:szCs w:val="20"/>
          <w:lang w:val="fr-FR" w:eastAsia="en-GB"/>
        </w:rPr>
        <w:t xml:space="preserve"> ainsi que le </w:t>
      </w:r>
      <w:r w:rsidRPr="007760E5">
        <w:rPr>
          <w:rFonts w:eastAsia="Times New Roman" w:cs="Times New Roman"/>
          <w:b/>
          <w:bCs/>
          <w:szCs w:val="20"/>
          <w:lang w:val="fr-FR" w:eastAsia="en-GB"/>
        </w:rPr>
        <w:t>considérant I</w:t>
      </w:r>
      <w:r w:rsidRPr="007760E5">
        <w:rPr>
          <w:rFonts w:eastAsia="Times New Roman" w:cs="Times New Roman"/>
          <w:szCs w:val="20"/>
          <w:lang w:val="fr-FR" w:eastAsia="en-GB"/>
        </w:rPr>
        <w:t xml:space="preserve"> de la résolution, la Commission tient à souligner que le projet de décision a été préparé et adopté conformément à la procédure décrite dans le règlement (CE) nº 1829/2003 concernant les denrées alimentaires et les aliments pour animaux génétiquement modifiés et dans le règlement (UE) nº 182/2011 relatif à la comitologie, comme illustré ci-dessous:</w:t>
      </w:r>
    </w:p>
    <w:p w:rsidR="007760E5" w:rsidRPr="007760E5" w:rsidRDefault="007760E5" w:rsidP="007760E5">
      <w:pPr>
        <w:numPr>
          <w:ilvl w:val="0"/>
          <w:numId w:val="1"/>
        </w:numPr>
        <w:spacing w:after="120" w:line="240" w:lineRule="auto"/>
        <w:jc w:val="both"/>
        <w:rPr>
          <w:rFonts w:eastAsia="Calibri" w:cs="Times New Roman"/>
          <w:lang w:val="fr-FR" w:eastAsia="en-GB"/>
        </w:rPr>
      </w:pPr>
      <w:r w:rsidRPr="007760E5">
        <w:rPr>
          <w:rFonts w:eastAsia="Times New Roman" w:cs="Times New Roman"/>
          <w:szCs w:val="20"/>
          <w:lang w:val="fr-FR" w:eastAsia="en-GB"/>
        </w:rPr>
        <w:t>Le 15 mai 2012, Pioneer Hi-Bred International, Inc. a soumis à l’autorité nationale compétente des Pays-Bas, conformément aux articles 5 et 7 du règlement (CE) nº 1829/2003, une demande d’autorisation de mise sur le marché du colza 73496 génétiquement modifié destiné à l’alimentation humaine/animale et à d’autres utilisations, à l’exception de la culture.</w:t>
      </w:r>
    </w:p>
    <w:p w:rsidR="007760E5" w:rsidRPr="007760E5" w:rsidRDefault="007760E5" w:rsidP="007760E5">
      <w:pPr>
        <w:numPr>
          <w:ilvl w:val="0"/>
          <w:numId w:val="1"/>
        </w:numPr>
        <w:spacing w:after="120" w:line="240" w:lineRule="auto"/>
        <w:jc w:val="both"/>
        <w:rPr>
          <w:rFonts w:eastAsia="Calibri" w:cs="Times New Roman"/>
          <w:lang w:val="fr-FR" w:eastAsia="en-GB"/>
        </w:rPr>
      </w:pPr>
      <w:r w:rsidRPr="007760E5">
        <w:rPr>
          <w:rFonts w:eastAsia="Times New Roman" w:cs="Times New Roman"/>
          <w:szCs w:val="20"/>
          <w:lang w:val="fr-FR" w:eastAsia="en-GB"/>
        </w:rPr>
        <w:t>Le 17 juin 2021, l’EFSA a publié un avis favorable conformément aux articles 6 et 18 du règlement (CE) nº 1829/2003. Elle a conclu que le colza génétiquement modifié 73496 décrit dans la demande est aussi sûr que le produit conventionnel de référence et que les variétés de référence de colza non génétiquement modifié testées en ce qui concerne ses effets potentiels sur la santé humaine et animale et sur l’environnement.</w:t>
      </w:r>
    </w:p>
    <w:p w:rsidR="007760E5" w:rsidRPr="007760E5" w:rsidRDefault="007760E5" w:rsidP="007760E5">
      <w:pPr>
        <w:numPr>
          <w:ilvl w:val="0"/>
          <w:numId w:val="1"/>
        </w:numPr>
        <w:spacing w:after="120" w:line="240" w:lineRule="auto"/>
        <w:jc w:val="both"/>
        <w:rPr>
          <w:rFonts w:eastAsia="Calibri" w:cs="Times New Roman"/>
          <w:lang w:val="fr-FR" w:eastAsia="en-GB"/>
        </w:rPr>
      </w:pPr>
      <w:r w:rsidRPr="007760E5">
        <w:rPr>
          <w:rFonts w:eastAsia="Times New Roman" w:cs="Times New Roman"/>
          <w:szCs w:val="20"/>
          <w:lang w:val="fr-FR" w:eastAsia="en-GB"/>
        </w:rPr>
        <w:t xml:space="preserve">Dans son avis de 2021, l’EFSA a pris en considération l’ensemble des questions et préoccupations spécifiques formulées par les États membres lors de la consultation </w:t>
      </w:r>
      <w:r w:rsidRPr="007760E5">
        <w:rPr>
          <w:rFonts w:eastAsia="Times New Roman" w:cs="Times New Roman"/>
          <w:szCs w:val="20"/>
          <w:lang w:val="fr-FR" w:eastAsia="en-GB"/>
        </w:rPr>
        <w:lastRenderedPageBreak/>
        <w:t>des autorités nationales compétentes, comme le prévoient l’article 6, paragraphe 4, et l’article 18, paragraphe 4, du règlement (CE) nº 1829/2003.</w:t>
      </w:r>
    </w:p>
    <w:p w:rsidR="007760E5" w:rsidRPr="007760E5" w:rsidRDefault="007760E5" w:rsidP="007760E5">
      <w:pPr>
        <w:numPr>
          <w:ilvl w:val="0"/>
          <w:numId w:val="1"/>
        </w:numPr>
        <w:spacing w:after="120" w:line="240" w:lineRule="auto"/>
        <w:jc w:val="both"/>
        <w:rPr>
          <w:rFonts w:eastAsia="Calibri" w:cs="Times New Roman"/>
          <w:lang w:val="fr-FR" w:eastAsia="en-GB"/>
        </w:rPr>
      </w:pPr>
      <w:r w:rsidRPr="007760E5">
        <w:rPr>
          <w:rFonts w:eastAsia="Times New Roman" w:cs="Times New Roman"/>
          <w:szCs w:val="20"/>
          <w:lang w:val="fr-FR" w:eastAsia="en-GB"/>
        </w:rPr>
        <w:t>Le public a transmis ses commentaires sur l’avis de l’EFSA et l’ensemble des commentaires scientifiques reçus ont été examinés par l’EFSA</w:t>
      </w:r>
      <w:r w:rsidRPr="007760E5">
        <w:rPr>
          <w:rFonts w:eastAsia="Calibri" w:cs="Times New Roman"/>
          <w:vertAlign w:val="superscript"/>
          <w:lang w:val="en-IE"/>
        </w:rPr>
        <w:footnoteReference w:id="1"/>
      </w:r>
      <w:r w:rsidRPr="007760E5">
        <w:rPr>
          <w:rFonts w:eastAsia="Times New Roman" w:cs="Times New Roman"/>
          <w:szCs w:val="20"/>
          <w:lang w:val="fr-FR" w:eastAsia="en-GB"/>
        </w:rPr>
        <w:t>.</w:t>
      </w:r>
    </w:p>
    <w:p w:rsidR="007760E5" w:rsidRPr="007760E5" w:rsidRDefault="007760E5" w:rsidP="007760E5">
      <w:pPr>
        <w:numPr>
          <w:ilvl w:val="0"/>
          <w:numId w:val="1"/>
        </w:numPr>
        <w:spacing w:after="120" w:line="240" w:lineRule="auto"/>
        <w:jc w:val="both"/>
        <w:rPr>
          <w:rFonts w:eastAsia="Calibri" w:cs="Times New Roman"/>
          <w:lang w:val="fr-FR" w:eastAsia="en-GB"/>
        </w:rPr>
      </w:pPr>
      <w:r w:rsidRPr="007760E5">
        <w:rPr>
          <w:rFonts w:eastAsia="Times New Roman" w:cs="Times New Roman"/>
          <w:szCs w:val="20"/>
          <w:lang w:val="fr-FR" w:eastAsia="en-GB"/>
        </w:rPr>
        <w:t>Le projet de décision a été présenté au comité permanent le 17 décembre 2021 et aucune majorité qualifiée favorable ou défavorable ne s’est dégagée lors de la procédure écrite le 11 janvier 2021.</w:t>
      </w:r>
    </w:p>
    <w:p w:rsidR="007760E5" w:rsidRPr="007760E5" w:rsidRDefault="007760E5" w:rsidP="007760E5">
      <w:pPr>
        <w:numPr>
          <w:ilvl w:val="0"/>
          <w:numId w:val="1"/>
        </w:numPr>
        <w:spacing w:after="120" w:line="240" w:lineRule="auto"/>
        <w:jc w:val="both"/>
        <w:rPr>
          <w:rFonts w:eastAsia="Calibri" w:cs="Times New Roman"/>
          <w:lang w:val="fr-FR" w:eastAsia="en-GB"/>
        </w:rPr>
      </w:pPr>
      <w:r w:rsidRPr="007760E5">
        <w:rPr>
          <w:rFonts w:eastAsia="Times New Roman" w:cs="Times New Roman"/>
          <w:szCs w:val="20"/>
          <w:lang w:val="fr-FR" w:eastAsia="en-GB"/>
        </w:rPr>
        <w:t>Conformément aux règles établies dans le règlement (UE) nº 182/2011 relatif à la comitologie, la Commission a présenté le projet de décision au comité d’appel du 10 février 2022, où aucune majorité qualifiée ne s’est non plus dégagée pour ou contre la décision lors de la procédure écrite le 21 février 2022.</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Aussi la Commission considère-t-elle qu’en adoptant une décision pleinement conforme à la procédure fixée par les colégislateurs dans la législation sur les OGM, la Commission n’outrepasse pas ses compétences d’exécution. En conséquence, aucun élément ne justifie le retrait du projet de décision d’autorisation du colza génétiquement modifié 73496. En outre, à la suite de l’introduction d’une demande et de la publication de l’avis de l’EFSA s’y rapportant, l’article 7, paragraphe 3, et l’article 19, paragraphe 3, du règlement (CE) nº 1829/2003 imposent à la Commission d’agir, en l’occurrence d’adopter une décision finale concernant la demande. En conséquence, la Commission a adopté, le 31 mars 2022, la décision autorisant la mise sur le marché de produits contenant du colza génétiquement modifié 73496, consistant en ce colza ou produits à partir de celui-ci.</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 xml:space="preserve">Pour ce qui est des </w:t>
      </w:r>
      <w:r w:rsidRPr="007760E5">
        <w:rPr>
          <w:rFonts w:eastAsia="Times New Roman" w:cs="Times New Roman"/>
          <w:b/>
          <w:bCs/>
          <w:szCs w:val="20"/>
          <w:lang w:val="fr-FR" w:eastAsia="en-GB"/>
        </w:rPr>
        <w:t>autres dispositions de la résolution</w:t>
      </w:r>
      <w:r w:rsidRPr="007760E5">
        <w:rPr>
          <w:rFonts w:eastAsia="Times New Roman" w:cs="Times New Roman"/>
          <w:szCs w:val="20"/>
          <w:lang w:val="fr-FR" w:eastAsia="en-GB"/>
        </w:rPr>
        <w:t>, la Commission considère qu’elles ne relèvent pas du droit de regard, qui se limite à la question de savoir si le projet d’acte d’exécution excède les compétences d’exécution prévues par l’acte de base. La Commission n’est pas tenue de justifier ces points précis du projet d’acte d’exécution. Néanmoins, la Commission a examiné avec attention les positions exprimées par le Parlement et souhaite formuler les commentaires suivants:</w:t>
      </w:r>
    </w:p>
    <w:p w:rsidR="007760E5" w:rsidRPr="007760E5" w:rsidRDefault="007760E5" w:rsidP="007760E5">
      <w:pPr>
        <w:spacing w:after="120" w:line="240" w:lineRule="auto"/>
        <w:jc w:val="both"/>
        <w:rPr>
          <w:rFonts w:eastAsia="Calibri" w:cs="Times New Roman"/>
          <w:szCs w:val="24"/>
          <w:lang w:val="fr-FR" w:eastAsia="en-GB"/>
        </w:rPr>
      </w:pPr>
      <w:r w:rsidRPr="007760E5">
        <w:rPr>
          <w:rFonts w:eastAsia="Times New Roman" w:cs="Times New Roman"/>
          <w:szCs w:val="20"/>
          <w:lang w:val="fr-FR" w:eastAsia="en-GB"/>
        </w:rPr>
        <w:t>En ce qui concerne les craintes soulevées par les produits phytopharmaceutiques (</w:t>
      </w:r>
      <w:r w:rsidRPr="007760E5">
        <w:rPr>
          <w:rFonts w:eastAsia="Times New Roman" w:cs="Times New Roman"/>
          <w:b/>
          <w:bCs/>
          <w:szCs w:val="20"/>
          <w:lang w:val="fr-FR" w:eastAsia="en-GB"/>
        </w:rPr>
        <w:t>considérants D à H</w:t>
      </w:r>
      <w:r w:rsidRPr="007760E5">
        <w:rPr>
          <w:rFonts w:eastAsia="Times New Roman" w:cs="Times New Roman"/>
          <w:szCs w:val="20"/>
          <w:lang w:val="fr-FR" w:eastAsia="en-GB"/>
        </w:rPr>
        <w:t xml:space="preserve"> et </w:t>
      </w:r>
      <w:r w:rsidRPr="007760E5">
        <w:rPr>
          <w:rFonts w:eastAsia="Times New Roman" w:cs="Times New Roman"/>
          <w:b/>
          <w:bCs/>
          <w:szCs w:val="20"/>
          <w:lang w:val="fr-FR" w:eastAsia="en-GB"/>
        </w:rPr>
        <w:t>paragraphe 4</w:t>
      </w:r>
      <w:r w:rsidRPr="007760E5">
        <w:rPr>
          <w:rFonts w:eastAsia="Times New Roman" w:cs="Times New Roman"/>
          <w:szCs w:val="20"/>
          <w:lang w:val="fr-FR" w:eastAsia="en-GB"/>
        </w:rPr>
        <w:t>), la Commission tient à souligner que l’évaluation des risques menée dans le cadre d’une demande d’utilisation de cultures génétiquement modifiées tolérantes aux herbicides dans des denrées alimentaires et des aliments pour animaux cible essentiellement les effets potentiels de la modification génétique sur la santé des hommes et des animaux et sur l’environnement. L’évaluation des risques pour l’environnement des substances actives et des produits phytopharmaceutiques est effectuée conformément au règlement (CE) nº 1107/2009 concernant la mise sur le marché des produits phytopharmaceutiques. L’autorisation des OGM n’est pas liée à l’autorisation des herbicides. Les règlements (CE) nº 1107/2009 et (CE) nº 369/2005, qui régissent respectivement les herbicides et les limites maximales applicables à leurs résidus, s’appliquent à l’ensemble des utilisations de produits en question, qu’ils soient génétiquement modifiés ou non. Il importe de rappeler que l’UE ne dispose d’aucun pouvoir pour intervenir dans la législation et les normes adoptées par des pays tiers en matière environnementale, y compris en ce qui concerne l’autorisation des herbicides. Cependant, comme annoncé dans la stratégie «De la ferme à la table», l’Union européenne coopérera activement avec ses partenaires 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lastRenderedPageBreak/>
        <w:t xml:space="preserve">En ce qui concerne le </w:t>
      </w:r>
      <w:r w:rsidRPr="007760E5">
        <w:rPr>
          <w:rFonts w:eastAsia="Times New Roman" w:cs="Times New Roman"/>
          <w:b/>
          <w:bCs/>
          <w:szCs w:val="20"/>
          <w:lang w:val="fr-FR" w:eastAsia="en-GB"/>
        </w:rPr>
        <w:t>paragraphe 5</w:t>
      </w:r>
      <w:r w:rsidRPr="007760E5">
        <w:rPr>
          <w:rFonts w:eastAsia="Times New Roman" w:cs="Times New Roman"/>
          <w:szCs w:val="20"/>
          <w:lang w:val="fr-FR" w:eastAsia="en-GB"/>
        </w:rPr>
        <w:t>, l’objectif général de la future proposition de la Commission concernant un cadre pour des systèmes alimentaires durables est de faire en sorte que toutes les denrées alimentaires mises sur le marché de l’UE deviennent de plus en plus durables. Selon le plan d’action qui accompagnait la stratégie «De la ferme à la table», cette proposition devrait voir le jour d’ici la fin de 2023. Dans l’intervalle, la Commission continuera d’évaluer les demandes présentées pour des denrées alimentaires et des aliments pour animaux génétiquement modifiés conformément aux règles en vigueur établies par les colégislateurs, qui prévoient des normes élevées de protection de la santé humaine et animale et de l’environnement.</w:t>
      </w:r>
    </w:p>
    <w:p w:rsidR="007760E5" w:rsidRPr="007760E5" w:rsidRDefault="007760E5" w:rsidP="007760E5">
      <w:pPr>
        <w:spacing w:after="120" w:line="240" w:lineRule="auto"/>
        <w:jc w:val="both"/>
        <w:rPr>
          <w:rFonts w:eastAsia="Calibri" w:cs="Times New Roman"/>
          <w:sz w:val="22"/>
          <w:lang w:val="fr-FR" w:eastAsia="en-GB"/>
        </w:rPr>
      </w:pPr>
      <w:r w:rsidRPr="007760E5">
        <w:rPr>
          <w:rFonts w:eastAsia="Times New Roman" w:cs="Times New Roman"/>
          <w:szCs w:val="20"/>
          <w:lang w:val="fr-FR" w:eastAsia="en-GB"/>
        </w:rPr>
        <w:t xml:space="preserve">En ce qui concerne le </w:t>
      </w:r>
      <w:r w:rsidRPr="007760E5">
        <w:rPr>
          <w:rFonts w:eastAsia="Times New Roman" w:cs="Times New Roman"/>
          <w:b/>
          <w:bCs/>
          <w:szCs w:val="20"/>
          <w:lang w:val="fr-FR" w:eastAsia="en-GB"/>
        </w:rPr>
        <w:t>paragraphe 6</w:t>
      </w:r>
      <w:r w:rsidRPr="007760E5">
        <w:rPr>
          <w:rFonts w:eastAsia="Times New Roman" w:cs="Times New Roman"/>
          <w:szCs w:val="20"/>
          <w:lang w:val="fr-FR" w:eastAsia="en-GB"/>
        </w:rPr>
        <w:t>, la Commission tient à souligner que le groupe scientifique de l’EFSA sur les organismes génétiquement modifiés a procédé à une évaluation très complète des risques liés à ce nouveau colza génétiquement modifié et a rendu un avis positif en ce qui concerne ses effets potentiels sur la santé humaine et animale et sur l’environnement</w:t>
      </w:r>
      <w:r w:rsidRPr="007760E5">
        <w:rPr>
          <w:rFonts w:ascii="Arial" w:eastAsia="Times New Roman" w:hAnsi="Arial" w:cs="Times New Roman"/>
          <w:sz w:val="28"/>
          <w:szCs w:val="20"/>
          <w:lang w:val="fr-FR" w:eastAsia="en-GB"/>
        </w:rPr>
        <w:t>.</w:t>
      </w:r>
    </w:p>
    <w:p w:rsidR="007760E5" w:rsidRPr="007760E5" w:rsidRDefault="007760E5" w:rsidP="007760E5">
      <w:pPr>
        <w:spacing w:after="120" w:line="240" w:lineRule="auto"/>
        <w:jc w:val="both"/>
        <w:rPr>
          <w:rFonts w:eastAsia="Calibri" w:cs="Times New Roman"/>
          <w:szCs w:val="24"/>
          <w:lang w:val="fr-FR" w:eastAsia="en-GB"/>
        </w:rPr>
      </w:pPr>
      <w:r w:rsidRPr="007760E5">
        <w:rPr>
          <w:rFonts w:eastAsia="Times New Roman" w:cs="Times New Roman"/>
          <w:szCs w:val="20"/>
          <w:lang w:val="fr-FR" w:eastAsia="en-GB"/>
        </w:rPr>
        <w:t xml:space="preserve">La Commission estime qu’elle tient compte d’une évaluation scientifique du plus haut niveau possible, des dispositions pertinentes du droit de l’Union et d’autres facteurs légitimes pertinents pour la question à l’examen dans ses décisions. En outre, en ce qui concerne les préoccupations exprimées au </w:t>
      </w:r>
      <w:r w:rsidRPr="007760E5">
        <w:rPr>
          <w:rFonts w:eastAsia="Times New Roman" w:cs="Times New Roman"/>
          <w:b/>
          <w:bCs/>
          <w:szCs w:val="20"/>
          <w:lang w:val="fr-FR" w:eastAsia="en-GB"/>
        </w:rPr>
        <w:t>paragraphe 7</w:t>
      </w:r>
      <w:r w:rsidRPr="007760E5">
        <w:rPr>
          <w:rFonts w:eastAsia="Times New Roman" w:cs="Times New Roman"/>
          <w:szCs w:val="20"/>
          <w:lang w:val="fr-FR" w:eastAsia="en-GB"/>
        </w:rPr>
        <w:t xml:space="preserve"> et aux </w:t>
      </w:r>
      <w:r w:rsidRPr="007760E5">
        <w:rPr>
          <w:rFonts w:eastAsia="Times New Roman" w:cs="Times New Roman"/>
          <w:b/>
          <w:bCs/>
          <w:szCs w:val="20"/>
          <w:lang w:val="fr-FR" w:eastAsia="en-GB"/>
        </w:rPr>
        <w:t>considérants J à M</w:t>
      </w:r>
      <w:r w:rsidRPr="007760E5">
        <w:rPr>
          <w:rFonts w:eastAsia="Times New Roman" w:cs="Times New Roman"/>
          <w:szCs w:val="20"/>
          <w:lang w:val="fr-FR" w:eastAsia="en-GB"/>
        </w:rPr>
        <w:t>, la Commission est fermement déterminée à respecter les engagements internationaux dans le domaine de l’environnement. Toutefois, elle ne considère pas qu’une décision ponctuelle autorisant la mise sur le marché, comme denrée alimentaire et aliment pour animaux, d’un produit génétiquement modifié donné qui ne présente pas de risques pour la santé ni pour l’environnement dans l’UE constitue un moyen adapté pour réaliser les objectifs fixés par les instruments internationaux mentionnés dans la résolution.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7760E5" w:rsidRPr="007760E5" w:rsidRDefault="007760E5" w:rsidP="007760E5">
      <w:pPr>
        <w:spacing w:after="120" w:line="240" w:lineRule="auto"/>
        <w:jc w:val="both"/>
        <w:rPr>
          <w:rFonts w:eastAsia="Calibri" w:cs="Times New Roman"/>
          <w:lang w:val="fr-FR" w:eastAsia="en-GB"/>
        </w:rPr>
      </w:pPr>
      <w:r w:rsidRPr="007760E5">
        <w:rPr>
          <w:rFonts w:eastAsia="Times New Roman" w:cs="Times New Roman"/>
          <w:szCs w:val="20"/>
          <w:lang w:val="fr-FR" w:eastAsia="en-GB"/>
        </w:rPr>
        <w:t>Enfin, en ce qui concerne les arguments relatifs au processus décisionnel et au manque de soutien des États membres en faveur d’une autorisation concernant l’utilisation d’OGM dans les denrées alimentaires ou les aliments pour animaux (</w:t>
      </w:r>
      <w:r w:rsidRPr="007760E5">
        <w:rPr>
          <w:rFonts w:eastAsia="Times New Roman" w:cs="Times New Roman"/>
          <w:b/>
          <w:bCs/>
          <w:szCs w:val="20"/>
          <w:lang w:val="fr-FR" w:eastAsia="en-GB"/>
        </w:rPr>
        <w:t>considérants N</w:t>
      </w:r>
      <w:r w:rsidRPr="007760E5">
        <w:rPr>
          <w:rFonts w:eastAsia="Times New Roman" w:cs="Times New Roman"/>
          <w:szCs w:val="20"/>
          <w:lang w:val="fr-FR" w:eastAsia="en-GB"/>
        </w:rPr>
        <w:t xml:space="preserve"> </w:t>
      </w:r>
      <w:r w:rsidRPr="007760E5">
        <w:rPr>
          <w:rFonts w:eastAsia="Times New Roman" w:cs="Times New Roman"/>
          <w:szCs w:val="20"/>
          <w:lang w:val="fr-FR" w:eastAsia="en-GB"/>
        </w:rPr>
        <w:cr/>
      </w:r>
      <w:r w:rsidRPr="007760E5">
        <w:rPr>
          <w:rFonts w:eastAsia="Times New Roman" w:cs="Times New Roman"/>
          <w:szCs w:val="20"/>
          <w:lang w:val="fr-FR" w:eastAsia="en-GB"/>
        </w:rPr>
        <w:br/>
      </w:r>
      <w:r w:rsidRPr="007760E5">
        <w:rPr>
          <w:rFonts w:eastAsia="Times New Roman" w:cs="Times New Roman"/>
          <w:b/>
          <w:bCs/>
          <w:szCs w:val="20"/>
          <w:lang w:val="fr-FR" w:eastAsia="en-GB"/>
        </w:rPr>
        <w:t>à R</w:t>
      </w:r>
      <w:r w:rsidRPr="007760E5">
        <w:rPr>
          <w:rFonts w:eastAsia="Times New Roman" w:cs="Times New Roman"/>
          <w:szCs w:val="20"/>
          <w:lang w:val="fr-FR" w:eastAsia="en-GB"/>
        </w:rPr>
        <w:t>), la Commission a présenté au Conseil et au Parlement, le 14 février 2017, une proposition visant à modifier le règlement (UE) nº 182/2011, modifiant les règles de vote au sein du comité d’appel. Si elle est adoptée par les colégislateurs, elle renforcerait la transparence et la responsabilité dans le processus décisionnel relatif aux OGM. Dans l’intervalle, la Commission continue d’appliquer les procédures prévues dans le règlement (UE) nº 182/2011 relatif à la comitologie et dans le règlement (CE) nº 1829/2003 concernant les denrées alimentaires et les aliments pour animaux génétiquement modifiés.</w:t>
      </w:r>
    </w:p>
    <w:p w:rsidR="00F36993" w:rsidRPr="007760E5" w:rsidRDefault="00F36993">
      <w:pPr>
        <w:rPr>
          <w:lang w:val="fr-BE"/>
        </w:rPr>
      </w:pPr>
    </w:p>
    <w:sectPr w:rsidR="00F36993" w:rsidRPr="007760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0E5" w:rsidRDefault="007760E5" w:rsidP="007760E5">
      <w:pPr>
        <w:spacing w:after="0" w:line="240" w:lineRule="auto"/>
      </w:pPr>
      <w:r>
        <w:separator/>
      </w:r>
    </w:p>
  </w:endnote>
  <w:endnote w:type="continuationSeparator" w:id="0">
    <w:p w:rsidR="007760E5" w:rsidRDefault="007760E5" w:rsidP="0077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44" w:rsidRDefault="00997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383856"/>
      <w:docPartObj>
        <w:docPartGallery w:val="Page Numbers (Bottom of Page)"/>
        <w:docPartUnique/>
      </w:docPartObj>
    </w:sdtPr>
    <w:sdtEndPr>
      <w:rPr>
        <w:noProof/>
      </w:rPr>
    </w:sdtEndPr>
    <w:sdtContent>
      <w:p w:rsidR="00997444" w:rsidRDefault="0099744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97444" w:rsidRDefault="00997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44" w:rsidRDefault="00997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0E5" w:rsidRDefault="007760E5" w:rsidP="007760E5">
      <w:pPr>
        <w:spacing w:after="0" w:line="240" w:lineRule="auto"/>
      </w:pPr>
      <w:r>
        <w:separator/>
      </w:r>
    </w:p>
  </w:footnote>
  <w:footnote w:type="continuationSeparator" w:id="0">
    <w:p w:rsidR="007760E5" w:rsidRDefault="007760E5" w:rsidP="007760E5">
      <w:pPr>
        <w:spacing w:after="0" w:line="240" w:lineRule="auto"/>
      </w:pPr>
      <w:r>
        <w:continuationSeparator/>
      </w:r>
    </w:p>
  </w:footnote>
  <w:footnote w:id="1">
    <w:p w:rsidR="007760E5" w:rsidRPr="00C259CB" w:rsidRDefault="007760E5" w:rsidP="007760E5">
      <w:pPr>
        <w:pStyle w:val="FootnoteText"/>
      </w:pPr>
      <w:r>
        <w:rPr>
          <w:rStyle w:val="FootnoteReference"/>
        </w:rPr>
        <w:footnoteRef/>
      </w:r>
      <w:r>
        <w:t xml:space="preserve"> </w:t>
      </w:r>
      <w:r>
        <w:tab/>
      </w:r>
      <w:hyperlink r:id="rId1" w:history="1">
        <w:r>
          <w:rPr>
            <w:rStyle w:val="Hyperlink"/>
          </w:rPr>
          <w:t>http://ec.europa.eu/food/plant/gmo/public_consultations/index_en.htm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44" w:rsidRDefault="00997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44" w:rsidRDefault="00997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44" w:rsidRDefault="00997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E5"/>
    <w:rsid w:val="000F15F1"/>
    <w:rsid w:val="001E37D4"/>
    <w:rsid w:val="00512EE8"/>
    <w:rsid w:val="0065281F"/>
    <w:rsid w:val="0076069D"/>
    <w:rsid w:val="007760E5"/>
    <w:rsid w:val="00815B75"/>
    <w:rsid w:val="008342CE"/>
    <w:rsid w:val="0095347B"/>
    <w:rsid w:val="00997444"/>
    <w:rsid w:val="00AF5B02"/>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6D5E"/>
  <w15:chartTrackingRefBased/>
  <w15:docId w15:val="{CF43FE4F-E8F4-4B13-AB55-7E35FAEC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6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60E5"/>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7760E5"/>
    <w:rPr>
      <w:vertAlign w:val="superscript"/>
    </w:rPr>
  </w:style>
  <w:style w:type="character" w:styleId="Hyperlink">
    <w:name w:val="Hyperlink"/>
    <w:aliases w:val="Char1"/>
    <w:uiPriority w:val="99"/>
    <w:rsid w:val="007760E5"/>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7760E5"/>
    <w:pPr>
      <w:spacing w:line="240" w:lineRule="exact"/>
    </w:pPr>
    <w:rPr>
      <w:vertAlign w:val="superscript"/>
    </w:rPr>
  </w:style>
  <w:style w:type="paragraph" w:styleId="Header">
    <w:name w:val="header"/>
    <w:basedOn w:val="Normal"/>
    <w:link w:val="HeaderChar"/>
    <w:uiPriority w:val="99"/>
    <w:unhideWhenUsed/>
    <w:rsid w:val="0099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444"/>
  </w:style>
  <w:style w:type="paragraph" w:styleId="Footer">
    <w:name w:val="footer"/>
    <w:basedOn w:val="Normal"/>
    <w:link w:val="FooterChar"/>
    <w:uiPriority w:val="99"/>
    <w:unhideWhenUsed/>
    <w:rsid w:val="0099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2088</Words>
  <Characters>11610</Characters>
  <Application>Microsoft Office Word</Application>
  <DocSecurity>0</DocSecurity>
  <Lines>163</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2022-07-15T14:39:00Z</dcterms:created>
  <dcterms:modified xsi:type="dcterms:W3CDTF">2022-07-15T14:42:00Z</dcterms:modified>
</cp:coreProperties>
</file>