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E48" w:rsidRPr="00C63E48" w:rsidRDefault="00C63E48" w:rsidP="00CC2DC6">
      <w:pPr>
        <w:spacing w:after="600"/>
        <w:jc w:val="center"/>
        <w:rPr>
          <w:rFonts w:ascii="Times New Roman" w:hAnsi="Times New Roman"/>
          <w:b/>
          <w:bCs/>
          <w:szCs w:val="24"/>
        </w:rPr>
      </w:pPr>
      <w:bookmarkStart w:id="0" w:name="FoodSecurity"/>
      <w:bookmarkEnd w:id="0"/>
      <w:r>
        <w:rPr>
          <w:rFonts w:ascii="Times New Roman" w:hAnsi="Times New Roman"/>
          <w:b/>
        </w:rPr>
        <w:t>Suite donnée à la résolution non législative du Parlement européen sur la nécessité</w:t>
      </w:r>
      <w:r w:rsidR="008F5A11">
        <w:rPr>
          <w:rFonts w:ascii="Times New Roman" w:hAnsi="Times New Roman"/>
          <w:b/>
        </w:rPr>
        <w:br/>
      </w:r>
      <w:r>
        <w:rPr>
          <w:rFonts w:ascii="Times New Roman" w:hAnsi="Times New Roman"/>
          <w:b/>
        </w:rPr>
        <w:t>d’un plan d’action urgent de l’Union européenne visant à garantir la sécurité alimentaire à l’intérieur et à l’extérieur de l’Union</w:t>
      </w:r>
      <w:r>
        <w:t xml:space="preserve"> </w:t>
      </w:r>
      <w:r>
        <w:rPr>
          <w:rFonts w:ascii="Times New Roman" w:hAnsi="Times New Roman"/>
          <w:b/>
        </w:rPr>
        <w:t xml:space="preserve">compte tenu </w:t>
      </w:r>
      <w:r w:rsidR="008F5A11">
        <w:rPr>
          <w:rFonts w:ascii="Times New Roman" w:hAnsi="Times New Roman"/>
          <w:b/>
        </w:rPr>
        <w:br/>
      </w:r>
      <w:r>
        <w:rPr>
          <w:rFonts w:ascii="Times New Roman" w:hAnsi="Times New Roman"/>
          <w:b/>
        </w:rPr>
        <w:t>de l’invasion de l’Ukraine par la Russie</w:t>
      </w:r>
    </w:p>
    <w:p w:rsidR="00C63E48" w:rsidRDefault="00C63E48" w:rsidP="00DF579E">
      <w:pPr>
        <w:ind w:left="720" w:hanging="720"/>
        <w:rPr>
          <w:rFonts w:ascii="Times New Roman" w:hAnsi="Times New Roman"/>
          <w:b/>
          <w:szCs w:val="24"/>
        </w:rPr>
      </w:pPr>
      <w:r>
        <w:rPr>
          <w:rFonts w:ascii="Times New Roman" w:hAnsi="Times New Roman"/>
          <w:b/>
        </w:rPr>
        <w:t>1.</w:t>
      </w:r>
      <w:r>
        <w:tab/>
      </w:r>
      <w:r>
        <w:rPr>
          <w:rFonts w:ascii="Times New Roman" w:hAnsi="Times New Roman"/>
          <w:b/>
        </w:rPr>
        <w:t>Résolution présentée conformément à l’article 132, paragraphe 2, du règlement intérieur du Parlement eu</w:t>
      </w:r>
      <w:bookmarkStart w:id="1" w:name="_GoBack"/>
      <w:bookmarkEnd w:id="1"/>
      <w:r>
        <w:rPr>
          <w:rFonts w:ascii="Times New Roman" w:hAnsi="Times New Roman"/>
          <w:b/>
        </w:rPr>
        <w:t>ropéen</w:t>
      </w:r>
    </w:p>
    <w:p w:rsidR="00C63E48" w:rsidRPr="00925AE6" w:rsidRDefault="00C63E48" w:rsidP="00DF579E">
      <w:pPr>
        <w:rPr>
          <w:rFonts w:ascii="Times New Roman" w:hAnsi="Times New Roman"/>
          <w:i/>
          <w:szCs w:val="24"/>
        </w:rPr>
      </w:pPr>
      <w:r>
        <w:rPr>
          <w:rFonts w:ascii="Times New Roman" w:hAnsi="Times New Roman"/>
          <w:b/>
        </w:rPr>
        <w:t>2.</w:t>
      </w:r>
      <w:r>
        <w:tab/>
      </w:r>
      <w:r>
        <w:rPr>
          <w:rFonts w:ascii="Times New Roman" w:hAnsi="Times New Roman"/>
          <w:b/>
        </w:rPr>
        <w:t>Numéro de référence:</w:t>
      </w:r>
      <w:r>
        <w:rPr>
          <w:rFonts w:ascii="Times New Roman" w:hAnsi="Times New Roman"/>
        </w:rPr>
        <w:t xml:space="preserve"> 2022/2593 (RSP)/B9-0160/2022/P9_TA (2022) 0099</w:t>
      </w:r>
    </w:p>
    <w:p w:rsidR="00C63E48" w:rsidRPr="00925AE6" w:rsidRDefault="00C63E48" w:rsidP="00DF579E">
      <w:pPr>
        <w:rPr>
          <w:rFonts w:ascii="Times New Roman" w:hAnsi="Times New Roman"/>
          <w:szCs w:val="24"/>
        </w:rPr>
      </w:pPr>
      <w:r>
        <w:rPr>
          <w:rFonts w:ascii="Times New Roman" w:hAnsi="Times New Roman"/>
          <w:b/>
        </w:rPr>
        <w:t>3.</w:t>
      </w:r>
      <w:r>
        <w:tab/>
      </w:r>
      <w:r>
        <w:rPr>
          <w:rFonts w:ascii="Times New Roman" w:hAnsi="Times New Roman"/>
          <w:b/>
        </w:rPr>
        <w:t>Date d'adoption de la résolution:</w:t>
      </w:r>
      <w:r>
        <w:rPr>
          <w:rFonts w:ascii="Times New Roman" w:hAnsi="Times New Roman"/>
        </w:rPr>
        <w:t xml:space="preserve"> 24 mars 2022</w:t>
      </w:r>
    </w:p>
    <w:p w:rsidR="00C63E48" w:rsidRPr="00925AE6" w:rsidRDefault="00C63E48" w:rsidP="00DF579E">
      <w:pPr>
        <w:rPr>
          <w:rFonts w:ascii="Times New Roman" w:hAnsi="Times New Roman"/>
          <w:i/>
          <w:szCs w:val="24"/>
        </w:rPr>
      </w:pPr>
      <w:r>
        <w:rPr>
          <w:rFonts w:ascii="Times New Roman" w:hAnsi="Times New Roman"/>
          <w:b/>
        </w:rPr>
        <w:t>4.</w:t>
      </w:r>
      <w:r>
        <w:tab/>
      </w:r>
      <w:r>
        <w:rPr>
          <w:rFonts w:ascii="Times New Roman" w:hAnsi="Times New Roman"/>
          <w:b/>
        </w:rPr>
        <w:t xml:space="preserve">Commission parlementaire compétente: </w:t>
      </w:r>
      <w:r>
        <w:rPr>
          <w:rFonts w:ascii="Times New Roman" w:hAnsi="Times New Roman"/>
        </w:rPr>
        <w:t>sans objet</w:t>
      </w:r>
    </w:p>
    <w:p w:rsidR="00C63E48" w:rsidRPr="00925AE6" w:rsidRDefault="00C63E48" w:rsidP="00E14115">
      <w:pPr>
        <w:widowControl w:val="0"/>
        <w:spacing w:after="120"/>
        <w:rPr>
          <w:rFonts w:ascii="Times New Roman" w:hAnsi="Times New Roman"/>
          <w:b/>
          <w:szCs w:val="24"/>
        </w:rPr>
      </w:pPr>
      <w:r>
        <w:rPr>
          <w:rFonts w:ascii="Times New Roman" w:hAnsi="Times New Roman"/>
          <w:b/>
        </w:rPr>
        <w:t>5.</w:t>
      </w:r>
      <w:r>
        <w:tab/>
      </w:r>
      <w:r>
        <w:rPr>
          <w:rFonts w:ascii="Times New Roman" w:hAnsi="Times New Roman"/>
          <w:b/>
        </w:rPr>
        <w:t>Analyse/évaluation succincte de la résolution et des demandes qu’elle contient</w:t>
      </w:r>
    </w:p>
    <w:p w:rsidR="00C63E48" w:rsidRPr="00925AE6" w:rsidRDefault="00DF579E" w:rsidP="00DF579E">
      <w:pPr>
        <w:widowControl w:val="0"/>
        <w:rPr>
          <w:rFonts w:ascii="Times New Roman" w:hAnsi="Times New Roman"/>
          <w:szCs w:val="24"/>
        </w:rPr>
      </w:pPr>
      <w:r>
        <w:rPr>
          <w:rFonts w:ascii="Times New Roman" w:hAnsi="Times New Roman"/>
        </w:rPr>
        <w:t>La résolution appelle à l’élaboration d’un plan d’action de l’Union européenne pour assurer la sécurité alimentaire à l’intérieur et à l’extérieur de l’Union compte tenu de l’invasion de l’Ukraine par la Russie. Le Parlement dans sa résolution condamne l’agression perpétrée par la Russie contre l’Ukraine et exprime sa profonde inquiétude quant à l’effet que la perturbation actuelle des processus agricoles, halieutiques et aquacoles aura sur la sécurité alimentaire mondiale, la sécurité alimentaire de la population ukrainienne et le caractère abordable des denrées alimentaires dans l’Union. Il invite instamment la Commission à répondre à la résolution par l’élaboration d’un plan d’action visant à assurer la sécurité alimentaire à tous les niveaux.</w:t>
      </w:r>
    </w:p>
    <w:p w:rsidR="00C63E48" w:rsidRPr="00925AE6" w:rsidRDefault="00C63E48" w:rsidP="00E14115">
      <w:pPr>
        <w:widowControl w:val="0"/>
        <w:spacing w:after="120"/>
        <w:ind w:left="720" w:hanging="720"/>
        <w:rPr>
          <w:rFonts w:ascii="Times New Roman" w:hAnsi="Times New Roman"/>
          <w:b/>
          <w:szCs w:val="24"/>
        </w:rPr>
      </w:pPr>
      <w:r>
        <w:rPr>
          <w:rFonts w:ascii="Times New Roman" w:hAnsi="Times New Roman"/>
          <w:b/>
        </w:rPr>
        <w:t>6.</w:t>
      </w:r>
      <w:r>
        <w:tab/>
      </w:r>
      <w:r>
        <w:rPr>
          <w:rFonts w:ascii="Times New Roman" w:hAnsi="Times New Roman"/>
          <w:b/>
        </w:rPr>
        <w:t>Réponse à ces demandes et aperçu des mesures que la Commission a prises ou envisage de prendre</w:t>
      </w:r>
    </w:p>
    <w:p w:rsidR="00DF579E" w:rsidRPr="00F307FF" w:rsidRDefault="00DF579E" w:rsidP="00DF579E">
      <w:pPr>
        <w:pStyle w:val="NormalWeb"/>
        <w:spacing w:before="0" w:beforeAutospacing="0" w:after="120" w:afterAutospacing="0"/>
        <w:jc w:val="both"/>
      </w:pPr>
      <w:r>
        <w:rPr>
          <w:b/>
          <w:bCs/>
        </w:rPr>
        <w:t>La Commission partage l’avis du Parlement selon lequel l’Union doit agir en matière de sécurité alimentaire</w:t>
      </w:r>
      <w:r>
        <w:t xml:space="preserve"> à l’échelle mondiale, en Ukraine et dans l’UE, et elle a donc présenté, le 23 mars, une série d’</w:t>
      </w:r>
      <w:r>
        <w:rPr>
          <w:b/>
          <w:bCs/>
        </w:rPr>
        <w:t>actions à court et à moyen terme visant à renforcer la sécurité alimentaire mondiale</w:t>
      </w:r>
      <w:r>
        <w:t xml:space="preserve"> et à </w:t>
      </w:r>
      <w:r>
        <w:rPr>
          <w:b/>
          <w:bCs/>
        </w:rPr>
        <w:t>soutenir les producteurs et les consommateurs de l’Union</w:t>
      </w:r>
      <w:r>
        <w:t xml:space="preserve"> face à la hausse des prix des denrées alimentaires et des coûts des intrants, tels que l’énergie et les engrais. La flambée des prix mondiaux des matières premières, encore aggravée par l’invasion russe en Ukraine, souligne une nouvelle fois la nécessité pour l’agriculture et les chaînes d’approvisionnement alimentaire de l’Union de devenir plus résilientes et plus durables, conformément à la stratégie </w:t>
      </w:r>
      <w:hyperlink r:id="rId8" w:history="1">
        <w:r>
          <w:t>«De la ferme à la table»</w:t>
        </w:r>
      </w:hyperlink>
      <w:r>
        <w:t>.</w:t>
      </w:r>
    </w:p>
    <w:p w:rsidR="00DF579E" w:rsidRPr="00F307FF" w:rsidRDefault="00DF579E" w:rsidP="00DF579E">
      <w:pPr>
        <w:spacing w:after="120"/>
        <w:rPr>
          <w:rFonts w:ascii="Times New Roman" w:hAnsi="Times New Roman"/>
          <w:szCs w:val="24"/>
        </w:rPr>
      </w:pPr>
      <w:r>
        <w:rPr>
          <w:rFonts w:ascii="Times New Roman" w:hAnsi="Times New Roman"/>
          <w:b/>
          <w:bCs/>
        </w:rPr>
        <w:t>La Commission est déterminée à prendre toutes les mesures nécessaires</w:t>
      </w:r>
      <w:r>
        <w:rPr>
          <w:rFonts w:ascii="Times New Roman" w:hAnsi="Times New Roman"/>
        </w:rPr>
        <w:t xml:space="preserve"> pour faire en sorte que l’Union, en tant qu’exportateur net de denrées alimentaires et producteur agroalimentaire de premier plan, contribue à la sécurité alimentaire mondiale, particulièrement en Ukraine, mais aussi en Afrique du Nord et au Moyen-Orient, des régions qui dépendent largement des importations de céréales, ainsi qu’en Asie et en Afrique subsaharienne. L’UE est l’un des principaux pourvoyeurs d’aide humanitaire et d’aide au développement dans le domaine de l’alimentation et des systèmes alimentaires, y compris en faveur de l’Ukraine et des pays situés près de la zone de conflit (</w:t>
      </w:r>
      <w:r>
        <w:rPr>
          <w:rFonts w:ascii="Times New Roman" w:hAnsi="Times New Roman"/>
          <w:b/>
          <w:bCs/>
        </w:rPr>
        <w:t>paragraphes 6, 8, 9, 10, 11 et 12</w:t>
      </w:r>
      <w:r>
        <w:rPr>
          <w:rFonts w:ascii="Times New Roman" w:hAnsi="Times New Roman"/>
        </w:rPr>
        <w:t>).</w:t>
      </w:r>
    </w:p>
    <w:p w:rsidR="00DF579E" w:rsidRPr="00F307FF" w:rsidRDefault="00DF579E" w:rsidP="00DF579E">
      <w:pPr>
        <w:spacing w:after="120"/>
        <w:rPr>
          <w:rFonts w:ascii="Times New Roman" w:hAnsi="Times New Roman"/>
          <w:szCs w:val="24"/>
        </w:rPr>
      </w:pPr>
      <w:r>
        <w:rPr>
          <w:rFonts w:ascii="Times New Roman" w:hAnsi="Times New Roman"/>
          <w:b/>
          <w:bCs/>
        </w:rPr>
        <w:t>La disponibilité de denrées alimentaires n’est actuellement pas en danger dans l’Union</w:t>
      </w:r>
      <w:r>
        <w:rPr>
          <w:rFonts w:ascii="Times New Roman" w:hAnsi="Times New Roman"/>
        </w:rPr>
        <w:t>, étant donné que le continent est largement autosuffisant en ce qui concerne de nombreux produits agricoles et qu’il est exportateur net. Notre secteur agroalimentaire est toutefois tributaire de l’importation de produits spécifiques, par exemple de protéines fourragères. Cette dépendance, conjuguée aux coûts élevés des intrants tels que les engrais et l’énergie fossile, peut contribuer à accroître les vulnérabilités de la chaîne d'approvisionnement alimentaire de l'Union, peut créer des difficultés de production pour les agriculteurs et risque de faire grimper les prix des denrées alimentaires.</w:t>
      </w:r>
    </w:p>
    <w:p w:rsidR="00DF579E" w:rsidRPr="00F307FF" w:rsidRDefault="00DF579E" w:rsidP="00DF579E">
      <w:pPr>
        <w:spacing w:after="120"/>
        <w:rPr>
          <w:rFonts w:ascii="Times New Roman" w:hAnsi="Times New Roman"/>
          <w:szCs w:val="24"/>
        </w:rPr>
      </w:pPr>
      <w:r>
        <w:rPr>
          <w:rFonts w:ascii="Times New Roman" w:hAnsi="Times New Roman"/>
          <w:b/>
        </w:rPr>
        <w:t>Renforcer la sécurité alimentaire mondiale</w:t>
      </w:r>
    </w:p>
    <w:p w:rsidR="00DF579E" w:rsidRPr="00F307FF" w:rsidRDefault="00DF579E" w:rsidP="00DF579E">
      <w:pPr>
        <w:spacing w:after="120"/>
        <w:rPr>
          <w:rFonts w:ascii="Times New Roman" w:hAnsi="Times New Roman"/>
          <w:szCs w:val="24"/>
        </w:rPr>
      </w:pPr>
      <w:r>
        <w:rPr>
          <w:rFonts w:ascii="Times New Roman" w:hAnsi="Times New Roman"/>
        </w:rPr>
        <w:t>La sécurité alimentaire dans l’Ukraine ravagée par la guerre est très préoccupante, particulièrement dans les villes assiégées, la Russie semblant délibérément cibler et détruire les sites de stockage alimentaire.</w:t>
      </w:r>
    </w:p>
    <w:p w:rsidR="00DF579E" w:rsidRPr="00F307FF" w:rsidRDefault="00DF579E" w:rsidP="00DF579E">
      <w:pPr>
        <w:spacing w:after="120"/>
        <w:rPr>
          <w:rFonts w:ascii="Times New Roman" w:hAnsi="Times New Roman"/>
          <w:szCs w:val="24"/>
        </w:rPr>
      </w:pPr>
      <w:r>
        <w:rPr>
          <w:rFonts w:ascii="Times New Roman" w:hAnsi="Times New Roman"/>
        </w:rPr>
        <w:t xml:space="preserve">La Commission aide l’Ukraine à élaborer et mettre en œuvre une </w:t>
      </w:r>
      <w:r>
        <w:rPr>
          <w:rFonts w:ascii="Times New Roman" w:hAnsi="Times New Roman"/>
          <w:b/>
          <w:bCs/>
        </w:rPr>
        <w:t>stratégie de sécurité alimentaire à court et à moyen terme</w:t>
      </w:r>
      <w:r>
        <w:rPr>
          <w:rFonts w:ascii="Times New Roman" w:hAnsi="Times New Roman"/>
        </w:rPr>
        <w:t xml:space="preserve"> afin de veiller à ce que les intrants parviennent aux exploitations agricoles dans la mesure du possible et à ce que les installations de transport et de stockage soient préservées pour permettre au pays de nourrir ses citoyens et, en fin de compte, de rétablir ses marchés d’exportation. Afin de stimuler les exportations de l’Ukraine dans cette situation difficile, la Commission a adopté une proposition de règlement relatif à la libéralisation temporaire des échanges en complément des concessions commerciales applicables aux produits ukrainiens au titre de l’accord d’association. La Commission a également adopté une communication relative aux corridors de solidarité en vue de mobiliser des ressources pour le transport de céréales et d’oléagineux depuis l’Ukraine vers la destination fixée.</w:t>
      </w:r>
    </w:p>
    <w:p w:rsidR="00DF579E" w:rsidRPr="00F307FF" w:rsidRDefault="00DF579E" w:rsidP="00DF579E">
      <w:pPr>
        <w:spacing w:after="120"/>
        <w:rPr>
          <w:rFonts w:ascii="Times New Roman" w:hAnsi="Times New Roman"/>
          <w:szCs w:val="24"/>
        </w:rPr>
      </w:pPr>
      <w:r>
        <w:rPr>
          <w:rFonts w:ascii="Times New Roman" w:hAnsi="Times New Roman"/>
        </w:rPr>
        <w:t xml:space="preserve">Un </w:t>
      </w:r>
      <w:r>
        <w:rPr>
          <w:rFonts w:ascii="Times New Roman" w:hAnsi="Times New Roman"/>
          <w:b/>
          <w:bCs/>
        </w:rPr>
        <w:t>programme de soutien d’urgence de l’UE de 330 millions d’euros</w:t>
      </w:r>
      <w:r>
        <w:rPr>
          <w:rFonts w:ascii="Times New Roman" w:hAnsi="Times New Roman"/>
        </w:rPr>
        <w:t xml:space="preserve"> en faveur de l’Ukraine aidera à assurer l’accès aux biens et services de base et contribuera à la protection de la population. Un autre objectif important sera de reconstruire et de planifier d’un point de vue stratégique l’infrastructure civile à petite échelle et d’assurer la sécurité énergétique.</w:t>
      </w:r>
    </w:p>
    <w:p w:rsidR="00DF579E" w:rsidRPr="00F307FF" w:rsidRDefault="00DF579E" w:rsidP="00DF579E">
      <w:pPr>
        <w:spacing w:after="120"/>
        <w:rPr>
          <w:rFonts w:ascii="Times New Roman" w:hAnsi="Times New Roman"/>
          <w:szCs w:val="24"/>
        </w:rPr>
      </w:pPr>
      <w:r>
        <w:rPr>
          <w:rFonts w:ascii="Times New Roman" w:hAnsi="Times New Roman"/>
        </w:rPr>
        <w:t xml:space="preserve">La Commission </w:t>
      </w:r>
      <w:r>
        <w:rPr>
          <w:rFonts w:ascii="Times New Roman" w:hAnsi="Times New Roman"/>
          <w:b/>
          <w:bCs/>
        </w:rPr>
        <w:t>suivra et analysera de manière régulière les prix des denrées alimentaires et l’insécurité alimentaire</w:t>
      </w:r>
      <w:r>
        <w:rPr>
          <w:rFonts w:ascii="Times New Roman" w:hAnsi="Times New Roman"/>
        </w:rPr>
        <w:t xml:space="preserve"> et poursuivra son engagement au sein des organismes internationaux et multilatéraux [Organisation des Nations unies pour l'alimentation et l'agriculture (FAO), organisation mondiale du commerce (OMC), G7 et G20) dans un souci de coordination des politiques (</w:t>
      </w:r>
      <w:r>
        <w:rPr>
          <w:rFonts w:ascii="Times New Roman" w:hAnsi="Times New Roman"/>
          <w:b/>
          <w:bCs/>
        </w:rPr>
        <w:t>paragraphes 13 et 50</w:t>
      </w:r>
      <w:r>
        <w:rPr>
          <w:rFonts w:ascii="Times New Roman" w:hAnsi="Times New Roman"/>
        </w:rPr>
        <w:t>). De plus, l’Union intensifie son aide humanitaire aux régions et aux groupes de population les plus touchés par l’insécurité alimentaire (</w:t>
      </w:r>
      <w:r>
        <w:rPr>
          <w:rFonts w:ascii="Times New Roman" w:hAnsi="Times New Roman"/>
          <w:b/>
        </w:rPr>
        <w:t>paragraphes 6, 8, 9, 10, 11, 12 et 66).</w:t>
      </w:r>
    </w:p>
    <w:p w:rsidR="00DF579E" w:rsidRPr="00F307FF" w:rsidRDefault="00DF579E" w:rsidP="00DF579E">
      <w:pPr>
        <w:spacing w:after="120"/>
        <w:rPr>
          <w:rFonts w:ascii="Times New Roman" w:hAnsi="Times New Roman"/>
          <w:szCs w:val="24"/>
        </w:rPr>
      </w:pPr>
      <w:r>
        <w:rPr>
          <w:rFonts w:ascii="Times New Roman" w:hAnsi="Times New Roman"/>
        </w:rPr>
        <w:t xml:space="preserve">Dans le cadre du programme 2021-2027 pour la coopération internationale, l’Union s’efforcera de développer la durabilité des systèmes alimentaires avec environ 70 pays partenaires. En outre, lors du </w:t>
      </w:r>
      <w:hyperlink r:id="rId9" w:history="1">
        <w:r>
          <w:rPr>
            <w:rFonts w:ascii="Times New Roman" w:hAnsi="Times New Roman"/>
            <w:color w:val="004494"/>
            <w:u w:val="single"/>
          </w:rPr>
          <w:t>sommet pour la Nutrition pour la croissance de Tokyo</w:t>
        </w:r>
      </w:hyperlink>
      <w:r>
        <w:rPr>
          <w:rFonts w:ascii="Times New Roman" w:hAnsi="Times New Roman"/>
          <w:color w:val="004494"/>
          <w:u w:val="single"/>
        </w:rPr>
        <w:t xml:space="preserve"> </w:t>
      </w:r>
      <w:r>
        <w:rPr>
          <w:rFonts w:ascii="Times New Roman" w:hAnsi="Times New Roman"/>
        </w:rPr>
        <w:t xml:space="preserve">en décembre 2021, l’Union et ses États membres se sont engagés à poursuivre la lutte contre la malnutrition pour le montant substantiel de 4,3 milliards d’euros, </w:t>
      </w:r>
      <w:r>
        <w:rPr>
          <w:rFonts w:ascii="Times New Roman" w:hAnsi="Times New Roman"/>
          <w:b/>
          <w:bCs/>
        </w:rPr>
        <w:t>dont au moins 2,5 milliards d’euros sont apportés par l’UE au titre de la coopération internationale</w:t>
      </w:r>
      <w:r>
        <w:rPr>
          <w:rFonts w:ascii="Times New Roman" w:hAnsi="Times New Roman"/>
        </w:rPr>
        <w:t xml:space="preserve"> dans le cadre d’un objectif nutritionnel au cours de la période 2021-2024 (</w:t>
      </w:r>
      <w:r>
        <w:rPr>
          <w:rFonts w:ascii="Times New Roman" w:hAnsi="Times New Roman"/>
          <w:b/>
        </w:rPr>
        <w:t>paragraphes 11 et 12</w:t>
      </w:r>
      <w:r>
        <w:rPr>
          <w:rFonts w:ascii="Times New Roman" w:hAnsi="Times New Roman"/>
        </w:rPr>
        <w:t>).</w:t>
      </w:r>
    </w:p>
    <w:p w:rsidR="00DF579E" w:rsidRPr="00F307FF" w:rsidRDefault="00DF579E" w:rsidP="00DF579E">
      <w:pPr>
        <w:spacing w:after="120"/>
        <w:rPr>
          <w:rFonts w:ascii="Times New Roman" w:hAnsi="Times New Roman"/>
          <w:szCs w:val="24"/>
        </w:rPr>
      </w:pPr>
      <w:r>
        <w:rPr>
          <w:rFonts w:ascii="Times New Roman" w:hAnsi="Times New Roman"/>
        </w:rPr>
        <w:t xml:space="preserve">En outre, l’UE continuera à veiller à l’existence et au respect de conditions de concurrence équitables sur le marché unique et plaidera fermement pour que l’on </w:t>
      </w:r>
      <w:r>
        <w:rPr>
          <w:rFonts w:ascii="Times New Roman" w:hAnsi="Times New Roman"/>
          <w:b/>
          <w:bCs/>
        </w:rPr>
        <w:t>évite les restrictions à l’exportation</w:t>
      </w:r>
      <w:r>
        <w:rPr>
          <w:rFonts w:ascii="Times New Roman" w:hAnsi="Times New Roman"/>
        </w:rPr>
        <w:t xml:space="preserve"> et les interdictions d’exportation de denrées alimentaires et pour que soit assuré le bon fonctionnement du marché unique (</w:t>
      </w:r>
      <w:r>
        <w:rPr>
          <w:rFonts w:ascii="Times New Roman" w:hAnsi="Times New Roman"/>
          <w:b/>
          <w:bCs/>
        </w:rPr>
        <w:t>paragraphes 49, 50 et 65</w:t>
      </w:r>
      <w:r>
        <w:rPr>
          <w:rFonts w:ascii="Times New Roman" w:hAnsi="Times New Roman"/>
        </w:rPr>
        <w:t>).</w:t>
      </w:r>
    </w:p>
    <w:p w:rsidR="00DF579E" w:rsidRPr="00F307FF" w:rsidRDefault="00DF579E" w:rsidP="00DF579E">
      <w:pPr>
        <w:spacing w:after="120"/>
        <w:rPr>
          <w:rFonts w:ascii="Times New Roman" w:hAnsi="Times New Roman"/>
          <w:szCs w:val="24"/>
        </w:rPr>
      </w:pPr>
      <w:r>
        <w:rPr>
          <w:rFonts w:ascii="Times New Roman" w:hAnsi="Times New Roman"/>
        </w:rPr>
        <w:t xml:space="preserve">La crise profonde que nous traversons confirme que nous devons </w:t>
      </w:r>
      <w:r>
        <w:rPr>
          <w:rFonts w:ascii="Times New Roman" w:hAnsi="Times New Roman"/>
          <w:b/>
          <w:bCs/>
        </w:rPr>
        <w:t>accélérer la transition mondiale vers des systèmes alimentaires durables</w:t>
      </w:r>
      <w:r>
        <w:rPr>
          <w:rFonts w:ascii="Times New Roman" w:hAnsi="Times New Roman"/>
        </w:rPr>
        <w:t xml:space="preserve"> afin d’améliorer la résilience et d’être mieux préparés aux crises futures. Dans le prolongement du sommet 2021 des Nations unies sur les systèmes alimentaires, la Commission se joindra à huit coalitions qui ont toutes pour finalité la transformation du système alimentaire et la résilience.</w:t>
      </w:r>
    </w:p>
    <w:p w:rsidR="00DF579E" w:rsidRPr="00F307FF" w:rsidRDefault="00DF579E" w:rsidP="00DF579E">
      <w:pPr>
        <w:spacing w:after="120"/>
        <w:rPr>
          <w:rFonts w:ascii="Times New Roman" w:hAnsi="Times New Roman"/>
          <w:szCs w:val="24"/>
        </w:rPr>
      </w:pPr>
      <w:r>
        <w:rPr>
          <w:rFonts w:ascii="Times New Roman" w:hAnsi="Times New Roman"/>
          <w:b/>
        </w:rPr>
        <w:t>Soutien aux agriculteurs et aux consommateurs de l’Union</w:t>
      </w:r>
    </w:p>
    <w:p w:rsidR="00DF579E" w:rsidRPr="00F307FF" w:rsidRDefault="00DF579E" w:rsidP="00DF579E">
      <w:pPr>
        <w:spacing w:after="120"/>
        <w:rPr>
          <w:rFonts w:ascii="Times New Roman" w:hAnsi="Times New Roman"/>
          <w:szCs w:val="24"/>
        </w:rPr>
      </w:pPr>
      <w:r>
        <w:rPr>
          <w:rFonts w:ascii="Times New Roman" w:hAnsi="Times New Roman"/>
        </w:rPr>
        <w:t xml:space="preserve">Pour rendre le coût des denrées alimentaires plus abordable, les États membres peuvent également appliquer </w:t>
      </w:r>
      <w:r>
        <w:rPr>
          <w:rFonts w:ascii="Times New Roman" w:hAnsi="Times New Roman"/>
          <w:b/>
          <w:bCs/>
        </w:rPr>
        <w:t>des taux réduits de taxe sur la valeur ajoutée</w:t>
      </w:r>
      <w:r>
        <w:rPr>
          <w:rFonts w:ascii="Times New Roman" w:hAnsi="Times New Roman"/>
        </w:rPr>
        <w:t xml:space="preserve"> et encourager les opérateurs économiques à maîtriser les prix de détail. Ils peuvent en outre recourir à des fonds de l’Union, tels que le </w:t>
      </w:r>
      <w:r>
        <w:rPr>
          <w:rFonts w:ascii="Times New Roman" w:hAnsi="Times New Roman"/>
          <w:b/>
          <w:bCs/>
        </w:rPr>
        <w:t>Fonds européen d’aide aux plus démunis</w:t>
      </w:r>
      <w:r>
        <w:rPr>
          <w:rFonts w:ascii="Times New Roman" w:hAnsi="Times New Roman"/>
        </w:rPr>
        <w:t xml:space="preserve"> (FEAD), qui soutient les actions menées par les États membres de l’Union pour fournir de la nourriture et/ou apporter une assistance matérielle de base aux personnes les plus vulnérables (</w:t>
      </w:r>
      <w:r>
        <w:rPr>
          <w:rFonts w:ascii="Times New Roman" w:hAnsi="Times New Roman"/>
          <w:b/>
          <w:bCs/>
        </w:rPr>
        <w:t>paragraphes 48 et 71</w:t>
      </w:r>
      <w:r>
        <w:rPr>
          <w:rFonts w:ascii="Times New Roman" w:hAnsi="Times New Roman"/>
        </w:rPr>
        <w:t>).</w:t>
      </w:r>
    </w:p>
    <w:p w:rsidR="00DF579E" w:rsidRPr="00F307FF" w:rsidRDefault="00DF579E" w:rsidP="00DF579E">
      <w:pPr>
        <w:spacing w:after="120"/>
        <w:rPr>
          <w:rFonts w:ascii="Times New Roman" w:hAnsi="Times New Roman"/>
          <w:szCs w:val="24"/>
        </w:rPr>
      </w:pPr>
      <w:r>
        <w:rPr>
          <w:rFonts w:ascii="Times New Roman" w:hAnsi="Times New Roman"/>
        </w:rPr>
        <w:t xml:space="preserve">Dans le cadre du nouveau </w:t>
      </w:r>
      <w:hyperlink r:id="rId10" w:anchor="efscm" w:history="1">
        <w:r>
          <w:rPr>
            <w:rFonts w:ascii="Times New Roman" w:hAnsi="Times New Roman"/>
            <w:b/>
          </w:rPr>
          <w:t>mécanisme européen de préparation et de réaction aux crises de sécurité alimentaire</w:t>
        </w:r>
      </w:hyperlink>
      <w:r>
        <w:rPr>
          <w:rFonts w:ascii="Times New Roman" w:hAnsi="Times New Roman"/>
          <w:b/>
        </w:rPr>
        <w:t xml:space="preserve"> </w:t>
      </w:r>
      <w:r>
        <w:rPr>
          <w:rFonts w:ascii="Times New Roman" w:hAnsi="Times New Roman"/>
        </w:rPr>
        <w:t xml:space="preserve">(EFSCM), qui réunit les administrations européennes et nationales et des acteurs privés tout au long de la chaîne d’approvisionnement, il sera procédé à un </w:t>
      </w:r>
      <w:r>
        <w:rPr>
          <w:rFonts w:ascii="Times New Roman" w:hAnsi="Times New Roman"/>
          <w:b/>
          <w:bCs/>
        </w:rPr>
        <w:t>recensement détaillé des risques et des vulnérabilités de la chaîne d’approvisionnement alimentaire de l’Union</w:t>
      </w:r>
      <w:r>
        <w:rPr>
          <w:rFonts w:ascii="Times New Roman" w:hAnsi="Times New Roman"/>
        </w:rPr>
        <w:t>, puis à la présentation de recommandations et de mesures d’atténuation appropriées. (</w:t>
      </w:r>
      <w:r>
        <w:rPr>
          <w:rFonts w:ascii="Times New Roman" w:hAnsi="Times New Roman"/>
          <w:b/>
        </w:rPr>
        <w:t>paragraphes 19 et 51</w:t>
      </w:r>
      <w:r>
        <w:rPr>
          <w:rFonts w:ascii="Times New Roman" w:hAnsi="Times New Roman"/>
        </w:rPr>
        <w:t>).</w:t>
      </w:r>
    </w:p>
    <w:p w:rsidR="00DF579E" w:rsidRPr="00F307FF" w:rsidRDefault="00DF579E" w:rsidP="00DF579E">
      <w:pPr>
        <w:spacing w:after="120"/>
        <w:rPr>
          <w:rFonts w:ascii="Times New Roman" w:hAnsi="Times New Roman"/>
          <w:szCs w:val="24"/>
        </w:rPr>
      </w:pPr>
      <w:r>
        <w:rPr>
          <w:rFonts w:ascii="Times New Roman" w:hAnsi="Times New Roman"/>
        </w:rPr>
        <w:t xml:space="preserve">Pour remplir son rôle de fournisseur mondial de denrées alimentaires demeurant pleinement engagé dans la transition environnementale, le secteur agroalimentaire de l’Union a besoin de tout notre soutien. À cette fin, la Commission a adopté, en mars 2022, les mesures suivantes (en réponse aux </w:t>
      </w:r>
      <w:r>
        <w:rPr>
          <w:rFonts w:ascii="Times New Roman" w:hAnsi="Times New Roman"/>
          <w:b/>
          <w:bCs/>
        </w:rPr>
        <w:t>paragraphes 14, 25, 29, 37, 38, 39, 43, 46, 48 et 64</w:t>
      </w:r>
      <w:r>
        <w:rPr>
          <w:rFonts w:ascii="Times New Roman" w:hAnsi="Times New Roman"/>
        </w:rPr>
        <w:t>):</w:t>
      </w:r>
    </w:p>
    <w:p w:rsidR="00DF579E" w:rsidRPr="00F307FF" w:rsidRDefault="00207543" w:rsidP="00DF579E">
      <w:pPr>
        <w:numPr>
          <w:ilvl w:val="0"/>
          <w:numId w:val="33"/>
        </w:numPr>
        <w:spacing w:after="120"/>
        <w:rPr>
          <w:rFonts w:ascii="Times New Roman" w:hAnsi="Times New Roman"/>
          <w:szCs w:val="24"/>
        </w:rPr>
      </w:pPr>
      <w:r>
        <w:rPr>
          <w:rFonts w:ascii="Times New Roman" w:hAnsi="Times New Roman"/>
          <w:b/>
          <w:bCs/>
        </w:rPr>
        <w:t>une aide d’un montant de 500 millions d’euros,</w:t>
      </w:r>
      <w:r>
        <w:rPr>
          <w:rFonts w:ascii="Times New Roman" w:hAnsi="Times New Roman"/>
        </w:rPr>
        <w:t xml:space="preserve"> notamment en utilisant la réserve de crise, afin de soutenir les producteurs les plus touchés par les lourdes conséquences de la guerre en Ukraine. Sur cette base, les États membres pourraient apporter un soutien financier supplémentaire aux agriculteurs afin de contribuer à la sécurité alimentaire mondiale ou de remédier aux perturbations du marché dues à l’augmentation des coûts des intrants ou aux restrictions commerciales. Il convient de destiner le soutien en priorité aux agriculteurs engagés dans des pratiques durables, tout en veillant à ce que les mesures ciblent les secteurs et les agriculteurs les plus durement touchés par la crise;</w:t>
      </w:r>
    </w:p>
    <w:p w:rsidR="00DF579E" w:rsidRPr="00F307FF" w:rsidRDefault="00DF579E" w:rsidP="00DF579E">
      <w:pPr>
        <w:numPr>
          <w:ilvl w:val="0"/>
          <w:numId w:val="33"/>
        </w:numPr>
        <w:spacing w:after="120"/>
        <w:rPr>
          <w:rFonts w:ascii="Times New Roman" w:hAnsi="Times New Roman"/>
          <w:szCs w:val="24"/>
        </w:rPr>
      </w:pPr>
      <w:r>
        <w:rPr>
          <w:rFonts w:ascii="Times New Roman" w:hAnsi="Times New Roman"/>
          <w:b/>
          <w:bCs/>
        </w:rPr>
        <w:t>une augmentation des avances sur les paiements directs</w:t>
      </w:r>
      <w:r>
        <w:rPr>
          <w:rFonts w:ascii="Times New Roman" w:hAnsi="Times New Roman"/>
        </w:rPr>
        <w:t xml:space="preserve"> et des mesures de développement rural liées aux surfaces et aux animaux à partir du 16 octobre 2022;</w:t>
      </w:r>
    </w:p>
    <w:p w:rsidR="00DF579E" w:rsidRPr="00F307FF" w:rsidRDefault="00DF579E" w:rsidP="00DF579E">
      <w:pPr>
        <w:numPr>
          <w:ilvl w:val="0"/>
          <w:numId w:val="33"/>
        </w:numPr>
        <w:spacing w:after="120"/>
        <w:rPr>
          <w:rFonts w:ascii="Times New Roman" w:hAnsi="Times New Roman"/>
          <w:szCs w:val="24"/>
        </w:rPr>
      </w:pPr>
      <w:r>
        <w:rPr>
          <w:rFonts w:ascii="Times New Roman" w:hAnsi="Times New Roman"/>
          <w:b/>
          <w:bCs/>
        </w:rPr>
        <w:t>des mesures de marché du type «filet de sécurité»</w:t>
      </w:r>
      <w:r>
        <w:rPr>
          <w:rFonts w:ascii="Times New Roman" w:hAnsi="Times New Roman"/>
        </w:rPr>
        <w:t xml:space="preserve"> (aides au stockage privé) pour soutenir le marché de la viande de porc, compte tenu de la situation particulièrement difficile de ce secteur.</w:t>
      </w:r>
    </w:p>
    <w:p w:rsidR="00DF579E" w:rsidRPr="00F307FF" w:rsidRDefault="00DF579E" w:rsidP="00DF579E">
      <w:pPr>
        <w:numPr>
          <w:ilvl w:val="0"/>
          <w:numId w:val="33"/>
        </w:numPr>
        <w:spacing w:after="120"/>
        <w:rPr>
          <w:rFonts w:ascii="Times New Roman" w:hAnsi="Times New Roman"/>
          <w:szCs w:val="24"/>
        </w:rPr>
      </w:pPr>
      <w:r>
        <w:rPr>
          <w:rFonts w:ascii="Times New Roman" w:hAnsi="Times New Roman"/>
        </w:rPr>
        <w:t>La réponse de l’Union en matière d’approvisionnement est limitée par la disponibilité de terres fertiles. Afin d’élargir la capacité de production de l’Union, la Commission a adopté un acte d’exécution afin d’</w:t>
      </w:r>
      <w:r>
        <w:rPr>
          <w:rFonts w:ascii="Times New Roman" w:hAnsi="Times New Roman"/>
          <w:b/>
          <w:bCs/>
        </w:rPr>
        <w:t>autoriser, à titre exceptionnel et temporaire, les États membres à déroger à certaines exigences en matière de paiements verts</w:t>
      </w:r>
      <w:r>
        <w:rPr>
          <w:rFonts w:ascii="Times New Roman" w:hAnsi="Times New Roman"/>
        </w:rPr>
        <w:t>. En particulier, ils peuvent autoriser la production de toute culture destinée à l’alimentation humaine et animale sur des terres mises en jachère qui constituent des surfaces d’intérêt écologique en 2022, sans incidence sur le niveau du paiement vert. Cette flexibilité temporaire permettra aux agriculteurs d’adapter et d’étendre leurs plans de culture cette année (</w:t>
      </w:r>
      <w:r>
        <w:rPr>
          <w:rFonts w:ascii="Times New Roman" w:hAnsi="Times New Roman"/>
          <w:b/>
          <w:bCs/>
        </w:rPr>
        <w:t>paragraphes 29 et 30</w:t>
      </w:r>
      <w:r>
        <w:rPr>
          <w:rFonts w:ascii="Times New Roman" w:hAnsi="Times New Roman"/>
        </w:rPr>
        <w:t>). La Commission a pris note de l’invitation à réévaluer la situation en temps utile et à proposer d’autres mesures appropriées si nécessaire pour 2023.</w:t>
      </w:r>
    </w:p>
    <w:p w:rsidR="00DF579E" w:rsidRPr="00F307FF" w:rsidRDefault="00DF579E" w:rsidP="00DF579E">
      <w:pPr>
        <w:spacing w:after="120"/>
        <w:rPr>
          <w:rFonts w:ascii="Times New Roman" w:hAnsi="Times New Roman"/>
          <w:bCs/>
          <w:szCs w:val="24"/>
        </w:rPr>
      </w:pPr>
      <w:r>
        <w:rPr>
          <w:rFonts w:ascii="Times New Roman" w:hAnsi="Times New Roman"/>
        </w:rPr>
        <w:t xml:space="preserve">La Commission a également adopté un nouveau </w:t>
      </w:r>
      <w:r>
        <w:rPr>
          <w:rFonts w:ascii="Times New Roman" w:hAnsi="Times New Roman"/>
          <w:b/>
          <w:bCs/>
        </w:rPr>
        <w:t>cadre temporaire indépendant pour les crises qui couvre également les agriculteurs, les producteurs d’engrais et le secteur de la pêche et de l’aquaculture</w:t>
      </w:r>
      <w:r>
        <w:rPr>
          <w:rFonts w:ascii="Times New Roman" w:hAnsi="Times New Roman"/>
        </w:rPr>
        <w:t>. Ce cadre permet de fournir des aides d’État aux agriculteurs et aux pêcheurs touchés par des augmentations significatives des coûts des intrants. Les prix des engrais et l’approvisionnement des agriculteurs feront l’objet d’un suivi afin de veiller à ce que les prévisions de récolte dans l’Union ne soient pas compromises.</w:t>
      </w:r>
      <w:r>
        <w:t xml:space="preserve"> </w:t>
      </w:r>
      <w:r>
        <w:rPr>
          <w:rFonts w:ascii="Times New Roman" w:hAnsi="Times New Roman"/>
        </w:rPr>
        <w:t xml:space="preserve">La Commission s’emploie de manière cohérente à trouver des solutions au </w:t>
      </w:r>
      <w:r>
        <w:rPr>
          <w:rFonts w:ascii="Times New Roman" w:hAnsi="Times New Roman"/>
          <w:b/>
          <w:bCs/>
        </w:rPr>
        <w:t>problème des engrais</w:t>
      </w:r>
      <w:r>
        <w:rPr>
          <w:rFonts w:ascii="Times New Roman" w:hAnsi="Times New Roman"/>
        </w:rPr>
        <w:t xml:space="preserve"> en examinant </w:t>
      </w:r>
      <w:bookmarkStart w:id="2" w:name="_Hlk101815308"/>
      <w:r>
        <w:rPr>
          <w:rFonts w:ascii="Times New Roman" w:hAnsi="Times New Roman"/>
        </w:rPr>
        <w:t xml:space="preserve">les possibilités offertes par différentes approches, notamment leur remplacement, l’économie circulaire et la réduction de leur utilisation, la continuité des activités des entreprises de production d’engrais de l’UE et la recherche de nouvelles sources d’importation </w:t>
      </w:r>
      <w:bookmarkEnd w:id="2"/>
      <w:r>
        <w:rPr>
          <w:rFonts w:ascii="Times New Roman" w:hAnsi="Times New Roman"/>
        </w:rPr>
        <w:t>(</w:t>
      </w:r>
      <w:r>
        <w:rPr>
          <w:rFonts w:ascii="Times New Roman" w:hAnsi="Times New Roman"/>
          <w:b/>
        </w:rPr>
        <w:t>paragraphes 21, 26, 28 et 40</w:t>
      </w:r>
      <w:r>
        <w:rPr>
          <w:rFonts w:ascii="Times New Roman" w:hAnsi="Times New Roman"/>
        </w:rPr>
        <w:t>).</w:t>
      </w:r>
    </w:p>
    <w:p w:rsidR="00DF579E" w:rsidRPr="00F307FF" w:rsidRDefault="00DF579E" w:rsidP="00DF579E">
      <w:pPr>
        <w:spacing w:after="120"/>
        <w:rPr>
          <w:rFonts w:ascii="Times New Roman" w:hAnsi="Times New Roman"/>
          <w:szCs w:val="24"/>
        </w:rPr>
      </w:pPr>
      <w:r>
        <w:rPr>
          <w:rFonts w:ascii="Times New Roman" w:hAnsi="Times New Roman"/>
        </w:rPr>
        <w:t>Le 20 mai, la Commission a adopté une proposition modifiant le règlement (UE) n° 1305/2013 en ce qui concerne une mesure spécifique destinée à fournir un soutien temporaire exceptionnel au titre du Fonds européen agricole pour le développement rural (Feader) en réaction aux conséquences de l’invasion de l’Ukraine par la Russie (</w:t>
      </w:r>
      <w:r>
        <w:rPr>
          <w:rFonts w:ascii="Times New Roman" w:hAnsi="Times New Roman"/>
          <w:b/>
          <w:bCs/>
        </w:rPr>
        <w:t>paragraphe 39</w:t>
      </w:r>
      <w:r>
        <w:rPr>
          <w:rFonts w:ascii="Times New Roman" w:hAnsi="Times New Roman"/>
        </w:rPr>
        <w:t>).</w:t>
      </w:r>
    </w:p>
    <w:p w:rsidR="00DF579E" w:rsidRPr="00F307FF" w:rsidRDefault="00DF579E" w:rsidP="00DF579E">
      <w:pPr>
        <w:spacing w:after="120"/>
        <w:rPr>
          <w:rFonts w:ascii="Times New Roman" w:hAnsi="Times New Roman"/>
          <w:szCs w:val="24"/>
        </w:rPr>
      </w:pPr>
      <w:r>
        <w:rPr>
          <w:rFonts w:ascii="Times New Roman" w:hAnsi="Times New Roman"/>
        </w:rPr>
        <w:t xml:space="preserve">La Commission propose en outre qu’à compter de juillet 2022 </w:t>
      </w:r>
      <w:r>
        <w:rPr>
          <w:rFonts w:ascii="Times New Roman" w:hAnsi="Times New Roman"/>
          <w:b/>
          <w:bCs/>
        </w:rPr>
        <w:t>les États membres communiquent des données sur les stocks privés de produits de base essentiels à l’alimentation humaine et animale</w:t>
      </w:r>
      <w:r>
        <w:rPr>
          <w:rFonts w:ascii="Times New Roman" w:hAnsi="Times New Roman"/>
        </w:rPr>
        <w:t xml:space="preserve"> sur une base mensuelle afin d’obtenir en temps utile une image précise de leur disponibilité.</w:t>
      </w:r>
    </w:p>
    <w:p w:rsidR="00DF579E" w:rsidRPr="00F307FF" w:rsidRDefault="00DF579E" w:rsidP="00DF579E">
      <w:pPr>
        <w:spacing w:after="120"/>
        <w:rPr>
          <w:rFonts w:ascii="Times New Roman" w:hAnsi="Times New Roman"/>
          <w:szCs w:val="24"/>
        </w:rPr>
      </w:pPr>
      <w:r>
        <w:rPr>
          <w:rFonts w:ascii="Times New Roman" w:hAnsi="Times New Roman"/>
        </w:rPr>
        <w:t>En ce qui concerne la flexibilité pour les importations de produits essentiels (en particulier les céréales, le soja et les engrais) en provenance de pays tiers (</w:t>
      </w:r>
      <w:r>
        <w:rPr>
          <w:rFonts w:ascii="Times New Roman" w:hAnsi="Times New Roman"/>
          <w:b/>
          <w:bCs/>
        </w:rPr>
        <w:t>paragraphe 40),</w:t>
      </w:r>
      <w:r>
        <w:rPr>
          <w:rFonts w:ascii="Times New Roman" w:hAnsi="Times New Roman"/>
        </w:rPr>
        <w:t xml:space="preserve"> afin d’alléger la pression sur le marché des aliments pour animaux, certains États membres ont décidé de faire usage, à titre exceptionnel et temporaire, de la souplesse prévue par la législation de l’UE concernant les teneurs maximales applicables aux résidus de pesticides pour les importations, dans des cas dûment justifiés qui ne compromettent pas la sécurité alimentaire et la santé des consommateurs. La Commission surveille ces mesures nationales.</w:t>
      </w:r>
    </w:p>
    <w:p w:rsidR="00DF579E" w:rsidRPr="00F307FF" w:rsidRDefault="00DF579E" w:rsidP="00DF579E">
      <w:pPr>
        <w:spacing w:after="120"/>
        <w:rPr>
          <w:rFonts w:ascii="Times New Roman" w:hAnsi="Times New Roman"/>
          <w:szCs w:val="24"/>
        </w:rPr>
      </w:pPr>
      <w:r>
        <w:rPr>
          <w:rFonts w:ascii="Times New Roman" w:hAnsi="Times New Roman"/>
          <w:b/>
        </w:rPr>
        <w:t>Renforcer la résilience et la durabilité de nos systèmes alimentaires</w:t>
      </w:r>
    </w:p>
    <w:p w:rsidR="00DF579E" w:rsidRPr="00F307FF" w:rsidRDefault="00DF579E" w:rsidP="00DF579E">
      <w:pPr>
        <w:spacing w:after="120"/>
        <w:rPr>
          <w:rFonts w:ascii="Calibri" w:hAnsi="Calibri" w:cs="Calibri"/>
          <w:sz w:val="22"/>
          <w:szCs w:val="22"/>
        </w:rPr>
      </w:pPr>
      <w:r>
        <w:rPr>
          <w:rFonts w:ascii="Times New Roman" w:hAnsi="Times New Roman"/>
          <w:b/>
          <w:bCs/>
        </w:rPr>
        <w:t>La durabilité alimentaire est fondamentale pour la sécurité alimentaire</w:t>
      </w:r>
      <w:r>
        <w:rPr>
          <w:rFonts w:ascii="Times New Roman" w:hAnsi="Times New Roman"/>
        </w:rPr>
        <w:t>. La communication rappelle l’engagement de la Commission en faveur du pacte vert pour l’Europe et de la stratégie «De la ferme à la table» et définit des mesures à moyen terme pour soutenir la transition vers un système alimentaire durable. En l’absence d’une transition telle que celle définie dans la stratégie «De la ferme à la table» et la stratégie en faveur de la biodiversité, la sécurité alimentaire sera gravement menacée à long terme, ce qui aura des conséquences irréversibles à l’échelle mondiale en raison du changement climatique, de la perte de biodiversité et de la raréfaction croissante des ressources. La stratégie «De la ferme à la table» définit donc une vision de la transition vers des systèmes alimentaires équitables, sains et respectueux de l’environnement, en intégrant la sécurité, la sûreté et la résilience alimentaires dans les fondements de la stratégie. Une série d’initiatives législatives et non législatives viseront à améliorer la viabilité, la résilience et la durabilité globales des systèmes alimentaires tout au long de la chaîne de valeur (</w:t>
      </w:r>
      <w:r>
        <w:rPr>
          <w:rFonts w:ascii="Times New Roman" w:hAnsi="Times New Roman"/>
          <w:b/>
          <w:bCs/>
        </w:rPr>
        <w:t>considérants M et V, paragraphes 33, 52, 56 et 63</w:t>
      </w:r>
      <w:r>
        <w:rPr>
          <w:rFonts w:ascii="Times New Roman" w:hAnsi="Times New Roman"/>
        </w:rPr>
        <w:t>). Des analyses d’impact seront réalisées pour toutes les initiatives législatives importantes relevant de la stratégie «De la ferme à la table» (</w:t>
      </w:r>
      <w:r>
        <w:rPr>
          <w:rFonts w:ascii="Times New Roman" w:hAnsi="Times New Roman"/>
          <w:b/>
          <w:bCs/>
        </w:rPr>
        <w:t>paragraphe 54</w:t>
      </w:r>
      <w:r>
        <w:rPr>
          <w:rFonts w:ascii="Times New Roman" w:hAnsi="Times New Roman"/>
        </w:rPr>
        <w:t>).</w:t>
      </w:r>
    </w:p>
    <w:p w:rsidR="00DF579E" w:rsidRPr="00F307FF" w:rsidRDefault="00DF579E" w:rsidP="00DF579E">
      <w:pPr>
        <w:spacing w:after="120"/>
        <w:rPr>
          <w:rFonts w:ascii="Times New Roman" w:hAnsi="Times New Roman"/>
          <w:szCs w:val="24"/>
        </w:rPr>
      </w:pPr>
      <w:r>
        <w:rPr>
          <w:rFonts w:ascii="Times New Roman" w:hAnsi="Times New Roman"/>
        </w:rPr>
        <w:t xml:space="preserve">Un </w:t>
      </w:r>
      <w:r>
        <w:rPr>
          <w:rFonts w:ascii="Times New Roman" w:hAnsi="Times New Roman"/>
          <w:b/>
          <w:bCs/>
        </w:rPr>
        <w:t>recours accru à l’innovation pour accroître la résilience des systèmes alimentaires, y compris des solutions fondées sur la nature</w:t>
      </w:r>
      <w:r>
        <w:rPr>
          <w:rFonts w:ascii="Times New Roman" w:hAnsi="Times New Roman"/>
        </w:rPr>
        <w:t xml:space="preserve">, telles que l’agriculture de précision, l’agroécologie, les nouvelles techniques génomiques, l’amélioration de la gestion des nutriments, la lutte intégrée contre les ennemis des cultures, les alternatives biologiques aux pesticides chimiques, peut </w:t>
      </w:r>
      <w:r>
        <w:rPr>
          <w:rFonts w:ascii="Times New Roman" w:hAnsi="Times New Roman"/>
          <w:b/>
          <w:bCs/>
        </w:rPr>
        <w:t>contribuer à une augmentation durable des rendements</w:t>
      </w:r>
      <w:r>
        <w:rPr>
          <w:rFonts w:ascii="Times New Roman" w:hAnsi="Times New Roman"/>
        </w:rPr>
        <w:t xml:space="preserve"> (</w:t>
      </w:r>
      <w:r>
        <w:rPr>
          <w:rFonts w:ascii="Times New Roman" w:hAnsi="Times New Roman"/>
          <w:b/>
          <w:bCs/>
        </w:rPr>
        <w:t>paragraphes 45 et 55)</w:t>
      </w:r>
      <w:r>
        <w:rPr>
          <w:rFonts w:ascii="Times New Roman" w:hAnsi="Times New Roman"/>
        </w:rPr>
        <w:t>.</w:t>
      </w:r>
    </w:p>
    <w:p w:rsidR="00DF579E" w:rsidRPr="00F307FF" w:rsidRDefault="00DF579E" w:rsidP="00DF579E">
      <w:pPr>
        <w:spacing w:after="120"/>
        <w:rPr>
          <w:rFonts w:ascii="Times New Roman" w:hAnsi="Times New Roman"/>
          <w:szCs w:val="24"/>
        </w:rPr>
      </w:pPr>
      <w:r>
        <w:rPr>
          <w:rFonts w:ascii="Times New Roman" w:hAnsi="Times New Roman"/>
        </w:rPr>
        <w:t>La stratégie de l’UE en faveur de la biodiversité à l’horizon 2030 fixe un objectif à l’échelle de l’UE visant à restaurer les particularités topographiques à haute diversité sur au moins 10 % de la surface agricole, à atteindre d’ici à 2030. Il n’y a pas encore d’objectif contraignant. Cette stratégie ne devrait pas déboucher sur une réduction nette de 10 % des zones de production, comme le suggère la résolution (</w:t>
      </w:r>
      <w:r>
        <w:rPr>
          <w:rFonts w:ascii="Times New Roman" w:hAnsi="Times New Roman"/>
          <w:b/>
          <w:bCs/>
        </w:rPr>
        <w:t>paragraphe 57</w:t>
      </w:r>
      <w:r>
        <w:rPr>
          <w:rFonts w:ascii="Times New Roman" w:hAnsi="Times New Roman"/>
        </w:rPr>
        <w:t>). Dans le contexte des plans stratégiques de la politique agricole commune (plans stratégiques relevant de la PAC), la Commission attend des États membres qu’ils définissent et mettent en œuvre le nouveau régime de conditionnalité de manière à accorder la plus grande importance aux objectifs climatiques et environnementaux, tout en réduisant au minimum son incidence potentielle à court terme sur la capacité de production. Par exemple, la détermination de la part minimale de terres arables aux fins de la biodiversité devrait plutôt être axée sur le maintien et la mise en place d’éléments non productifs, tels que les particularités topographiques (par exemple, les haies et les arbres), plutôt que sur la mise en jachère des terres (ce qui restreindrait le potentiel de production de l’Union).</w:t>
      </w:r>
    </w:p>
    <w:p w:rsidR="00DF579E" w:rsidRPr="00F307FF" w:rsidRDefault="00DF579E" w:rsidP="00DF579E">
      <w:pPr>
        <w:spacing w:after="120"/>
        <w:rPr>
          <w:rFonts w:ascii="Times New Roman" w:hAnsi="Times New Roman"/>
          <w:szCs w:val="24"/>
        </w:rPr>
      </w:pPr>
      <w:r>
        <w:rPr>
          <w:rFonts w:ascii="Times New Roman" w:hAnsi="Times New Roman"/>
        </w:rPr>
        <w:t xml:space="preserve">Il est plus que jamais impératif de renforcer la durabilité et la résilience en </w:t>
      </w:r>
      <w:r>
        <w:rPr>
          <w:rFonts w:ascii="Times New Roman" w:hAnsi="Times New Roman"/>
          <w:b/>
          <w:bCs/>
        </w:rPr>
        <w:t>réduisant la dépendance énergétique de l’agriculture européenne, de même que sa dépendance à l’égard des importations à forte intensité énergétique et des importations d’aliments pour animaux</w:t>
      </w:r>
      <w:r>
        <w:rPr>
          <w:rFonts w:ascii="Times New Roman" w:hAnsi="Times New Roman"/>
        </w:rPr>
        <w:t>. Pour assurer la résilience, il est nécessaire de diversifier les sources d’importation et les débouchés grâce à une solide politique commerciale multilatérale et bilatérale. La Commission européenne, par l’intermédiaire de programmes de financement antérieurs tels que le 7</w:t>
      </w:r>
      <w:r>
        <w:rPr>
          <w:rFonts w:ascii="Times New Roman" w:hAnsi="Times New Roman"/>
          <w:vertAlign w:val="superscript"/>
        </w:rPr>
        <w:t>e</w:t>
      </w:r>
      <w:r>
        <w:rPr>
          <w:rFonts w:ascii="Times New Roman" w:hAnsi="Times New Roman"/>
        </w:rPr>
        <w:t xml:space="preserve"> programme-cadre de recherche et Horizon 2020, a déjà développé la recherche et l’innovation en ce qui concerne ces questions épineuses. Horizon Europe investira encore davantage dans la recherche et l’innovation afin d’accélérer la transition vers des systèmes alimentaires durables, y compris le remplacement des engrais de synthèse utilisés. Une utilisation plus efficace de l’azote, la transition vers l’ammoniac pour les engrais produit à partir d’énergies renouvelables et la valorisation de la biomasse figurent parmi les propositions présentées par la Commission. À cet égard, la Commission a invité les États membres à faire usage de tous les instruments disponibles dans leurs plans stratégiques relevant de la PAC pour la période 2023-2027, à savoir par exemple les outils de gestion des risques, le développement de l’agriculture de précision ou le soutien couplé pour stimuler les cultures de protéagineux (</w:t>
      </w:r>
      <w:r>
        <w:rPr>
          <w:rFonts w:ascii="Times New Roman" w:hAnsi="Times New Roman"/>
          <w:b/>
        </w:rPr>
        <w:t xml:space="preserve">paragraphes 17, 20, 21, 23, 26, 27, 36, 44 et 58, </w:t>
      </w:r>
      <w:r>
        <w:rPr>
          <w:rFonts w:ascii="Times New Roman" w:hAnsi="Times New Roman"/>
        </w:rPr>
        <w:t>voir également la communication sur REPowerEU: action européenne conjointe pour une énergie plus abordable, plus sûre et plus durable</w:t>
      </w:r>
      <w:r>
        <w:rPr>
          <w:rStyle w:val="FootnoteReference"/>
          <w:rFonts w:ascii="Times New Roman" w:hAnsi="Times New Roman"/>
          <w:szCs w:val="24"/>
          <w:lang w:val="en-IE" w:eastAsia="en-IE"/>
        </w:rPr>
        <w:footnoteReference w:id="1"/>
      </w:r>
      <w:r>
        <w:rPr>
          <w:rFonts w:ascii="Times New Roman" w:hAnsi="Times New Roman"/>
        </w:rPr>
        <w:t xml:space="preserve">) et les pratiques agricoles à faibles consommations intermédiaires telles que l’agroécologie et l’agriculture biologique. En outre, l’UE réexamine la politique définie dans son rapport de 2018 sur le développement des protéines végétales dans l’UE. </w:t>
      </w:r>
      <w:r>
        <w:rPr>
          <w:rFonts w:ascii="Times New Roman" w:hAnsi="Times New Roman"/>
          <w:b/>
          <w:bCs/>
        </w:rPr>
        <w:t>La PAC demeure un instrument d’action essentiel pour contribuer à une production alimentaire durable et à la sécurité alimentaire</w:t>
      </w:r>
      <w:r>
        <w:rPr>
          <w:rFonts w:ascii="Times New Roman" w:hAnsi="Times New Roman"/>
        </w:rPr>
        <w:t>.</w:t>
      </w:r>
    </w:p>
    <w:p w:rsidR="00DF579E" w:rsidRPr="00F307FF" w:rsidRDefault="00DF579E" w:rsidP="00DF579E">
      <w:pPr>
        <w:spacing w:after="120"/>
        <w:rPr>
          <w:rFonts w:ascii="Times New Roman" w:hAnsi="Times New Roman"/>
          <w:szCs w:val="24"/>
        </w:rPr>
      </w:pPr>
      <w:r>
        <w:rPr>
          <w:rFonts w:ascii="Times New Roman" w:hAnsi="Times New Roman"/>
        </w:rPr>
        <w:t>La Commission soutient les États membres dans le recours aux possibilités permettant de réduire la proportion de biocarburants mélangés, ce qui pourrait entraîner une réduction des terres agricoles de l’Union utilisées pour produire des matières premières destinées à la fabrication de biocarburants, allégeant ainsi la pression sur les marchés des produits de base destinés à l’alimentation humaine et animale (</w:t>
      </w:r>
      <w:r>
        <w:rPr>
          <w:rFonts w:ascii="Times New Roman" w:hAnsi="Times New Roman"/>
          <w:b/>
          <w:bCs/>
        </w:rPr>
        <w:t>paragraphe 32</w:t>
      </w:r>
      <w:r>
        <w:rPr>
          <w:rFonts w:ascii="Times New Roman" w:hAnsi="Times New Roman"/>
        </w:rPr>
        <w:t>).</w:t>
      </w:r>
    </w:p>
    <w:p w:rsidR="00DF579E" w:rsidRPr="00F307FF" w:rsidRDefault="00DF579E" w:rsidP="00DF579E">
      <w:pPr>
        <w:spacing w:after="120"/>
        <w:rPr>
          <w:rFonts w:ascii="Times New Roman" w:hAnsi="Times New Roman"/>
          <w:szCs w:val="24"/>
        </w:rPr>
      </w:pPr>
      <w:r>
        <w:rPr>
          <w:rFonts w:ascii="Times New Roman" w:hAnsi="Times New Roman"/>
        </w:rPr>
        <w:t>La Commission poursuit ses efforts pour rendre le commerce plus ouvert (par exemple dans le cadre des négociations sur les accords de libre-échange), ce qui contribuera à diversifier les sources d’importation et les débouchés d’exportation des produits alimentaires, afin d’éviter les dépendances critiques (</w:t>
      </w:r>
      <w:r>
        <w:rPr>
          <w:rFonts w:ascii="Times New Roman" w:hAnsi="Times New Roman"/>
          <w:b/>
          <w:bCs/>
        </w:rPr>
        <w:t>paragraphes 18 et 42</w:t>
      </w:r>
      <w:r>
        <w:rPr>
          <w:rFonts w:ascii="Times New Roman" w:hAnsi="Times New Roman"/>
        </w:rPr>
        <w:t>).</w:t>
      </w:r>
    </w:p>
    <w:p w:rsidR="00DF579E" w:rsidRPr="00F307FF" w:rsidRDefault="00DF579E" w:rsidP="00DF579E">
      <w:pPr>
        <w:spacing w:after="120"/>
        <w:rPr>
          <w:rFonts w:ascii="Times New Roman" w:hAnsi="Times New Roman"/>
          <w:szCs w:val="24"/>
        </w:rPr>
      </w:pPr>
      <w:r>
        <w:rPr>
          <w:rFonts w:ascii="Times New Roman" w:hAnsi="Times New Roman"/>
        </w:rPr>
        <w:t>La Commission continuera d’envisager de nouvelles mesures réglementaires sûres afin d’élargir les possibilités d’utilisation des nutriments provenant des effluents d’élevage. Le nouveau règlement sur les fertilisants permet désormais aux engrais organiques et recyclés de circuler librement dans le marché intérieur, facilitant ainsi l’accès des agriculteurs à ces engrais d’origine non minérale. D’autres sources, telles que les plantes fixant l’azote, peuvent également être utilisées. La Commission adoptera également un plan d’action pour la gestion intégrée des nutriments d’ici la fin de l’année afin de réduire les pertes de nutriments dans la chaîne alimentaire, d’améliorer l’efficacité de l’utilisation des nutriments et de promouvoir la réutilisation et le recyclage des nutriments conformément aux principes de l’économie circulaire (</w:t>
      </w:r>
      <w:r>
        <w:rPr>
          <w:rFonts w:ascii="Times New Roman" w:hAnsi="Times New Roman"/>
          <w:b/>
          <w:bCs/>
        </w:rPr>
        <w:t>paragraphe 28</w:t>
      </w:r>
      <w:r>
        <w:rPr>
          <w:rFonts w:ascii="Times New Roman" w:hAnsi="Times New Roman"/>
        </w:rPr>
        <w:t>).</w:t>
      </w:r>
    </w:p>
    <w:p w:rsidR="00DF579E" w:rsidRPr="00F307FF" w:rsidRDefault="00DF579E" w:rsidP="00DF579E">
      <w:pPr>
        <w:spacing w:after="120"/>
        <w:rPr>
          <w:rFonts w:ascii="Times New Roman" w:hAnsi="Times New Roman"/>
          <w:szCs w:val="24"/>
        </w:rPr>
      </w:pPr>
      <w:r>
        <w:rPr>
          <w:rFonts w:ascii="Times New Roman" w:hAnsi="Times New Roman"/>
        </w:rPr>
        <w:t>La Commission prend note de la recommandation du Parlement européen d’expliciter totalement la clause de force majeure dans la PAC, ainsi que dans la législation ultérieure. Elle rappelle que la notion de force majeure a été largement développée par la Cour de justice, tandis que certaines conditions de son application figurent dans la législation relative à la PAC et notamment dans ses règles financières. En outre, les services de la Commission et les administrations des États membres collaborent le cas échéant dans des cas spécifiques portés à l’attention de la Commission (</w:t>
      </w:r>
      <w:r>
        <w:rPr>
          <w:rFonts w:ascii="Times New Roman" w:hAnsi="Times New Roman"/>
          <w:b/>
          <w:bCs/>
        </w:rPr>
        <w:t>paragraphe 35</w:t>
      </w:r>
      <w:r>
        <w:rPr>
          <w:rFonts w:ascii="Times New Roman" w:hAnsi="Times New Roman"/>
        </w:rPr>
        <w:t>).</w:t>
      </w:r>
    </w:p>
    <w:p w:rsidR="00DF579E" w:rsidRPr="00F307FF" w:rsidRDefault="00DF579E" w:rsidP="00DF579E">
      <w:pPr>
        <w:spacing w:after="120"/>
        <w:rPr>
          <w:rFonts w:ascii="Times New Roman" w:hAnsi="Times New Roman"/>
          <w:szCs w:val="24"/>
        </w:rPr>
      </w:pPr>
      <w:r>
        <w:rPr>
          <w:rFonts w:ascii="Times New Roman" w:hAnsi="Times New Roman"/>
        </w:rPr>
        <w:t>La proposition relative à l’accélération et au renforcement des actions visant à réduire le gaspillage alimentaire, y compris l’utilisation efficace des ressources du système alimentaire au sein de l’UE conformément à la hiérarchie des déchets, sera abordée dans le cadre de la mise en œuvre de la stratégie «De la ferme à la table» (</w:t>
      </w:r>
      <w:r>
        <w:rPr>
          <w:rFonts w:ascii="Times New Roman" w:hAnsi="Times New Roman"/>
          <w:b/>
          <w:bCs/>
        </w:rPr>
        <w:t>paragraphe 68</w:t>
      </w:r>
      <w:r>
        <w:rPr>
          <w:rFonts w:ascii="Times New Roman" w:hAnsi="Times New Roman"/>
        </w:rPr>
        <w:t>).</w:t>
      </w:r>
    </w:p>
    <w:p w:rsidR="00DF579E" w:rsidRPr="00F307FF" w:rsidRDefault="00DF579E" w:rsidP="00DF579E">
      <w:pPr>
        <w:spacing w:after="120"/>
        <w:rPr>
          <w:rFonts w:ascii="Times New Roman" w:hAnsi="Times New Roman"/>
          <w:szCs w:val="24"/>
        </w:rPr>
      </w:pPr>
      <w:r>
        <w:rPr>
          <w:rFonts w:ascii="Times New Roman" w:hAnsi="Times New Roman"/>
        </w:rPr>
        <w:t>Pour faire face à la forte augmentation des coûts d’exploitation supportés par le secteur de la pêche et de l’aquaculture, la Commission a activé le mécanisme de crise du Fonds européen pour les affaires maritimes, la pêche et l’aquaculture (FEAMPA), conçu pour faire face à des événements exceptionnels entraînant une perturbation importante des marchés (</w:t>
      </w:r>
      <w:r>
        <w:rPr>
          <w:rFonts w:ascii="Times New Roman" w:hAnsi="Times New Roman"/>
          <w:b/>
          <w:bCs/>
        </w:rPr>
        <w:t>paragraphes 59, 61 et 62</w:t>
      </w:r>
      <w:r>
        <w:rPr>
          <w:rFonts w:ascii="Times New Roman" w:hAnsi="Times New Roman"/>
        </w:rPr>
        <w:t>).</w:t>
      </w:r>
    </w:p>
    <w:p w:rsidR="00DF579E" w:rsidRPr="00F307FF" w:rsidRDefault="00DF579E" w:rsidP="00DF579E">
      <w:pPr>
        <w:spacing w:after="120"/>
        <w:rPr>
          <w:rFonts w:ascii="Times New Roman" w:hAnsi="Times New Roman"/>
          <w:szCs w:val="24"/>
        </w:rPr>
      </w:pPr>
      <w:r>
        <w:rPr>
          <w:rFonts w:ascii="Times New Roman" w:hAnsi="Times New Roman"/>
        </w:rPr>
        <w:t>La Commission réexamine en permanence la situation et proposera d’autres mesures si nécessaire pour 2023 (</w:t>
      </w:r>
      <w:r>
        <w:rPr>
          <w:rFonts w:ascii="Times New Roman" w:hAnsi="Times New Roman"/>
          <w:b/>
          <w:bCs/>
        </w:rPr>
        <w:t>paragraphes 30, 31 et 34</w:t>
      </w:r>
      <w:r>
        <w:rPr>
          <w:rFonts w:ascii="Times New Roman" w:hAnsi="Times New Roman"/>
        </w:rPr>
        <w:t>).</w:t>
      </w:r>
    </w:p>
    <w:sectPr w:rsidR="00DF579E" w:rsidRPr="00F307FF" w:rsidSect="00CF66A7">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37B" w:rsidRDefault="00E5337B" w:rsidP="00E5337B">
      <w:pPr>
        <w:spacing w:after="0"/>
      </w:pPr>
      <w:r>
        <w:separator/>
      </w:r>
    </w:p>
  </w:endnote>
  <w:endnote w:type="continuationSeparator" w:id="0">
    <w:p w:rsidR="00E5337B" w:rsidRDefault="00E5337B" w:rsidP="00E533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EC Square Sans Pro">
    <w:altName w:val="Bahnschrift Light"/>
    <w:panose1 w:val="020B0506040000020004"/>
    <w:charset w:val="00"/>
    <w:family w:val="swiss"/>
    <w:pitch w:val="variable"/>
    <w:sig w:usb0="A00002BF" w:usb1="5000E0F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8AA" w:rsidRDefault="002C28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1618338"/>
      <w:docPartObj>
        <w:docPartGallery w:val="Page Numbers (Bottom of Page)"/>
        <w:docPartUnique/>
      </w:docPartObj>
    </w:sdtPr>
    <w:sdtEndPr>
      <w:rPr>
        <w:rFonts w:ascii="Times New Roman" w:hAnsi="Times New Roman"/>
        <w:noProof/>
        <w:sz w:val="20"/>
      </w:rPr>
    </w:sdtEndPr>
    <w:sdtContent>
      <w:p w:rsidR="00CF66A7" w:rsidRPr="001054D8" w:rsidRDefault="00CF66A7">
        <w:pPr>
          <w:pStyle w:val="Foote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sidR="008F5A11">
          <w:rPr>
            <w:rFonts w:ascii="Times New Roman" w:hAnsi="Times New Roman"/>
            <w:noProof/>
            <w:sz w:val="20"/>
          </w:rPr>
          <w:t>6</w:t>
        </w:r>
        <w:r>
          <w:rPr>
            <w:rFonts w:ascii="Times New Roman" w:hAnsi="Times New Roman"/>
            <w:sz w:val="20"/>
          </w:rPr>
          <w:fldChar w:fldCharType="end"/>
        </w:r>
      </w:p>
    </w:sdtContent>
  </w:sdt>
  <w:p w:rsidR="00CF66A7" w:rsidRDefault="00CF66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8AA" w:rsidRDefault="002C28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37B" w:rsidRDefault="00E5337B" w:rsidP="00E5337B">
      <w:pPr>
        <w:spacing w:after="0"/>
      </w:pPr>
      <w:r>
        <w:separator/>
      </w:r>
    </w:p>
  </w:footnote>
  <w:footnote w:type="continuationSeparator" w:id="0">
    <w:p w:rsidR="00E5337B" w:rsidRDefault="00E5337B" w:rsidP="00E5337B">
      <w:pPr>
        <w:spacing w:after="0"/>
      </w:pPr>
      <w:r>
        <w:continuationSeparator/>
      </w:r>
    </w:p>
  </w:footnote>
  <w:footnote w:id="1">
    <w:p w:rsidR="00DF579E" w:rsidRPr="00143C68" w:rsidRDefault="00DF579E" w:rsidP="00DF579E">
      <w:pPr>
        <w:pStyle w:val="FootnoteText"/>
        <w:spacing w:after="0"/>
      </w:pPr>
      <w:r>
        <w:rPr>
          <w:rStyle w:val="FootnoteReference"/>
        </w:rPr>
        <w:footnoteRef/>
      </w:r>
      <w:r>
        <w:t xml:space="preserve"> </w:t>
      </w:r>
      <w:r>
        <w:tab/>
      </w:r>
      <w:hyperlink r:id="rId1" w:history="1">
        <w:r>
          <w:rPr>
            <w:rStyle w:val="Hyperlink"/>
            <w:rFonts w:ascii="Times New Roman" w:hAnsi="Times New Roman"/>
          </w:rPr>
          <w:t>https://eur-lex.europa.eu/legal-content/EN/TXT/?uri=COM%3A2022%3A108%3AFIN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8AA" w:rsidRDefault="002C28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8AA" w:rsidRDefault="002C28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8AA" w:rsidRDefault="002C28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1" w15:restartNumberingAfterBreak="0">
    <w:nsid w:val="05537286"/>
    <w:multiLevelType w:val="hybridMultilevel"/>
    <w:tmpl w:val="EB2EFA04"/>
    <w:lvl w:ilvl="0" w:tplc="29923364">
      <w:start w:val="1"/>
      <w:numFmt w:val="decimal"/>
      <w:lvlText w:val="%1."/>
      <w:lvlJc w:val="left"/>
      <w:pPr>
        <w:ind w:left="720" w:hanging="720"/>
      </w:pPr>
      <w:rPr>
        <w:b/>
        <w:i w:val="0"/>
        <w:sz w:val="24"/>
        <w:szCs w:val="24"/>
      </w:rPr>
    </w:lvl>
    <w:lvl w:ilvl="1" w:tplc="08090019">
      <w:start w:val="1"/>
      <w:numFmt w:val="lowerLetter"/>
      <w:lvlText w:val="%2."/>
      <w:lvlJc w:val="left"/>
      <w:pPr>
        <w:ind w:left="1298" w:hanging="360"/>
      </w:pPr>
    </w:lvl>
    <w:lvl w:ilvl="2" w:tplc="0809001B">
      <w:start w:val="1"/>
      <w:numFmt w:val="lowerRoman"/>
      <w:lvlText w:val="%3."/>
      <w:lvlJc w:val="right"/>
      <w:pPr>
        <w:ind w:left="2018" w:hanging="180"/>
      </w:pPr>
    </w:lvl>
    <w:lvl w:ilvl="3" w:tplc="0809000F">
      <w:start w:val="1"/>
      <w:numFmt w:val="decimal"/>
      <w:lvlText w:val="%4."/>
      <w:lvlJc w:val="left"/>
      <w:pPr>
        <w:ind w:left="2738" w:hanging="360"/>
      </w:pPr>
    </w:lvl>
    <w:lvl w:ilvl="4" w:tplc="08090019">
      <w:start w:val="1"/>
      <w:numFmt w:val="lowerLetter"/>
      <w:lvlText w:val="%5."/>
      <w:lvlJc w:val="left"/>
      <w:pPr>
        <w:ind w:left="3458" w:hanging="360"/>
      </w:pPr>
    </w:lvl>
    <w:lvl w:ilvl="5" w:tplc="0809001B">
      <w:start w:val="1"/>
      <w:numFmt w:val="lowerRoman"/>
      <w:lvlText w:val="%6."/>
      <w:lvlJc w:val="right"/>
      <w:pPr>
        <w:ind w:left="4178" w:hanging="180"/>
      </w:pPr>
    </w:lvl>
    <w:lvl w:ilvl="6" w:tplc="0809000F">
      <w:start w:val="1"/>
      <w:numFmt w:val="decimal"/>
      <w:lvlText w:val="%7."/>
      <w:lvlJc w:val="left"/>
      <w:pPr>
        <w:ind w:left="4898" w:hanging="360"/>
      </w:pPr>
    </w:lvl>
    <w:lvl w:ilvl="7" w:tplc="08090019">
      <w:start w:val="1"/>
      <w:numFmt w:val="lowerLetter"/>
      <w:lvlText w:val="%8."/>
      <w:lvlJc w:val="left"/>
      <w:pPr>
        <w:ind w:left="5618" w:hanging="360"/>
      </w:pPr>
    </w:lvl>
    <w:lvl w:ilvl="8" w:tplc="0809001B">
      <w:start w:val="1"/>
      <w:numFmt w:val="lowerRoman"/>
      <w:lvlText w:val="%9."/>
      <w:lvlJc w:val="right"/>
      <w:pPr>
        <w:ind w:left="6338" w:hanging="180"/>
      </w:pPr>
    </w:lvl>
  </w:abstractNum>
  <w:abstractNum w:abstractNumId="2" w15:restartNumberingAfterBreak="0">
    <w:nsid w:val="0BE61FDC"/>
    <w:multiLevelType w:val="hybridMultilevel"/>
    <w:tmpl w:val="CF348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D41829"/>
    <w:multiLevelType w:val="hybridMultilevel"/>
    <w:tmpl w:val="3956F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255B4B"/>
    <w:multiLevelType w:val="hybridMultilevel"/>
    <w:tmpl w:val="4A5862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4A70544"/>
    <w:multiLevelType w:val="hybridMultilevel"/>
    <w:tmpl w:val="7E449A58"/>
    <w:lvl w:ilvl="0" w:tplc="010A3310">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92973D2"/>
    <w:multiLevelType w:val="hybridMultilevel"/>
    <w:tmpl w:val="C66A48E8"/>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228042BC"/>
    <w:multiLevelType w:val="hybridMultilevel"/>
    <w:tmpl w:val="F1389AF8"/>
    <w:lvl w:ilvl="0" w:tplc="7F96FC64">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2B5315B"/>
    <w:multiLevelType w:val="hybridMultilevel"/>
    <w:tmpl w:val="7608AEE0"/>
    <w:lvl w:ilvl="0" w:tplc="41085656">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67B72B5"/>
    <w:multiLevelType w:val="hybridMultilevel"/>
    <w:tmpl w:val="296A4BF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7203DF0"/>
    <w:multiLevelType w:val="hybridMultilevel"/>
    <w:tmpl w:val="7608AEE0"/>
    <w:lvl w:ilvl="0" w:tplc="41085656">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CEF0D18"/>
    <w:multiLevelType w:val="hybridMultilevel"/>
    <w:tmpl w:val="E6B40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BB36CD"/>
    <w:multiLevelType w:val="hybridMultilevel"/>
    <w:tmpl w:val="CC1615E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33AA3E36"/>
    <w:multiLevelType w:val="hybridMultilevel"/>
    <w:tmpl w:val="186C6B1C"/>
    <w:lvl w:ilvl="0" w:tplc="41085656">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B49164A"/>
    <w:multiLevelType w:val="hybridMultilevel"/>
    <w:tmpl w:val="75D0359E"/>
    <w:lvl w:ilvl="0" w:tplc="3228B35C">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9F1483"/>
    <w:multiLevelType w:val="hybridMultilevel"/>
    <w:tmpl w:val="5606BF78"/>
    <w:lvl w:ilvl="0" w:tplc="41085656">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44424DA6"/>
    <w:multiLevelType w:val="hybridMultilevel"/>
    <w:tmpl w:val="7608AEE0"/>
    <w:lvl w:ilvl="0" w:tplc="41085656">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50312C1C"/>
    <w:multiLevelType w:val="hybridMultilevel"/>
    <w:tmpl w:val="E78A546A"/>
    <w:lvl w:ilvl="0" w:tplc="3228B35C">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3216537"/>
    <w:multiLevelType w:val="hybridMultilevel"/>
    <w:tmpl w:val="929CF750"/>
    <w:lvl w:ilvl="0" w:tplc="FDA6578A">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5561228D"/>
    <w:multiLevelType w:val="hybridMultilevel"/>
    <w:tmpl w:val="C66A48E8"/>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0" w15:restartNumberingAfterBreak="0">
    <w:nsid w:val="5907331B"/>
    <w:multiLevelType w:val="hybridMultilevel"/>
    <w:tmpl w:val="A55A0EB4"/>
    <w:lvl w:ilvl="0" w:tplc="D7626F20">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5C3073F9"/>
    <w:multiLevelType w:val="hybridMultilevel"/>
    <w:tmpl w:val="DA8A5DBE"/>
    <w:lvl w:ilvl="0" w:tplc="010A3310">
      <w:numFmt w:val="bullet"/>
      <w:lvlText w:val="-"/>
      <w:lvlJc w:val="left"/>
      <w:pPr>
        <w:ind w:left="928"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C6379BA"/>
    <w:multiLevelType w:val="hybridMultilevel"/>
    <w:tmpl w:val="6C3463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EAF265C"/>
    <w:multiLevelType w:val="hybridMultilevel"/>
    <w:tmpl w:val="CF64E904"/>
    <w:lvl w:ilvl="0" w:tplc="41085656">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62103B19"/>
    <w:multiLevelType w:val="hybridMultilevel"/>
    <w:tmpl w:val="EDDCB614"/>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5" w15:restartNumberingAfterBreak="0">
    <w:nsid w:val="6A63291B"/>
    <w:multiLevelType w:val="hybridMultilevel"/>
    <w:tmpl w:val="7608AEE0"/>
    <w:lvl w:ilvl="0" w:tplc="41085656">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6C525E28"/>
    <w:multiLevelType w:val="hybridMultilevel"/>
    <w:tmpl w:val="690AF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E8353D9"/>
    <w:multiLevelType w:val="hybridMultilevel"/>
    <w:tmpl w:val="4FA4BDD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72032F49"/>
    <w:multiLevelType w:val="multilevel"/>
    <w:tmpl w:val="6A5A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452E6E"/>
    <w:multiLevelType w:val="hybridMultilevel"/>
    <w:tmpl w:val="51720378"/>
    <w:lvl w:ilvl="0" w:tplc="F59E6F30">
      <w:start w:val="1"/>
      <w:numFmt w:val="decimal"/>
      <w:lvlText w:val="%1."/>
      <w:lvlJc w:val="left"/>
      <w:pPr>
        <w:ind w:left="862" w:hanging="72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B9147F8"/>
    <w:multiLevelType w:val="hybridMultilevel"/>
    <w:tmpl w:val="9DF09A94"/>
    <w:lvl w:ilvl="0" w:tplc="94A62EB0">
      <w:start w:val="1"/>
      <w:numFmt w:val="decimal"/>
      <w:lvlText w:val="%1."/>
      <w:lvlJc w:val="left"/>
      <w:pPr>
        <w:ind w:left="1429" w:hanging="360"/>
      </w:pPr>
      <w:rPr>
        <w:b/>
        <w:i w:val="0"/>
      </w:r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31" w15:restartNumberingAfterBreak="0">
    <w:nsid w:val="7CF351B6"/>
    <w:multiLevelType w:val="hybridMultilevel"/>
    <w:tmpl w:val="AC4C60EA"/>
    <w:lvl w:ilvl="0" w:tplc="884C6A0E">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5"/>
  </w:num>
  <w:num w:numId="2">
    <w:abstractNumId w:val="20"/>
  </w:num>
  <w:num w:numId="3">
    <w:abstractNumId w:val="18"/>
  </w:num>
  <w:num w:numId="4">
    <w:abstractNumId w:val="31"/>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0"/>
  </w:num>
  <w:num w:numId="8">
    <w:abstractNumId w:val="21"/>
  </w:num>
  <w:num w:numId="9">
    <w:abstractNumId w:val="6"/>
  </w:num>
  <w:num w:numId="10">
    <w:abstractNumId w:val="5"/>
  </w:num>
  <w:num w:numId="11">
    <w:abstractNumId w:val="29"/>
  </w:num>
  <w:num w:numId="12">
    <w:abstractNumId w:val="12"/>
  </w:num>
  <w:num w:numId="13">
    <w:abstractNumId w:val="9"/>
  </w:num>
  <w:num w:numId="14">
    <w:abstractNumId w:val="2"/>
  </w:num>
  <w:num w:numId="15">
    <w:abstractNumId w:val="3"/>
  </w:num>
  <w:num w:numId="16">
    <w:abstractNumId w:val="15"/>
  </w:num>
  <w:num w:numId="17">
    <w:abstractNumId w:val="13"/>
  </w:num>
  <w:num w:numId="18">
    <w:abstractNumId w:val="25"/>
  </w:num>
  <w:num w:numId="19">
    <w:abstractNumId w:val="10"/>
  </w:num>
  <w:num w:numId="20">
    <w:abstractNumId w:val="23"/>
  </w:num>
  <w:num w:numId="21">
    <w:abstractNumId w:val="16"/>
  </w:num>
  <w:num w:numId="22">
    <w:abstractNumId w:val="8"/>
  </w:num>
  <w:num w:numId="23">
    <w:abstractNumId w:val="22"/>
  </w:num>
  <w:num w:numId="24">
    <w:abstractNumId w:val="4"/>
  </w:num>
  <w:num w:numId="25">
    <w:abstractNumId w:val="1"/>
  </w:num>
  <w:num w:numId="26">
    <w:abstractNumId w:val="24"/>
  </w:num>
  <w:num w:numId="27">
    <w:abstractNumId w:val="26"/>
  </w:num>
  <w:num w:numId="28">
    <w:abstractNumId w:val="11"/>
  </w:num>
  <w:num w:numId="29">
    <w:abstractNumId w:val="14"/>
  </w:num>
  <w:num w:numId="30">
    <w:abstractNumId w:val="30"/>
  </w:num>
  <w:num w:numId="31">
    <w:abstractNumId w:val="19"/>
  </w:num>
  <w:num w:numId="32">
    <w:abstractNumId w:val="17"/>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ctiveWritingStyle w:appName="MSWord" w:lang="fr-BE" w:vendorID="64" w:dllVersion="131078" w:nlCheck="1" w:checkStyle="0"/>
  <w:activeWritingStyle w:appName="MSWord" w:lang="en-GB" w:vendorID="64" w:dllVersion="131078" w:nlCheck="1" w:checkStyle="1"/>
  <w:activeWritingStyle w:appName="MSWord" w:lang="it-IT" w:vendorID="64" w:dllVersion="131078" w:nlCheck="1" w:checkStyle="0"/>
  <w:activeWritingStyle w:appName="MSWord" w:lang="en-IE" w:vendorID="64" w:dllVersion="131078" w:nlCheck="1" w:checkStyle="1"/>
  <w:activeWritingStyle w:appName="MSWord" w:lang="fr-FR" w:vendorID="64" w:dllVersion="131078" w:nlCheck="1" w:checkStyle="0"/>
  <w:defaultTabStop w:val="720"/>
  <w:hyphenationZone w:val="425"/>
  <w:characterSpacingControl w:val="doNotCompress"/>
  <w:hdrShapeDefaults>
    <o:shapedefaults v:ext="edit" spidmax="8193"/>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781A72"/>
    <w:rsid w:val="00004330"/>
    <w:rsid w:val="00013C39"/>
    <w:rsid w:val="0002618B"/>
    <w:rsid w:val="000B1BD0"/>
    <w:rsid w:val="000E1ECC"/>
    <w:rsid w:val="000E7824"/>
    <w:rsid w:val="001054D8"/>
    <w:rsid w:val="00105C85"/>
    <w:rsid w:val="00112492"/>
    <w:rsid w:val="00195D43"/>
    <w:rsid w:val="001B314B"/>
    <w:rsid w:val="001C268C"/>
    <w:rsid w:val="001D7866"/>
    <w:rsid w:val="002020CD"/>
    <w:rsid w:val="002073A0"/>
    <w:rsid w:val="00207543"/>
    <w:rsid w:val="00234D47"/>
    <w:rsid w:val="002358C4"/>
    <w:rsid w:val="0027220A"/>
    <w:rsid w:val="00273ED5"/>
    <w:rsid w:val="002903BD"/>
    <w:rsid w:val="00295501"/>
    <w:rsid w:val="002C28AA"/>
    <w:rsid w:val="002D1783"/>
    <w:rsid w:val="002E4148"/>
    <w:rsid w:val="002F298F"/>
    <w:rsid w:val="002F5E9D"/>
    <w:rsid w:val="00325C83"/>
    <w:rsid w:val="00346FB9"/>
    <w:rsid w:val="00351FD9"/>
    <w:rsid w:val="00377D9C"/>
    <w:rsid w:val="00380E74"/>
    <w:rsid w:val="00392320"/>
    <w:rsid w:val="0039252C"/>
    <w:rsid w:val="003A501B"/>
    <w:rsid w:val="003B3F3D"/>
    <w:rsid w:val="003E68E6"/>
    <w:rsid w:val="003F3F39"/>
    <w:rsid w:val="00403BBE"/>
    <w:rsid w:val="00404E13"/>
    <w:rsid w:val="00405DCF"/>
    <w:rsid w:val="004245C1"/>
    <w:rsid w:val="00467201"/>
    <w:rsid w:val="00467C10"/>
    <w:rsid w:val="004841A6"/>
    <w:rsid w:val="00495226"/>
    <w:rsid w:val="004B0F78"/>
    <w:rsid w:val="00506B10"/>
    <w:rsid w:val="00513141"/>
    <w:rsid w:val="00523D9C"/>
    <w:rsid w:val="00531B75"/>
    <w:rsid w:val="00562B92"/>
    <w:rsid w:val="00595E12"/>
    <w:rsid w:val="005A15A0"/>
    <w:rsid w:val="005B6018"/>
    <w:rsid w:val="005B6F40"/>
    <w:rsid w:val="005D352F"/>
    <w:rsid w:val="005E6BB5"/>
    <w:rsid w:val="005F6F65"/>
    <w:rsid w:val="0061693B"/>
    <w:rsid w:val="0062336A"/>
    <w:rsid w:val="0062705E"/>
    <w:rsid w:val="00651DE5"/>
    <w:rsid w:val="006642E5"/>
    <w:rsid w:val="00673C24"/>
    <w:rsid w:val="006762B5"/>
    <w:rsid w:val="00681A07"/>
    <w:rsid w:val="0069786F"/>
    <w:rsid w:val="006A1AAA"/>
    <w:rsid w:val="006B0722"/>
    <w:rsid w:val="006B5CD4"/>
    <w:rsid w:val="006C123C"/>
    <w:rsid w:val="006D1DE3"/>
    <w:rsid w:val="006D2011"/>
    <w:rsid w:val="006E0B2E"/>
    <w:rsid w:val="006E531A"/>
    <w:rsid w:val="00711B1C"/>
    <w:rsid w:val="00714FC4"/>
    <w:rsid w:val="00723091"/>
    <w:rsid w:val="00731ABA"/>
    <w:rsid w:val="007378D8"/>
    <w:rsid w:val="007552A6"/>
    <w:rsid w:val="0076016D"/>
    <w:rsid w:val="00773E4C"/>
    <w:rsid w:val="00775133"/>
    <w:rsid w:val="00775247"/>
    <w:rsid w:val="00781A72"/>
    <w:rsid w:val="007906E6"/>
    <w:rsid w:val="00795AF7"/>
    <w:rsid w:val="007A25BE"/>
    <w:rsid w:val="007A4F5B"/>
    <w:rsid w:val="007B4FE9"/>
    <w:rsid w:val="007B7941"/>
    <w:rsid w:val="007C5B49"/>
    <w:rsid w:val="007E4874"/>
    <w:rsid w:val="007F5EF8"/>
    <w:rsid w:val="00836884"/>
    <w:rsid w:val="008405AB"/>
    <w:rsid w:val="008511E0"/>
    <w:rsid w:val="00864DAE"/>
    <w:rsid w:val="00865B95"/>
    <w:rsid w:val="008722A2"/>
    <w:rsid w:val="008A411C"/>
    <w:rsid w:val="008C74DD"/>
    <w:rsid w:val="008D0021"/>
    <w:rsid w:val="008D68F3"/>
    <w:rsid w:val="008F3947"/>
    <w:rsid w:val="008F5A11"/>
    <w:rsid w:val="00900924"/>
    <w:rsid w:val="00902931"/>
    <w:rsid w:val="0090330B"/>
    <w:rsid w:val="00904041"/>
    <w:rsid w:val="00914768"/>
    <w:rsid w:val="00917059"/>
    <w:rsid w:val="00925AE6"/>
    <w:rsid w:val="00930D5D"/>
    <w:rsid w:val="00932EB9"/>
    <w:rsid w:val="00936E06"/>
    <w:rsid w:val="00961A39"/>
    <w:rsid w:val="00974F08"/>
    <w:rsid w:val="00982937"/>
    <w:rsid w:val="00984EC9"/>
    <w:rsid w:val="00997ED6"/>
    <w:rsid w:val="009C1DD1"/>
    <w:rsid w:val="009C604A"/>
    <w:rsid w:val="009E2C40"/>
    <w:rsid w:val="009E7F21"/>
    <w:rsid w:val="009F7805"/>
    <w:rsid w:val="009F7BE6"/>
    <w:rsid w:val="009F7F09"/>
    <w:rsid w:val="00A01117"/>
    <w:rsid w:val="00A02369"/>
    <w:rsid w:val="00A1588D"/>
    <w:rsid w:val="00A32EC0"/>
    <w:rsid w:val="00A62B81"/>
    <w:rsid w:val="00A944BB"/>
    <w:rsid w:val="00AA6E88"/>
    <w:rsid w:val="00AB32EC"/>
    <w:rsid w:val="00AC1160"/>
    <w:rsid w:val="00AD205A"/>
    <w:rsid w:val="00AD5E99"/>
    <w:rsid w:val="00AE3DE2"/>
    <w:rsid w:val="00B11070"/>
    <w:rsid w:val="00B50BAE"/>
    <w:rsid w:val="00BB0437"/>
    <w:rsid w:val="00BB1328"/>
    <w:rsid w:val="00BC0F81"/>
    <w:rsid w:val="00C25DA3"/>
    <w:rsid w:val="00C33F9B"/>
    <w:rsid w:val="00C343C6"/>
    <w:rsid w:val="00C35640"/>
    <w:rsid w:val="00C439F4"/>
    <w:rsid w:val="00C533D4"/>
    <w:rsid w:val="00C63E48"/>
    <w:rsid w:val="00C7687F"/>
    <w:rsid w:val="00CB1B47"/>
    <w:rsid w:val="00CC2DC6"/>
    <w:rsid w:val="00CE3707"/>
    <w:rsid w:val="00CE5F71"/>
    <w:rsid w:val="00CF66A7"/>
    <w:rsid w:val="00D01DE0"/>
    <w:rsid w:val="00D21AA3"/>
    <w:rsid w:val="00D27F0D"/>
    <w:rsid w:val="00D42C02"/>
    <w:rsid w:val="00D61D4B"/>
    <w:rsid w:val="00D8112F"/>
    <w:rsid w:val="00D85A0D"/>
    <w:rsid w:val="00D94818"/>
    <w:rsid w:val="00DB0980"/>
    <w:rsid w:val="00DC07EC"/>
    <w:rsid w:val="00DF579E"/>
    <w:rsid w:val="00E05DD0"/>
    <w:rsid w:val="00E52176"/>
    <w:rsid w:val="00E5337B"/>
    <w:rsid w:val="00EA06F8"/>
    <w:rsid w:val="00EA3A35"/>
    <w:rsid w:val="00EA51AA"/>
    <w:rsid w:val="00EB3388"/>
    <w:rsid w:val="00EB3C3C"/>
    <w:rsid w:val="00EB775C"/>
    <w:rsid w:val="00EE214F"/>
    <w:rsid w:val="00EE43AC"/>
    <w:rsid w:val="00F0041A"/>
    <w:rsid w:val="00F00A73"/>
    <w:rsid w:val="00F00B24"/>
    <w:rsid w:val="00F02029"/>
    <w:rsid w:val="00F2505C"/>
    <w:rsid w:val="00F307FF"/>
    <w:rsid w:val="00F36D6D"/>
    <w:rsid w:val="00F413A4"/>
    <w:rsid w:val="00F57C59"/>
    <w:rsid w:val="00F63BEA"/>
    <w:rsid w:val="00F75CED"/>
    <w:rsid w:val="00F83D5E"/>
    <w:rsid w:val="00FB0DCA"/>
    <w:rsid w:val="00FB7A5A"/>
    <w:rsid w:val="00FC33CC"/>
    <w:rsid w:val="00FD1E2C"/>
    <w:rsid w:val="00FE7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5BD1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A72"/>
    <w:pPr>
      <w:spacing w:after="240" w:line="240" w:lineRule="auto"/>
      <w:jc w:val="both"/>
    </w:pPr>
    <w:rPr>
      <w:rFonts w:ascii="Courier New" w:eastAsia="Times New Roman" w:hAnsi="Courier New"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semiHidden/>
    <w:unhideWhenUsed/>
    <w:rsid w:val="00781A72"/>
    <w:pPr>
      <w:spacing w:after="0"/>
      <w:ind w:left="5103" w:right="-567"/>
      <w:jc w:val="left"/>
    </w:pPr>
  </w:style>
  <w:style w:type="character" w:customStyle="1" w:styleId="DateChar">
    <w:name w:val="Date Char"/>
    <w:basedOn w:val="DefaultParagraphFont"/>
    <w:link w:val="Date"/>
    <w:semiHidden/>
    <w:rsid w:val="00781A72"/>
    <w:rPr>
      <w:rFonts w:ascii="Courier New" w:eastAsia="Times New Roman" w:hAnsi="Courier New" w:cs="Times New Roman"/>
      <w:sz w:val="24"/>
      <w:szCs w:val="20"/>
      <w:lang w:eastAsia="en-GB"/>
    </w:rPr>
  </w:style>
  <w:style w:type="paragraph" w:styleId="ListParagraph">
    <w:name w:val="List Paragraph"/>
    <w:aliases w:val="Conclusion de partie,Dot pt,No Spacing1,List Paragraph Char Char Char,Indicator Text,Numbered Para 1,List Paragraph1,Bullet Points,MAIN CONTENT,List Paragraph12,List Paragraph11,OBC Bullet,F5 List Paragraph,L,2"/>
    <w:basedOn w:val="Normal"/>
    <w:link w:val="ListParagraphChar"/>
    <w:qFormat/>
    <w:rsid w:val="00781A72"/>
    <w:pPr>
      <w:spacing w:after="200" w:line="276" w:lineRule="auto"/>
      <w:ind w:left="720"/>
      <w:contextualSpacing/>
      <w:jc w:val="left"/>
    </w:pPr>
    <w:rPr>
      <w:rFonts w:ascii="Calibri" w:eastAsia="Calibri" w:hAnsi="Calibri"/>
      <w:sz w:val="22"/>
      <w:szCs w:val="22"/>
      <w:lang w:eastAsia="en-US"/>
    </w:rPr>
  </w:style>
  <w:style w:type="paragraph" w:customStyle="1" w:styleId="Subject">
    <w:name w:val="Subject"/>
    <w:basedOn w:val="Normal"/>
    <w:next w:val="Normal"/>
    <w:rsid w:val="00781A72"/>
    <w:pPr>
      <w:spacing w:after="480"/>
      <w:ind w:left="1191" w:hanging="1191"/>
      <w:jc w:val="left"/>
    </w:pPr>
    <w:rPr>
      <w:b/>
    </w:rPr>
  </w:style>
  <w:style w:type="paragraph" w:customStyle="1" w:styleId="ZDGName">
    <w:name w:val="Z_DGName"/>
    <w:basedOn w:val="Normal"/>
    <w:uiPriority w:val="99"/>
    <w:rsid w:val="00781A72"/>
    <w:pPr>
      <w:spacing w:after="0"/>
      <w:ind w:right="85"/>
    </w:pPr>
    <w:rPr>
      <w:rFonts w:ascii="Arial" w:hAnsi="Arial"/>
      <w:sz w:val="16"/>
    </w:rPr>
  </w:style>
  <w:style w:type="paragraph" w:customStyle="1" w:styleId="ZCom">
    <w:name w:val="Z_Com"/>
    <w:basedOn w:val="Normal"/>
    <w:next w:val="ZDGName"/>
    <w:uiPriority w:val="99"/>
    <w:rsid w:val="00781A72"/>
    <w:pPr>
      <w:spacing w:after="0"/>
      <w:ind w:right="85"/>
    </w:pPr>
    <w:rPr>
      <w:rFonts w:ascii="Arial" w:hAnsi="Arial"/>
    </w:rPr>
  </w:style>
  <w:style w:type="paragraph" w:customStyle="1" w:styleId="ZFlag">
    <w:name w:val="Z_Flag"/>
    <w:basedOn w:val="Normal"/>
    <w:next w:val="Normal"/>
    <w:uiPriority w:val="99"/>
    <w:semiHidden/>
    <w:rsid w:val="00781A72"/>
    <w:pPr>
      <w:widowControl w:val="0"/>
      <w:spacing w:after="0"/>
      <w:ind w:right="85"/>
    </w:pPr>
    <w:rPr>
      <w:rFonts w:ascii="Times New Roman" w:hAnsi="Times New Roman"/>
      <w:lang w:eastAsia="fr-BE"/>
    </w:rPr>
  </w:style>
  <w:style w:type="table" w:customStyle="1" w:styleId="TableLetterhead">
    <w:name w:val="Table Letterhead"/>
    <w:basedOn w:val="TableNormal"/>
    <w:uiPriority w:val="99"/>
    <w:rsid w:val="00781A72"/>
    <w:pPr>
      <w:spacing w:after="0" w:line="240" w:lineRule="auto"/>
    </w:pPr>
    <w:rPr>
      <w:rFonts w:ascii="Times New Roman" w:eastAsia="Times New Roman" w:hAnsi="Times New Roman" w:cs="Times New Roman"/>
      <w:sz w:val="24"/>
      <w:szCs w:val="20"/>
      <w:lang w:eastAsia="fr-BE"/>
    </w:rPr>
    <w:tblPr>
      <w:tblInd w:w="0" w:type="nil"/>
      <w:tblCellMar>
        <w:left w:w="0" w:type="dxa"/>
        <w:bottom w:w="340" w:type="dxa"/>
        <w:right w:w="0" w:type="dxa"/>
      </w:tblCellMar>
    </w:tbl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o"/>
    <w:basedOn w:val="Normal"/>
    <w:link w:val="FootnoteTextChar2"/>
    <w:uiPriority w:val="99"/>
    <w:qFormat/>
    <w:rsid w:val="00E5337B"/>
    <w:pPr>
      <w:ind w:left="357" w:hanging="357"/>
    </w:pPr>
    <w:rPr>
      <w:sz w:val="20"/>
    </w:rPr>
  </w:style>
  <w:style w:type="character" w:customStyle="1" w:styleId="FootnoteTextChar">
    <w:name w:val="Footnote Text Char"/>
    <w:basedOn w:val="DefaultParagraphFont"/>
    <w:uiPriority w:val="99"/>
    <w:semiHidden/>
    <w:rsid w:val="00E5337B"/>
    <w:rPr>
      <w:rFonts w:ascii="Courier New" w:eastAsia="Times New Roman" w:hAnsi="Courier New" w:cs="Times New Roman"/>
      <w:sz w:val="20"/>
      <w:szCs w:val="20"/>
      <w:lang w:eastAsia="en-GB"/>
    </w:rPr>
  </w:style>
  <w:style w:type="paragraph" w:styleId="ListBullet">
    <w:name w:val="List Bullet"/>
    <w:basedOn w:val="Normal"/>
    <w:link w:val="ListBulletChar"/>
    <w:uiPriority w:val="99"/>
    <w:rsid w:val="00E5337B"/>
    <w:pPr>
      <w:numPr>
        <w:numId w:val="7"/>
      </w:numPr>
    </w:p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E5337B"/>
    <w:rPr>
      <w:vertAlign w:val="superscript"/>
    </w:rPr>
  </w:style>
  <w:style w:type="character" w:styleId="Hyperlink">
    <w:name w:val="Hyperlink"/>
    <w:aliases w:val="Char1"/>
    <w:uiPriority w:val="99"/>
    <w:rsid w:val="00E5337B"/>
    <w:rPr>
      <w:color w:val="0000FF"/>
      <w:u w:val="single"/>
    </w:rPr>
  </w:style>
  <w:style w:type="character" w:customStyle="1" w:styleId="ListBulletChar">
    <w:name w:val="List Bullet Char"/>
    <w:link w:val="ListBullet"/>
    <w:uiPriority w:val="99"/>
    <w:rsid w:val="00E5337B"/>
    <w:rPr>
      <w:rFonts w:ascii="Courier New" w:eastAsia="Times New Roman" w:hAnsi="Courier New" w:cs="Times New Roman"/>
      <w:sz w:val="24"/>
      <w:szCs w:val="20"/>
      <w:lang w:eastAsia="en-GB"/>
    </w:rPr>
  </w:style>
  <w:style w:type="character" w:customStyle="1" w:styleId="FootnoteTextChar2">
    <w:name w:val="Footnote Text Char2"/>
    <w:aliases w:val="Footnote Text Char1 Char Char,Footnote Text Char Char Char Char,Fußnotentext Char Char1 Char Char Char,Fußnotentext Char1 Char1 Char Char Char Char,Fußnotentext Char Char Char Char Char Char Char1 Char,Footnote Text Char1 Char1"/>
    <w:link w:val="FootnoteText"/>
    <w:rsid w:val="00E5337B"/>
    <w:rPr>
      <w:rFonts w:ascii="Courier New" w:eastAsia="Times New Roman" w:hAnsi="Courier New" w:cs="Times New Roman"/>
      <w:sz w:val="20"/>
      <w:szCs w:val="20"/>
      <w:lang w:eastAsia="en-GB"/>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rsid w:val="00E5337B"/>
    <w:pPr>
      <w:spacing w:after="160" w:line="240" w:lineRule="exact"/>
      <w:jc w:val="left"/>
    </w:pPr>
    <w:rPr>
      <w:rFonts w:asciiTheme="minorHAnsi" w:eastAsiaTheme="minorHAnsi" w:hAnsiTheme="minorHAnsi" w:cstheme="minorBidi"/>
      <w:sz w:val="22"/>
      <w:szCs w:val="22"/>
      <w:vertAlign w:val="superscript"/>
      <w:lang w:eastAsia="en-US"/>
    </w:rPr>
  </w:style>
  <w:style w:type="paragraph" w:customStyle="1" w:styleId="ZnakZnak">
    <w:name w:val="Znak Znak"/>
    <w:basedOn w:val="Normal"/>
    <w:rsid w:val="00E5337B"/>
    <w:pPr>
      <w:spacing w:after="0" w:line="360" w:lineRule="auto"/>
    </w:pPr>
    <w:rPr>
      <w:rFonts w:ascii="Verdana" w:hAnsi="Verdana"/>
      <w:sz w:val="20"/>
      <w:lang w:eastAsia="pl-PL"/>
    </w:rPr>
  </w:style>
  <w:style w:type="paragraph" w:styleId="BalloonText">
    <w:name w:val="Balloon Text"/>
    <w:basedOn w:val="Normal"/>
    <w:link w:val="BalloonTextChar"/>
    <w:uiPriority w:val="99"/>
    <w:semiHidden/>
    <w:unhideWhenUsed/>
    <w:rsid w:val="00467C1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C10"/>
    <w:rPr>
      <w:rFonts w:ascii="Segoe UI" w:eastAsia="Times New Roman" w:hAnsi="Segoe UI" w:cs="Segoe UI"/>
      <w:sz w:val="18"/>
      <w:szCs w:val="18"/>
      <w:lang w:eastAsia="en-GB"/>
    </w:rPr>
  </w:style>
  <w:style w:type="character" w:customStyle="1" w:styleId="st">
    <w:name w:val="st"/>
    <w:basedOn w:val="DefaultParagraphFont"/>
    <w:rsid w:val="00EA06F8"/>
  </w:style>
  <w:style w:type="paragraph" w:styleId="NormalWeb">
    <w:name w:val="Normal (Web)"/>
    <w:aliases w:val=" webb,webb"/>
    <w:basedOn w:val="Normal"/>
    <w:link w:val="NormalWebChar"/>
    <w:uiPriority w:val="99"/>
    <w:rsid w:val="00392320"/>
    <w:pPr>
      <w:spacing w:before="100" w:beforeAutospacing="1" w:after="100" w:afterAutospacing="1"/>
      <w:jc w:val="left"/>
    </w:pPr>
    <w:rPr>
      <w:rFonts w:ascii="Times New Roman" w:hAnsi="Times New Roman"/>
      <w:szCs w:val="24"/>
    </w:rPr>
  </w:style>
  <w:style w:type="character" w:customStyle="1" w:styleId="NormalWebChar">
    <w:name w:val="Normal (Web) Char"/>
    <w:aliases w:val=" webb Char,webb Char"/>
    <w:link w:val="NormalWeb"/>
    <w:rsid w:val="00392320"/>
    <w:rPr>
      <w:rFonts w:ascii="Times New Roman" w:eastAsia="Times New Roman" w:hAnsi="Times New Roman" w:cs="Times New Roman"/>
      <w:sz w:val="24"/>
      <w:szCs w:val="24"/>
      <w:lang w:eastAsia="en-GB"/>
    </w:rPr>
  </w:style>
  <w:style w:type="paragraph" w:customStyle="1" w:styleId="Body">
    <w:name w:val="Body"/>
    <w:basedOn w:val="Normal"/>
    <w:link w:val="BodyChar"/>
    <w:qFormat/>
    <w:rsid w:val="00392320"/>
    <w:pPr>
      <w:spacing w:before="120" w:after="120"/>
    </w:pPr>
    <w:rPr>
      <w:rFonts w:ascii="EC Square Sans Pro" w:hAnsi="EC Square Sans Pro"/>
      <w:szCs w:val="24"/>
      <w:lang w:eastAsia="en-US"/>
    </w:rPr>
  </w:style>
  <w:style w:type="character" w:customStyle="1" w:styleId="BodyChar">
    <w:name w:val="Body Char"/>
    <w:link w:val="Body"/>
    <w:rsid w:val="00392320"/>
    <w:rPr>
      <w:rFonts w:ascii="EC Square Sans Pro" w:eastAsia="Times New Roman" w:hAnsi="EC Square Sans Pro" w:cs="Times New Roman"/>
      <w:sz w:val="24"/>
      <w:szCs w:val="24"/>
    </w:rPr>
  </w:style>
  <w:style w:type="paragraph" w:customStyle="1" w:styleId="Text1">
    <w:name w:val="Text 1"/>
    <w:basedOn w:val="Normal"/>
    <w:link w:val="Text1Char"/>
    <w:rsid w:val="00711B1C"/>
    <w:pPr>
      <w:ind w:left="482"/>
    </w:pPr>
  </w:style>
  <w:style w:type="character" w:customStyle="1" w:styleId="Text1Char">
    <w:name w:val="Text 1 Char"/>
    <w:link w:val="Text1"/>
    <w:rsid w:val="00711B1C"/>
    <w:rPr>
      <w:rFonts w:ascii="Courier New" w:eastAsia="Times New Roman" w:hAnsi="Courier New" w:cs="Times New Roman"/>
      <w:sz w:val="24"/>
      <w:szCs w:val="20"/>
      <w:lang w:eastAsia="en-GB"/>
    </w:rPr>
  </w:style>
  <w:style w:type="character" w:customStyle="1" w:styleId="ListParagraphChar">
    <w:name w:val="List Paragraph Char"/>
    <w:aliases w:val="Conclusion de partie Char,Dot pt Char,No Spacing1 Char,List Paragraph Char Char Char Char,Indicator Text Char,Numbered Para 1 Char,List Paragraph1 Char,Bullet Points Char,MAIN CONTENT Char,List Paragraph12 Char,List Paragraph11 Char"/>
    <w:link w:val="ListParagraph"/>
    <w:uiPriority w:val="34"/>
    <w:qFormat/>
    <w:locked/>
    <w:rsid w:val="00711B1C"/>
    <w:rPr>
      <w:rFonts w:ascii="Calibri" w:eastAsia="Calibri" w:hAnsi="Calibri" w:cs="Times New Roman"/>
      <w:lang w:val="fr-FR"/>
    </w:rPr>
  </w:style>
  <w:style w:type="character" w:styleId="Emphasis">
    <w:name w:val="Emphasis"/>
    <w:basedOn w:val="DefaultParagraphFont"/>
    <w:uiPriority w:val="20"/>
    <w:qFormat/>
    <w:rsid w:val="00273ED5"/>
    <w:rPr>
      <w:i/>
      <w:iCs/>
    </w:rPr>
  </w:style>
  <w:style w:type="paragraph" w:styleId="Header">
    <w:name w:val="header"/>
    <w:basedOn w:val="Normal"/>
    <w:link w:val="HeaderChar"/>
    <w:uiPriority w:val="99"/>
    <w:unhideWhenUsed/>
    <w:rsid w:val="00CF66A7"/>
    <w:pPr>
      <w:tabs>
        <w:tab w:val="center" w:pos="4680"/>
        <w:tab w:val="right" w:pos="9360"/>
      </w:tabs>
      <w:spacing w:after="0"/>
    </w:pPr>
  </w:style>
  <w:style w:type="character" w:customStyle="1" w:styleId="HeaderChar">
    <w:name w:val="Header Char"/>
    <w:basedOn w:val="DefaultParagraphFont"/>
    <w:link w:val="Header"/>
    <w:uiPriority w:val="99"/>
    <w:rsid w:val="00CF66A7"/>
    <w:rPr>
      <w:rFonts w:ascii="Courier New" w:eastAsia="Times New Roman" w:hAnsi="Courier New" w:cs="Times New Roman"/>
      <w:sz w:val="24"/>
      <w:szCs w:val="20"/>
      <w:lang w:eastAsia="en-GB"/>
    </w:rPr>
  </w:style>
  <w:style w:type="paragraph" w:styleId="Footer">
    <w:name w:val="footer"/>
    <w:basedOn w:val="Normal"/>
    <w:link w:val="FooterChar"/>
    <w:uiPriority w:val="99"/>
    <w:unhideWhenUsed/>
    <w:rsid w:val="00CF66A7"/>
    <w:pPr>
      <w:tabs>
        <w:tab w:val="center" w:pos="4680"/>
        <w:tab w:val="right" w:pos="9360"/>
      </w:tabs>
      <w:spacing w:after="0"/>
    </w:pPr>
  </w:style>
  <w:style w:type="character" w:customStyle="1" w:styleId="FooterChar">
    <w:name w:val="Footer Char"/>
    <w:basedOn w:val="DefaultParagraphFont"/>
    <w:link w:val="Footer"/>
    <w:uiPriority w:val="99"/>
    <w:rsid w:val="00CF66A7"/>
    <w:rPr>
      <w:rFonts w:ascii="Courier New" w:eastAsia="Times New Roman" w:hAnsi="Courier New" w:cs="Times New Roman"/>
      <w:sz w:val="24"/>
      <w:szCs w:val="20"/>
      <w:lang w:eastAsia="en-GB"/>
    </w:rPr>
  </w:style>
  <w:style w:type="character" w:customStyle="1" w:styleId="epname">
    <w:name w:val="ep_name"/>
    <w:basedOn w:val="DefaultParagraphFont"/>
    <w:rsid w:val="00F2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201296">
      <w:bodyDiv w:val="1"/>
      <w:marLeft w:val="0"/>
      <w:marRight w:val="0"/>
      <w:marTop w:val="0"/>
      <w:marBottom w:val="0"/>
      <w:divBdr>
        <w:top w:val="none" w:sz="0" w:space="0" w:color="auto"/>
        <w:left w:val="none" w:sz="0" w:space="0" w:color="auto"/>
        <w:bottom w:val="none" w:sz="0" w:space="0" w:color="auto"/>
        <w:right w:val="none" w:sz="0" w:space="0" w:color="auto"/>
      </w:divBdr>
    </w:div>
    <w:div w:id="209624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europa.eu/commission/presscorner/detail/fr/ip_20_884"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ec.europa.eu/info/food-farming-fisheries/key-policies/common-agricultural-policy/market-measures/agri-food-supply-chain/contingency-plan_en" TargetMode="External"/><Relationship Id="rId4" Type="http://schemas.openxmlformats.org/officeDocument/2006/relationships/settings" Target="settings.xml"/><Relationship Id="rId9" Type="http://schemas.openxmlformats.org/officeDocument/2006/relationships/hyperlink" Target="https://nutritionconnect.org/news-events/tokyo-nutrition-growth-summit-2020"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OM%3A2022%3A108%3AF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93AB878-4DFB-4087-9E97-46D50B11C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3201</Words>
  <Characters>18124</Characters>
  <Application>Microsoft Office Word</Application>
  <DocSecurity>0</DocSecurity>
  <Lines>274</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2022-06-22T12:05:00Z</dcterms:created>
  <dcterms:modified xsi:type="dcterms:W3CDTF">2022-06-22T12:06:00Z</dcterms:modified>
</cp:coreProperties>
</file>