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B7C" w:rsidRPr="00820B7C" w:rsidRDefault="00820B7C" w:rsidP="00820B7C">
      <w:pPr>
        <w:spacing w:after="600" w:line="240" w:lineRule="auto"/>
        <w:jc w:val="center"/>
        <w:rPr>
          <w:rFonts w:eastAsia="Times New Roman" w:cs="Times New Roman"/>
          <w:b/>
          <w:szCs w:val="24"/>
        </w:rPr>
      </w:pPr>
      <w:bookmarkStart w:id="0" w:name="nitrate"/>
      <w:r>
        <w:rPr>
          <w:b/>
        </w:rPr>
        <w:t>Suite donnée à la résolution non législative du Parlement européen sur les</w:t>
      </w:r>
      <w:r>
        <w:rPr>
          <w:rFonts w:ascii="Courier New" w:hAnsi="Courier New"/>
        </w:rPr>
        <w:t xml:space="preserve"> </w:t>
      </w:r>
      <w:r>
        <w:rPr>
          <w:b/>
        </w:rPr>
        <w:t>mesures de lutte contre la pollution de l’eau par les nitrates, y compris les améliorations à apporter dans les différents systèmes de mesure des nitrates dans les États membres</w:t>
      </w:r>
      <w:bookmarkEnd w:id="0"/>
    </w:p>
    <w:p w:rsidR="00820B7C" w:rsidRPr="00820B7C" w:rsidRDefault="00820B7C" w:rsidP="00820B7C">
      <w:pPr>
        <w:spacing w:after="240" w:line="240" w:lineRule="auto"/>
        <w:ind w:left="720" w:hanging="720"/>
        <w:jc w:val="both"/>
        <w:rPr>
          <w:rFonts w:eastAsia="Times New Roman" w:cs="Times New Roman"/>
          <w:b/>
          <w:szCs w:val="24"/>
        </w:rPr>
      </w:pPr>
      <w:r>
        <w:rPr>
          <w:b/>
        </w:rPr>
        <w:t>1.</w:t>
      </w:r>
      <w:r>
        <w:tab/>
      </w:r>
      <w:r>
        <w:rPr>
          <w:b/>
        </w:rPr>
        <w:t>Résolution présentée, conformément à l'article 136, paragraphe 5, et à l’article 227, paragraphe 2, du règlement intérieur du Parlement européen</w:t>
      </w:r>
    </w:p>
    <w:p w:rsidR="00820B7C" w:rsidRPr="00820B7C" w:rsidRDefault="00820B7C" w:rsidP="00820B7C">
      <w:pPr>
        <w:spacing w:after="240" w:line="240" w:lineRule="auto"/>
        <w:jc w:val="both"/>
        <w:rPr>
          <w:rFonts w:eastAsia="Times New Roman" w:cs="Times New Roman"/>
          <w:i/>
          <w:szCs w:val="24"/>
        </w:rPr>
      </w:pPr>
      <w:r>
        <w:rPr>
          <w:b/>
        </w:rPr>
        <w:t>2.</w:t>
      </w:r>
      <w:r>
        <w:tab/>
      </w:r>
      <w:r>
        <w:rPr>
          <w:b/>
        </w:rPr>
        <w:t xml:space="preserve">Numéro de référence: </w:t>
      </w:r>
      <w:r>
        <w:t>2021/3003(RSP)/B9-0176/2022/P9_TA(2022)0110</w:t>
      </w:r>
    </w:p>
    <w:p w:rsidR="00820B7C" w:rsidRPr="00820B7C" w:rsidRDefault="00820B7C" w:rsidP="00820B7C">
      <w:pPr>
        <w:spacing w:after="240" w:line="240" w:lineRule="auto"/>
        <w:jc w:val="both"/>
        <w:rPr>
          <w:rFonts w:eastAsia="Times New Roman" w:cs="Times New Roman"/>
          <w:szCs w:val="24"/>
        </w:rPr>
      </w:pPr>
      <w:r>
        <w:rPr>
          <w:b/>
        </w:rPr>
        <w:t>3.</w:t>
      </w:r>
      <w:r>
        <w:tab/>
      </w:r>
      <w:r>
        <w:rPr>
          <w:b/>
        </w:rPr>
        <w:t>Date d'adoption de la résolution</w:t>
      </w:r>
      <w:r>
        <w:t xml:space="preserve"> 5 avril 2022</w:t>
      </w:r>
    </w:p>
    <w:p w:rsidR="00820B7C" w:rsidRPr="00820B7C" w:rsidRDefault="00820B7C" w:rsidP="00820B7C">
      <w:pPr>
        <w:spacing w:after="240" w:line="240" w:lineRule="auto"/>
        <w:jc w:val="both"/>
        <w:rPr>
          <w:rFonts w:eastAsia="Times New Roman" w:cs="Times New Roman"/>
          <w:i/>
          <w:szCs w:val="24"/>
        </w:rPr>
      </w:pPr>
      <w:r>
        <w:rPr>
          <w:b/>
        </w:rPr>
        <w:t>4.</w:t>
      </w:r>
      <w:r>
        <w:tab/>
      </w:r>
      <w:r>
        <w:rPr>
          <w:b/>
        </w:rPr>
        <w:t xml:space="preserve">Commission parlementaire compétente </w:t>
      </w:r>
      <w:r>
        <w:t>commission des pétitions (PETI)</w:t>
      </w:r>
    </w:p>
    <w:p w:rsidR="00820B7C" w:rsidRPr="00820B7C" w:rsidRDefault="00820B7C" w:rsidP="00820B7C">
      <w:pPr>
        <w:widowControl w:val="0"/>
        <w:spacing w:after="240" w:line="240" w:lineRule="auto"/>
        <w:jc w:val="both"/>
        <w:rPr>
          <w:rFonts w:eastAsia="Times New Roman" w:cs="Times New Roman"/>
          <w:b/>
          <w:szCs w:val="24"/>
        </w:rPr>
      </w:pPr>
      <w:r>
        <w:rPr>
          <w:b/>
        </w:rPr>
        <w:t>5.</w:t>
      </w:r>
      <w:r>
        <w:tab/>
      </w:r>
      <w:r>
        <w:rPr>
          <w:b/>
        </w:rPr>
        <w:t xml:space="preserve">Analyse/évaluation succincte de la résolution et des demandes qu’elle contient: </w:t>
      </w:r>
    </w:p>
    <w:p w:rsidR="00820B7C" w:rsidRPr="00820B7C" w:rsidRDefault="00820B7C" w:rsidP="00820B7C">
      <w:pPr>
        <w:widowControl w:val="0"/>
        <w:spacing w:after="120" w:line="240" w:lineRule="auto"/>
        <w:jc w:val="both"/>
        <w:rPr>
          <w:rFonts w:eastAsia="Times New Roman" w:cs="Times New Roman"/>
          <w:szCs w:val="24"/>
        </w:rPr>
      </w:pPr>
      <w:r>
        <w:t>Dans sa résolution, le Parlement européen rappelle que la pollution de l’eau par les nitrates est l’une des principales causes de l’incapacité à parvenir à un bon état des masses d’eau dans l’UE en vertu de la directive-cadre sur l’eau, et regrette que les progrès dans la lutte contre cette pollution aient été lents depuis l’adoption de la directive sur les nitrates en 1991. Il exprime son inquiétude, en particulier, devant la mauvaise application de la directive «Nitrates», son exécution insuffisante et la large utilisation faite par les États membres des dérogations.</w:t>
      </w:r>
    </w:p>
    <w:p w:rsidR="00820B7C" w:rsidRPr="00820B7C" w:rsidRDefault="00820B7C" w:rsidP="00820B7C">
      <w:pPr>
        <w:widowControl w:val="0"/>
        <w:spacing w:after="120" w:line="240" w:lineRule="auto"/>
        <w:jc w:val="both"/>
        <w:rPr>
          <w:rFonts w:eastAsia="Times New Roman" w:cs="Times New Roman"/>
          <w:szCs w:val="20"/>
        </w:rPr>
      </w:pPr>
      <w:r>
        <w:t>Dans sa résolution, le Parlement européen invite la Commission à proposer des mesures ambitieuses pour lutter contre la pollution par les nutriments dans le plan d’action pour la gestion intégrée des nutriments, prévu pour 2022.</w:t>
      </w:r>
    </w:p>
    <w:p w:rsidR="00820B7C" w:rsidRPr="00820B7C" w:rsidRDefault="00820B7C" w:rsidP="00820B7C">
      <w:pPr>
        <w:widowControl w:val="0"/>
        <w:spacing w:after="120" w:line="240" w:lineRule="auto"/>
        <w:jc w:val="both"/>
        <w:rPr>
          <w:rFonts w:eastAsia="Times New Roman" w:cs="Times New Roman"/>
          <w:szCs w:val="24"/>
        </w:rPr>
      </w:pPr>
      <w:r>
        <w:t>Il invite à veiller à la comparabilité des mesures des teneurs en nitrates et des résultats des évaluations de l’eutrophisation dans tous les États membres, ainsi qu’à assurer l’entière transparence sur les modèles établis pour les estimations des émissions d’azote, ainsi que sur les choix et hypothèses qui les sous-tendent, et à en garantir l’accès au public. Il souligne que les mesures nécessaires pour assurer la protection de la qualité des eaux doivent être conçues et adoptées à partir des données relatives à la qualité de l’eau et non pas sur la base des estimations produites par les modèles, lesquelles ne doivent être qu’une source d’informations complémentaires pour l’élaboration de mesures ciblée.</w:t>
      </w:r>
    </w:p>
    <w:p w:rsidR="00820B7C" w:rsidRPr="00820B7C" w:rsidRDefault="00820B7C" w:rsidP="00820B7C">
      <w:pPr>
        <w:widowControl w:val="0"/>
        <w:spacing w:after="120" w:line="240" w:lineRule="auto"/>
        <w:jc w:val="both"/>
        <w:rPr>
          <w:rFonts w:eastAsia="Times New Roman" w:cs="Times New Roman"/>
          <w:szCs w:val="24"/>
        </w:rPr>
      </w:pPr>
      <w:r>
        <w:t>Il demande à la Commission de traiter tous les cas de non-respect de la directive «Nitrates» de manière transparente et de faire un bien meilleur usage de ses pouvoirs d’exécution, y compris en engageant efficacement en temps opportun des procédures en manquement afin de garantir que les États membres désignent convenablement les zones vulnérables aux nitrates et définissent et mettent en œuvre avec justesse toutes les mesures utiles dans leurs programmes d’action contre les nitrates.</w:t>
      </w:r>
    </w:p>
    <w:p w:rsidR="006538B4" w:rsidRDefault="00820B7C" w:rsidP="00820B7C">
      <w:pPr>
        <w:widowControl w:val="0"/>
        <w:spacing w:after="120" w:line="240" w:lineRule="auto"/>
        <w:jc w:val="both"/>
      </w:pPr>
      <w:r>
        <w:t>Il invite les États membres à s’attaquer d’urgence aux pollutions des eaux en accentuant la désignation de zones vulnérables au titre de la directive «Nitrates» et en renforçant leurs programmes d’action, en tenant compte du changement climatique et de son incidence sur les pertes de nutriments.</w:t>
      </w:r>
    </w:p>
    <w:p w:rsidR="006538B4" w:rsidRDefault="006538B4">
      <w:r>
        <w:br w:type="page"/>
      </w:r>
    </w:p>
    <w:p w:rsidR="00820B7C" w:rsidRPr="00820B7C" w:rsidRDefault="00820B7C" w:rsidP="00820B7C">
      <w:pPr>
        <w:widowControl w:val="0"/>
        <w:spacing w:after="120" w:line="240" w:lineRule="auto"/>
        <w:jc w:val="both"/>
        <w:rPr>
          <w:rFonts w:eastAsia="Times New Roman" w:cs="Times New Roman"/>
          <w:szCs w:val="24"/>
        </w:rPr>
      </w:pPr>
      <w:r>
        <w:t xml:space="preserve">Il appelle à une meilleure utilisation des bonnes pratiques agricoles, y compris la récupération de l’azote des fumiers, afin de réduire au minimum la pollution par les nutriments, en mettant à profit tous les leviers utiles qu’offrent la politique agricole commune, les Fonds structurels et d’autres programmes de l’Union, dont LIFE, et invite la Commission à financer des programmes de recherche dans le cadre d’Horizon Europe pour trouver des solutions </w:t>
      </w:r>
      <w:r>
        <w:lastRenderedPageBreak/>
        <w:t>intelligentes et novatrices au problème de cette pollution.</w:t>
      </w:r>
    </w:p>
    <w:p w:rsidR="00820B7C" w:rsidRPr="00820B7C" w:rsidRDefault="00820B7C" w:rsidP="00820B7C">
      <w:pPr>
        <w:widowControl w:val="0"/>
        <w:spacing w:after="240" w:line="240" w:lineRule="auto"/>
        <w:jc w:val="both"/>
        <w:rPr>
          <w:rFonts w:eastAsia="Times New Roman" w:cs="Times New Roman"/>
          <w:b/>
          <w:szCs w:val="24"/>
        </w:rPr>
      </w:pPr>
      <w:r>
        <w:t>Il estime que l’instrument législatif le mieux indiqué pour assurer la protection des eaux contre la pollution par les nitrates d’origine agricole est le règlement.</w:t>
      </w:r>
    </w:p>
    <w:p w:rsidR="00820B7C" w:rsidRPr="00820B7C" w:rsidRDefault="00820B7C" w:rsidP="00820B7C">
      <w:pPr>
        <w:keepNext/>
        <w:keepLines/>
        <w:spacing w:after="240" w:line="240" w:lineRule="auto"/>
        <w:ind w:left="720" w:hanging="720"/>
        <w:jc w:val="both"/>
        <w:rPr>
          <w:rFonts w:eastAsia="Times New Roman" w:cs="Times New Roman"/>
          <w:b/>
          <w:szCs w:val="24"/>
        </w:rPr>
      </w:pPr>
      <w:r>
        <w:rPr>
          <w:b/>
        </w:rPr>
        <w:t>6.</w:t>
      </w:r>
      <w:r>
        <w:tab/>
      </w:r>
      <w:r>
        <w:rPr>
          <w:b/>
        </w:rPr>
        <w:t>Réponse à ces demandes et aperçu des mesures que la Commission a prises ou envisage de prendre</w:t>
      </w:r>
    </w:p>
    <w:p w:rsidR="00820B7C" w:rsidRPr="00820B7C" w:rsidRDefault="00820B7C" w:rsidP="00820B7C">
      <w:pPr>
        <w:keepNext/>
        <w:keepLines/>
        <w:spacing w:after="120" w:line="240" w:lineRule="auto"/>
        <w:jc w:val="both"/>
        <w:rPr>
          <w:rFonts w:eastAsia="Times New Roman" w:cs="Times New Roman"/>
          <w:szCs w:val="24"/>
        </w:rPr>
      </w:pPr>
      <w:r>
        <w:t>Les travaux relatifs à l’élaboration d’un plan d’action pour la gestion intégrée des nutriments (</w:t>
      </w:r>
      <w:r>
        <w:rPr>
          <w:b/>
        </w:rPr>
        <w:t>point 3</w:t>
      </w:r>
      <w:r>
        <w:t>) sont en cours: l’</w:t>
      </w:r>
      <w:hyperlink r:id="rId6" w:history="1">
        <w:r>
          <w:rPr>
            <w:color w:val="0000FF"/>
            <w:u w:val="single"/>
          </w:rPr>
          <w:t>appel à contributions</w:t>
        </w:r>
      </w:hyperlink>
      <w:r>
        <w:t xml:space="preserve"> a été publié le 29 mars 2022 et la consultation publique a été lancée le 3 juin 2022. La Commission partage l’avis du Parlement européen selon lequel </w:t>
      </w:r>
      <w:bookmarkStart w:id="1" w:name="_Hlk101351069"/>
      <w:r>
        <w:t>des mesures ambitieuses sont nécessaires pour lutter contre la pollution par les nitrates et contre l’eutrophisation, et ce plan d’action sera essentiel pour atteindre l’objectif fixé dans la stratégie en faveur de la biodiversité, dans la stratégie «De la ferme à la table» [</w:t>
      </w:r>
      <w:hyperlink r:id="rId7" w:history="1">
        <w:r>
          <w:rPr>
            <w:color w:val="0000FF"/>
            <w:u w:val="single"/>
          </w:rPr>
          <w:t>COM(2020) 380 final</w:t>
        </w:r>
      </w:hyperlink>
      <w:r>
        <w:t xml:space="preserve"> et </w:t>
      </w:r>
      <w:hyperlink r:id="rId8" w:history="1">
        <w:r>
          <w:rPr>
            <w:color w:val="0000FF"/>
            <w:u w:val="single"/>
          </w:rPr>
          <w:t>COM(2020) 381 final</w:t>
        </w:r>
      </w:hyperlink>
      <w:r>
        <w:t>] et dans le plan d’action «zéro pollution» [COM(2021) 400], à savoir réduire les pertes de nutriments d’au moins 50 % d’ici à 2030.</w:t>
      </w:r>
    </w:p>
    <w:p w:rsidR="00820B7C" w:rsidRPr="00820B7C" w:rsidRDefault="00820B7C" w:rsidP="00820B7C">
      <w:pPr>
        <w:widowControl w:val="0"/>
        <w:spacing w:after="120" w:line="240" w:lineRule="auto"/>
        <w:jc w:val="both"/>
        <w:rPr>
          <w:rFonts w:eastAsia="Times New Roman" w:cs="Times New Roman"/>
          <w:szCs w:val="24"/>
        </w:rPr>
      </w:pPr>
      <w:r>
        <w:t>Le plan d’action pour la gestion intégrée des nutriments favorisera une approche cohérente et intégrée de la réduction de la pollution tout au long des cycles des nutriments, délimitée par un cadre d’action à tous les niveaux (européen, national, régional). Il s’agira d’examiner comment garantir une application plus durable des nutriments, lutter contre la pollution par les nutriments à la source, accroître la durabilité de l’agriculture et d’autres secteurs, et stimuler les marchés des nutriments valorisés ou recyclés.</w:t>
      </w:r>
    </w:p>
    <w:bookmarkEnd w:id="1"/>
    <w:p w:rsidR="00820B7C" w:rsidRPr="00820B7C" w:rsidRDefault="00820B7C" w:rsidP="00820B7C">
      <w:pPr>
        <w:widowControl w:val="0"/>
        <w:spacing w:after="120" w:line="240" w:lineRule="auto"/>
        <w:jc w:val="both"/>
        <w:rPr>
          <w:rFonts w:eastAsia="Times New Roman" w:cs="Times New Roman"/>
          <w:szCs w:val="24"/>
        </w:rPr>
      </w:pPr>
      <w:r>
        <w:t>Le plan d’action portera également sur la manière d’améliorer la mise en œuvre et l’application de la législation pertinente et de maximiser les synergies avec la politique agricole commune, en utilisant au mieux la nouvelle architecture écologique. La réduction des pertes de nutriments et une utilisation plus efficiente des engrais peuvent permettre de réduire la dépendance à l’égard des engrais importés et d’accroître la résilience du secteur agricole dans un contexte de prix élevés de l’énergie et des engrais.</w:t>
      </w:r>
    </w:p>
    <w:p w:rsidR="00820B7C" w:rsidRPr="00820B7C" w:rsidRDefault="00820B7C" w:rsidP="00820B7C">
      <w:pPr>
        <w:widowControl w:val="0"/>
        <w:spacing w:after="120" w:line="240" w:lineRule="auto"/>
        <w:jc w:val="both"/>
        <w:rPr>
          <w:rFonts w:eastAsia="Times New Roman" w:cs="Times New Roman"/>
          <w:szCs w:val="24"/>
        </w:rPr>
      </w:pPr>
      <w:r>
        <w:t>Dans le droit fil de la résolution, la Commission estime que la mise en œuvre et l’application intégrales de la législation existante permettent déjà une réduction supplémentaire significative des pertes de nutriments et que les États membres doivent prendre des mesures plus ambitieuses pour garantir le respect de cette législation.</w:t>
      </w:r>
    </w:p>
    <w:p w:rsidR="00820B7C" w:rsidRPr="00820B7C" w:rsidRDefault="00820B7C" w:rsidP="00820B7C">
      <w:pPr>
        <w:widowControl w:val="0"/>
        <w:spacing w:after="120" w:line="240" w:lineRule="auto"/>
        <w:jc w:val="both"/>
        <w:rPr>
          <w:rFonts w:eastAsia="Times New Roman" w:cs="Times New Roman"/>
          <w:szCs w:val="24"/>
        </w:rPr>
      </w:pPr>
      <w:r>
        <w:t>La Commission définira des actions en dehors du cadre réglementaire pour réduire la pollution par les nitrates, par exemple en améliorant le service de conseil aux agriculteurs dans le cadre de la politique agricole commune (PAC), afin de les sensibiliser à la pollution par les nutriments et aux effets du changement climatique conduisant à la raréfaction de l’eau et de promouvoir le recours à des pratiques agricoles visant à réduire au minimum les pertes de nutriments et à améliorer la gestion de l’eau, telles que la fertilisation précise et l’agroécologie (</w:t>
      </w:r>
      <w:r>
        <w:rPr>
          <w:b/>
        </w:rPr>
        <w:t>point 11</w:t>
      </w:r>
      <w:r>
        <w:t xml:space="preserve">). </w:t>
      </w:r>
    </w:p>
    <w:p w:rsidR="006538B4" w:rsidRDefault="00820B7C" w:rsidP="00820B7C">
      <w:pPr>
        <w:widowControl w:val="0"/>
        <w:spacing w:after="120" w:line="240" w:lineRule="auto"/>
        <w:jc w:val="both"/>
      </w:pPr>
      <w:r>
        <w:t>Le plan d’action pour la gestion intégrée des nutriments examinera également les indicateurs et les outils de suivi afin d’améliorer l’évaluation et la comparabilité des données.</w:t>
      </w:r>
    </w:p>
    <w:p w:rsidR="006538B4" w:rsidRDefault="006538B4">
      <w:r>
        <w:br w:type="page"/>
      </w:r>
    </w:p>
    <w:p w:rsidR="00820B7C" w:rsidRPr="00820B7C" w:rsidRDefault="00820B7C" w:rsidP="00820B7C">
      <w:pPr>
        <w:widowControl w:val="0"/>
        <w:spacing w:after="120" w:line="240" w:lineRule="auto"/>
        <w:jc w:val="both"/>
        <w:rPr>
          <w:rFonts w:eastAsia="Times New Roman" w:cs="Times New Roman"/>
          <w:szCs w:val="24"/>
        </w:rPr>
      </w:pPr>
      <w:r>
        <w:t xml:space="preserve">L’évaluation et la révision de la législation existante sont également l’occasion de renforcer les dispositions relatives à la pollution par les nutriments, et ces recommandations constitueront une contribution utile à cet effet. </w:t>
      </w:r>
    </w:p>
    <w:p w:rsidR="00820B7C" w:rsidRPr="00820B7C" w:rsidRDefault="00820B7C" w:rsidP="00820B7C">
      <w:pPr>
        <w:widowControl w:val="0"/>
        <w:spacing w:after="120" w:line="240" w:lineRule="auto"/>
        <w:jc w:val="both"/>
        <w:rPr>
          <w:rFonts w:eastAsia="Times New Roman" w:cs="Times New Roman"/>
          <w:szCs w:val="24"/>
        </w:rPr>
      </w:pPr>
      <w:r>
        <w:t>En ce qui concerne les mesures des teneurs en nitrates et les évaluations de l’eutrophisation (</w:t>
      </w:r>
      <w:r>
        <w:rPr>
          <w:b/>
        </w:rPr>
        <w:t>point 4</w:t>
      </w:r>
      <w:r>
        <w:t>), la directive «Nitrates» prévoit des obligations de surveillance spécifiques, selon lesquelles les États membres élaboreront et mettront en œuvre des systèmes de surveillance adéquats pour évaluer le niveau et l’évolution de la pollution des eaux à partir de sources agricoles, sur le plan tant de la concentration de nitrates que de l’eutrophisation, ainsi que l’efficacité des mesures qu’ils ont incluses dans leurs programmes d’action contre les nitrates.</w:t>
      </w:r>
    </w:p>
    <w:p w:rsidR="00820B7C" w:rsidRPr="00820B7C" w:rsidRDefault="00820B7C" w:rsidP="00820B7C">
      <w:pPr>
        <w:widowControl w:val="0"/>
        <w:spacing w:after="120" w:line="240" w:lineRule="auto"/>
        <w:jc w:val="both"/>
        <w:rPr>
          <w:rFonts w:eastAsia="Times New Roman" w:cs="Times New Roman"/>
          <w:szCs w:val="24"/>
        </w:rPr>
      </w:pPr>
      <w:r>
        <w:t>Aux fins de la désignation des zones vulnérables aux nitrates et de la révision de leur liste, les États membres surveilleront la concentration de nitrates dans les eaux de surface et les eaux souterraines et doivent répéter la surveillance au moins tous les quatre ans, sauf dans le cas des stations de prélèvement où la concentration de nitrates de tous les échantillons précédents s'est révélée inférieure à 25 milligrammes par litre et où aucun facteur nouveau susceptible d'accroître la teneur</w:t>
      </w:r>
      <w:r w:rsidR="003B59E8">
        <w:t xml:space="preserve"> en nitrates n'a été constaté.</w:t>
      </w:r>
      <w:r>
        <w:t xml:space="preserve"> En ce cas, ils ne doivent répéter le programme de surveillance que tous les huit ans. Les États membres doivent également réexaminer tous les quatre ans l’état d’eutrophisation des eaux douces superficielles, des eaux côtières et des eaux d’estuaires, à la lumière du changement climatique qui a une incidence sur les concentrations de nitrates.</w:t>
      </w:r>
    </w:p>
    <w:p w:rsidR="00820B7C" w:rsidRPr="00820B7C" w:rsidRDefault="00820B7C" w:rsidP="00820B7C">
      <w:pPr>
        <w:widowControl w:val="0"/>
        <w:spacing w:after="120" w:line="240" w:lineRule="auto"/>
        <w:jc w:val="both"/>
        <w:rPr>
          <w:rFonts w:eastAsia="Times New Roman" w:cs="Times New Roman"/>
          <w:szCs w:val="24"/>
        </w:rPr>
      </w:pPr>
      <w:r>
        <w:t>La directive «Nitrates» fournit déjà, dans son annexe IV, des méthodes de référence pour la mesure de la concentration de nitrates. Toutefois, elle n’harmonise pas l’évaluation de l’eutrophisation. La Commission apporte un soutien technique régulier aux États membres et les encourage à améliorer la communication de données sur l’eutrophisation. Les lignes directrices pour l’établissement des rapports ont été récemment mises à jour et incluent la recommandation d’utiliser les mêmes méthodes d’évaluation de l’eutrophisation que celles utilisées pour l’évaluation de l’état écologique en vertu de la directive-cadre sur l’eau, pour lesquelles un document d’orientation sur l’évaluation de l’eutrophisation (</w:t>
      </w:r>
      <w:hyperlink r:id="rId9" w:history="1">
        <w:r>
          <w:rPr>
            <w:color w:val="0000FF"/>
            <w:u w:val="single"/>
          </w:rPr>
          <w:t>document d’orientation nº 23</w:t>
        </w:r>
      </w:hyperlink>
      <w:r>
        <w:t>) est disponible.</w:t>
      </w:r>
    </w:p>
    <w:p w:rsidR="00820B7C" w:rsidRPr="00820B7C" w:rsidRDefault="00820B7C" w:rsidP="00820B7C">
      <w:pPr>
        <w:widowControl w:val="0"/>
        <w:spacing w:after="120" w:line="240" w:lineRule="auto"/>
        <w:jc w:val="both"/>
        <w:rPr>
          <w:rFonts w:eastAsia="Times New Roman" w:cs="Times New Roman"/>
          <w:szCs w:val="24"/>
        </w:rPr>
      </w:pPr>
      <w:r>
        <w:t xml:space="preserve">La directive «Nitrates» fixe des principes et des critères de base pour la surveillance de l’eau, mais des aspects tels que la densité du réseau de surveillance, sa stabilité et la fréquence des prélèvements restent de la responsabilité des États membres. La densité du réseau de surveillance devrait être proportionnée aux activités agricoles et les différences de densité entre les États membres peuvent être justifiées. </w:t>
      </w:r>
    </w:p>
    <w:p w:rsidR="00820B7C" w:rsidRPr="00820B7C" w:rsidRDefault="00820B7C" w:rsidP="00820B7C">
      <w:pPr>
        <w:widowControl w:val="0"/>
        <w:spacing w:after="120" w:line="240" w:lineRule="auto"/>
        <w:jc w:val="both"/>
        <w:rPr>
          <w:rFonts w:eastAsia="Times New Roman" w:cs="Times New Roman"/>
          <w:szCs w:val="24"/>
        </w:rPr>
      </w:pPr>
      <w:r>
        <w:t>Pour la dernière période de référence (2016-2019), le rapport de la Commission [</w:t>
      </w:r>
      <w:hyperlink r:id="rId10" w:history="1">
        <w:r>
          <w:rPr>
            <w:color w:val="0000FF"/>
            <w:u w:val="single"/>
          </w:rPr>
          <w:t>COM(2021) 1000 final</w:t>
        </w:r>
      </w:hyperlink>
      <w:r>
        <w:t xml:space="preserve">] a fait état d’une amélioration de la communication de données par les États membres sur l’eutrophisation des eaux de surface. Les efforts se poursuivront néanmoins pour faciliter la convergence des différentes méthodes d’évaluation de l’eutrophisation. </w:t>
      </w:r>
    </w:p>
    <w:p w:rsidR="00820B7C" w:rsidRPr="00820B7C" w:rsidRDefault="00820B7C" w:rsidP="00820B7C">
      <w:pPr>
        <w:widowControl w:val="0"/>
        <w:spacing w:after="120" w:line="240" w:lineRule="auto"/>
        <w:jc w:val="both"/>
        <w:rPr>
          <w:rFonts w:eastAsia="Times New Roman" w:cs="Times New Roman"/>
          <w:szCs w:val="24"/>
        </w:rPr>
      </w:pPr>
      <w:r>
        <w:t>Le document de travail des services de la Commission [</w:t>
      </w:r>
      <w:hyperlink r:id="rId11" w:history="1">
        <w:r>
          <w:rPr>
            <w:color w:val="0000FF"/>
            <w:u w:val="single"/>
          </w:rPr>
          <w:t>SWD(2021) 1001 final</w:t>
        </w:r>
      </w:hyperlink>
      <w:r>
        <w:t xml:space="preserve">] accompagnant le dernier rapport sur la mise en œuvre de la directive «Nitrates» pour la période 2016-2019 contient une </w:t>
      </w:r>
      <w:hyperlink r:id="rId12" w:history="1">
        <w:r>
          <w:rPr>
            <w:color w:val="0000FF"/>
            <w:u w:val="single"/>
          </w:rPr>
          <w:t>section</w:t>
        </w:r>
      </w:hyperlink>
      <w:r>
        <w:t xml:space="preserve"> consacrée à l’analyse du réseau de surveillance mis en place par les États membres. Cette section indique, pour chaque État membre, le nombre de stations de surveillance, leur densité et leur évolution pour les périodes de référence 2008-2011, 2012-2015 et 2016-2019, ainsi que la fréquence d’échantillonnage annuelle moyenne en 2016-2019 pour les eaux souterraines, les eaux douces superficielles et les eaux marines.</w:t>
      </w:r>
    </w:p>
    <w:p w:rsidR="00820B7C" w:rsidRPr="00820B7C" w:rsidRDefault="00820B7C" w:rsidP="00820B7C">
      <w:pPr>
        <w:widowControl w:val="0"/>
        <w:spacing w:after="120" w:line="240" w:lineRule="auto"/>
        <w:jc w:val="both"/>
        <w:rPr>
          <w:rFonts w:eastAsia="Times New Roman" w:cs="Times New Roman"/>
          <w:szCs w:val="24"/>
        </w:rPr>
      </w:pPr>
      <w:r>
        <w:t>Afin d’améliorer la cohérence du rapport, la Commission a demandé aux États membres de faire un rapport sur chacune des stations de surveillance ayant été retirées de leur réseau de surveillance au cours de la période 2016-2019, sur la raison de ces retraits et sur les stations de substitution mises en place si la pollution persiste. Il est en effet essentiel de maintenir un réseau de surveillance stable pour pouvoir évaluer les tendances en matière de pollution.</w:t>
      </w:r>
    </w:p>
    <w:p w:rsidR="00820B7C" w:rsidRPr="00820B7C" w:rsidRDefault="00820B7C" w:rsidP="00820B7C">
      <w:pPr>
        <w:widowControl w:val="0"/>
        <w:spacing w:after="120" w:line="240" w:lineRule="auto"/>
        <w:jc w:val="both"/>
        <w:rPr>
          <w:rFonts w:eastAsia="Times New Roman" w:cs="Times New Roman"/>
          <w:szCs w:val="24"/>
        </w:rPr>
      </w:pPr>
      <w:r>
        <w:t xml:space="preserve">Afin d’améliorer la transparence, la Commission a également mis au point un </w:t>
      </w:r>
      <w:hyperlink r:id="rId13" w:anchor="cb6034c2a75e4df282f8a62f90c16caa" w:history="1">
        <w:r>
          <w:rPr>
            <w:color w:val="0000FF"/>
            <w:u w:val="single"/>
          </w:rPr>
          <w:t>explorateur</w:t>
        </w:r>
      </w:hyperlink>
      <w:r>
        <w:t>, qui permet un accès aisé du public à toutes les données de surveillance fournies par les États membres pour la période 2016-2019. Cet explorateur montre les concentrations de nitrates et les tendances pour chacune des stations de surveillance, ainsi que les données d’évaluation de l’eutrophisation.</w:t>
      </w:r>
    </w:p>
    <w:p w:rsidR="004B69DA" w:rsidRDefault="00820B7C" w:rsidP="003B59E8">
      <w:pPr>
        <w:widowControl w:val="0"/>
        <w:spacing w:after="120" w:line="240" w:lineRule="auto"/>
        <w:jc w:val="both"/>
        <w:rPr>
          <w:rFonts w:eastAsia="Times New Roman" w:cs="Times New Roman"/>
          <w:szCs w:val="24"/>
        </w:rPr>
      </w:pPr>
      <w:r>
        <w:t>En ce qui concerne l’utilisation de modèles (</w:t>
      </w:r>
      <w:r>
        <w:rPr>
          <w:b/>
        </w:rPr>
        <w:t>points 5 et 6</w:t>
      </w:r>
      <w:r>
        <w:t>), la Commission considère que des modèles peuvent être utilisés pour estimer les flux de nutriments et leur devenir dans l’environnement, tels que le rejet d’azote dans l’environnement, un élément spécifique sur lequel la directive «Nitrates» exige de faire rapport. Toutefois, l’annexe 1 de la directive impose aux États membres de recenser les eaux polluées à l’aide de mesures des teneurs en nitrates et d’évaluations de l’eutrophisation réelles. Ces données doivent être utilisées pour désigner les zones vulnérables aux nitrates et pour estimer l’efficacité des mesures prévues dans les programmes d’action contre les nitrates. La Commission partage l’avis du Parlement européen selon lequel la modélisation peut être une source d’informations complémentaires mais ne saurait remplacer les mesures lors de l’évaluation du respect de la directive «Nitrates».</w:t>
      </w:r>
    </w:p>
    <w:p w:rsidR="00820B7C" w:rsidRPr="00820B7C" w:rsidRDefault="00820B7C" w:rsidP="00820B7C">
      <w:pPr>
        <w:widowControl w:val="0"/>
        <w:spacing w:after="120" w:line="240" w:lineRule="auto"/>
        <w:jc w:val="both"/>
        <w:rPr>
          <w:rFonts w:eastAsia="Times New Roman" w:cs="Times New Roman"/>
          <w:szCs w:val="24"/>
        </w:rPr>
      </w:pPr>
      <w:r>
        <w:t>La Commission garantit une transparence totale en ce qui concerne les modèles utilisés dans ses travaux de recherche, ainsi que les choix et hypothèses sous-jacents retenus pour l’utilisation de ces modèles. En effet, la transparence est nécessaire pour tester et vérifier l’intégrité et la validité des résultats de la recherche, ce qui est indispensable pour garantir l’utilisation fiable des éléments d’information dans la prise de décision. La Commission encourage également les États membres à appliquer les mêmes normes de transparence en ce qui concerne les modèles qu’ils utilisent pour estimer les flux de nutriments ainsi que les choix et hypothèses retenus lors de l’utilisation de ces modèles.</w:t>
      </w:r>
    </w:p>
    <w:p w:rsidR="00820B7C" w:rsidRPr="00820B7C" w:rsidRDefault="00820B7C" w:rsidP="00820B7C">
      <w:pPr>
        <w:widowControl w:val="0"/>
        <w:spacing w:after="120" w:line="240" w:lineRule="auto"/>
        <w:jc w:val="both"/>
        <w:rPr>
          <w:rFonts w:eastAsia="Times New Roman" w:cs="Times New Roman"/>
          <w:szCs w:val="24"/>
        </w:rPr>
      </w:pPr>
      <w:r>
        <w:t>En ce qui concerne les cas de non-respect de la directive «Nitrates» et la transparence des mesures prises par la Commission pour traiter ces cas (</w:t>
      </w:r>
      <w:r>
        <w:rPr>
          <w:b/>
        </w:rPr>
        <w:t>point 8</w:t>
      </w:r>
      <w:r>
        <w:t>), la Commission entretient un dialogue permanent avec les États membres afin de promouvoir le plein respect de la directive. Ce dialogue porte essentiellement sur le contenu des programmes d’action nationaux et sur la nécessité de prendre des mesures supplémentaires pour lutter contre la pollution, de désigner de nouvelles de zones vulnérables aux nitrates et de renforcer la surveillance de la qualité de l’eau. Ce faisant, la Commission examine également l’exigence sous l’angle de la pollution de l’eau au titre de la directive-cadre sur l’eau et de la directive-cadre «stratégie pour le milieu marin», ainsi que des risques d’émissions d’ammoniac résultant de l’épandage d’effluents d’élevage au titre de la directive sur les plafonds d’émission nationaux concernant la qualité de l’air.</w:t>
      </w:r>
    </w:p>
    <w:p w:rsidR="00820B7C" w:rsidRPr="00820B7C" w:rsidRDefault="00820B7C" w:rsidP="00820B7C">
      <w:pPr>
        <w:widowControl w:val="0"/>
        <w:spacing w:after="120" w:line="240" w:lineRule="auto"/>
        <w:jc w:val="both"/>
        <w:rPr>
          <w:rFonts w:eastAsia="Times New Roman" w:cs="Times New Roman"/>
          <w:szCs w:val="24"/>
        </w:rPr>
      </w:pPr>
      <w:r>
        <w:t>La Commission fait usage de ses pouvoirs pour ouvrir des procédures en manquement dans des cas justifiés, lorsque ce dialogue ne mène pas à une action suffisante de la part des États membres pour garantir le respect de la directive.</w:t>
      </w:r>
    </w:p>
    <w:p w:rsidR="006538B4" w:rsidRDefault="00820B7C" w:rsidP="00820B7C">
      <w:pPr>
        <w:widowControl w:val="0"/>
        <w:spacing w:after="120" w:line="240" w:lineRule="auto"/>
        <w:jc w:val="both"/>
      </w:pPr>
      <w:r>
        <w:t xml:space="preserve">Les décisions sur les procédures en manquement sont communiquées au public de manière transparente et peuvent être extraites d’une </w:t>
      </w:r>
      <w:hyperlink r:id="rId14" w:history="1">
        <w:r>
          <w:rPr>
            <w:color w:val="0000FF"/>
            <w:u w:val="single"/>
          </w:rPr>
          <w:t>base de données</w:t>
        </w:r>
      </w:hyperlink>
      <w:r>
        <w:t xml:space="preserve"> accessible au public. Chaque étape de la procédure (lettre de mise en demeure, avis motivé et saisine de la Cour de justice) fait l’objet d’une communication spécifique au moyen d’un communiqué de presse.</w:t>
      </w:r>
    </w:p>
    <w:p w:rsidR="006538B4" w:rsidRDefault="006538B4">
      <w:r>
        <w:br w:type="page"/>
      </w:r>
    </w:p>
    <w:p w:rsidR="00820B7C" w:rsidRPr="00820B7C" w:rsidRDefault="00820B7C" w:rsidP="00820B7C">
      <w:pPr>
        <w:widowControl w:val="0"/>
        <w:spacing w:after="120" w:line="240" w:lineRule="auto"/>
        <w:jc w:val="both"/>
        <w:rPr>
          <w:rFonts w:eastAsia="Times New Roman" w:cs="Times New Roman"/>
          <w:szCs w:val="24"/>
        </w:rPr>
      </w:pPr>
      <w:bookmarkStart w:id="2" w:name="_GoBack"/>
      <w:bookmarkEnd w:id="2"/>
      <w:r>
        <w:t>La Commission entretient également un dialogue avec les organisations non gouvernementales et examine les données et les avis qu’elles fournissent sur la pollution par les nitrates et les questions de conformité, notamment en traitant les plaintes.</w:t>
      </w:r>
    </w:p>
    <w:p w:rsidR="00820B7C" w:rsidRPr="00820B7C" w:rsidRDefault="00820B7C" w:rsidP="00820B7C">
      <w:pPr>
        <w:widowControl w:val="0"/>
        <w:spacing w:after="120" w:line="240" w:lineRule="auto"/>
        <w:jc w:val="both"/>
        <w:rPr>
          <w:rFonts w:eastAsia="Times New Roman" w:cs="Times New Roman"/>
          <w:szCs w:val="24"/>
        </w:rPr>
      </w:pPr>
      <w:r>
        <w:t>Le changement climatique peut, d’un côté, réduire la disponibilité de l’eau, et donc les concentrations de nitrates dans les eaux de surface, mais de l’autre, entraîner l’accumulation de terres saturées d’eau, des inondations et un risque élevé de pertes de nutriments (</w:t>
      </w:r>
      <w:r>
        <w:rPr>
          <w:b/>
        </w:rPr>
        <w:t>point 10</w:t>
      </w:r>
      <w:r>
        <w:t>). La Commission rappelle régulièrement aux États membres qu’ils devraient tenir compte des projections de changement climatique disponibles et des risques lors de la révision des programmes d’action visant à éviter la pollution par les nutriments, en appliquant le principe de précaution.</w:t>
      </w:r>
    </w:p>
    <w:p w:rsidR="00820B7C" w:rsidRPr="00820B7C" w:rsidRDefault="00820B7C" w:rsidP="00820B7C">
      <w:pPr>
        <w:widowControl w:val="0"/>
        <w:spacing w:after="120" w:line="240" w:lineRule="auto"/>
        <w:jc w:val="both"/>
        <w:rPr>
          <w:rFonts w:eastAsia="Calibri" w:cs="Times New Roman"/>
          <w:szCs w:val="24"/>
        </w:rPr>
      </w:pPr>
      <w:r>
        <w:t>La Commission partage l’avis du Parlement européen quant à la nécessité de financer des programmes de recherche dans le cadre d’Horizon Europe pour lutter contre la pollution par les nutriments (</w:t>
      </w:r>
      <w:r>
        <w:rPr>
          <w:b/>
        </w:rPr>
        <w:t>point 12</w:t>
      </w:r>
      <w:r>
        <w:t xml:space="preserve">). Et de fait, le traitement des effluents et d’autres déchets organiques (biodéchets, boues d’épuration) a bénéficié d’activités de recherche intenses au cours des dernières années. Bon nombre de projets axés sur les nutriments dans le cadre du programme de recherche et d’innovation Horizon 2020 (par exemple </w:t>
      </w:r>
      <w:hyperlink r:id="rId15" w:history="1">
        <w:r>
          <w:rPr>
            <w:color w:val="0000FF"/>
            <w:u w:val="single"/>
          </w:rPr>
          <w:t>NUTRIMAN</w:t>
        </w:r>
      </w:hyperlink>
      <w:r>
        <w:t xml:space="preserve">, </w:t>
      </w:r>
      <w:hyperlink r:id="rId16" w:history="1">
        <w:r>
          <w:rPr>
            <w:color w:val="0000FF"/>
            <w:u w:val="single"/>
          </w:rPr>
          <w:t>NewFert</w:t>
        </w:r>
      </w:hyperlink>
      <w:r>
        <w:t xml:space="preserve">, </w:t>
      </w:r>
      <w:hyperlink r:id="rId17" w:history="1">
        <w:r>
          <w:rPr>
            <w:color w:val="0000FF"/>
            <w:u w:val="single"/>
          </w:rPr>
          <w:t>LEX4BIO</w:t>
        </w:r>
      </w:hyperlink>
      <w:r>
        <w:t xml:space="preserve">, </w:t>
      </w:r>
      <w:hyperlink r:id="rId18" w:history="1">
        <w:r>
          <w:rPr>
            <w:color w:val="0000FF"/>
            <w:u w:val="single"/>
          </w:rPr>
          <w:t>B-FERST</w:t>
        </w:r>
      </w:hyperlink>
      <w:r>
        <w:t>) visaient les technologies de recyclage des nutriments, permettant des gains d’efficience en nutriments par rapport aux produits bruts, ce qui signifie moins de pertes de nutriments dans l’environnement.</w:t>
      </w:r>
    </w:p>
    <w:p w:rsidR="00820B7C" w:rsidRPr="00820B7C" w:rsidRDefault="00820B7C" w:rsidP="00820B7C">
      <w:pPr>
        <w:widowControl w:val="0"/>
        <w:spacing w:after="120" w:line="240" w:lineRule="auto"/>
        <w:jc w:val="both"/>
        <w:rPr>
          <w:rFonts w:eastAsia="Times New Roman" w:cs="Times New Roman"/>
          <w:szCs w:val="20"/>
        </w:rPr>
      </w:pPr>
      <w:r>
        <w:t xml:space="preserve">Dans le cadre du nouveau programme Horizon Europe, la </w:t>
      </w:r>
      <w:hyperlink r:id="rId19" w:history="1">
        <w:r>
          <w:rPr>
            <w:color w:val="0000FF"/>
            <w:u w:val="single"/>
          </w:rPr>
          <w:t>mission sur les sols</w:t>
        </w:r>
      </w:hyperlink>
      <w:r>
        <w:t xml:space="preserve"> élaborera des solutions pour restaurer la santé et les fonctions des sols, notamment en réduisant la pollution des sols et en améliorant la restauration. Le </w:t>
      </w:r>
      <w:hyperlink r:id="rId20" w:history="1">
        <w:r>
          <w:rPr>
            <w:color w:val="0000FF"/>
            <w:u w:val="single"/>
          </w:rPr>
          <w:t>partenariat européen pour une Europe fondée sur la bioéconomie circulaire</w:t>
        </w:r>
      </w:hyperlink>
      <w:r>
        <w:t xml:space="preserve"> mettra au point et déploiera des techniques de récupération et de recyclage de l’azote et du phosphore provenant des résidus et des déchets.</w:t>
      </w:r>
    </w:p>
    <w:p w:rsidR="00820B7C" w:rsidRPr="00820B7C" w:rsidRDefault="00820B7C" w:rsidP="00820B7C">
      <w:pPr>
        <w:widowControl w:val="0"/>
        <w:spacing w:after="120" w:line="240" w:lineRule="auto"/>
        <w:jc w:val="both"/>
        <w:rPr>
          <w:rFonts w:eastAsia="Times New Roman" w:cs="Times New Roman"/>
          <w:szCs w:val="24"/>
        </w:rPr>
      </w:pPr>
      <w:r>
        <w:t xml:space="preserve">Le pôle 6 d’Horizon Europe, consacré à l’alimentation, à la bioéconomie, aux ressources naturelles, à l’agriculture et à l’environnement, vise à réduire la dégradation de l’environnement, à enrayer et à inverser le déclin de la biodiversité sur terre, dans les eaux intérieures et en mer, et à mieux gérer les ressources naturelles. Le </w:t>
      </w:r>
      <w:hyperlink r:id="rId21" w:history="1">
        <w:r>
          <w:rPr>
            <w:color w:val="0000FF"/>
            <w:u w:val="single"/>
          </w:rPr>
          <w:t>programme de travail</w:t>
        </w:r>
      </w:hyperlink>
      <w:r>
        <w:t xml:space="preserve"> 2021-2022 des projets relevant de ce pôle comprend un thème de recherche axé sur la gestion des nutriments et la prévention de la pollution.</w:t>
      </w:r>
    </w:p>
    <w:p w:rsidR="00820B7C" w:rsidRPr="00820B7C" w:rsidRDefault="00820B7C" w:rsidP="00820B7C">
      <w:pPr>
        <w:widowControl w:val="0"/>
        <w:spacing w:after="120" w:line="240" w:lineRule="auto"/>
        <w:jc w:val="both"/>
        <w:rPr>
          <w:rFonts w:eastAsia="Times New Roman" w:cs="Times New Roman"/>
          <w:szCs w:val="24"/>
        </w:rPr>
      </w:pPr>
      <w:r>
        <w:t>Pour ces quatre seuls domaines de recherche, un budget total indicatif de 29 millions d’euros est prévu, ce qui témoigne d’un effort financier important qui aidera les agriculteurs à gérer les terres, les sols, l’eau et les nutriments de manière durable et contribuera à prévenir et à éliminer la pollution par les nutriments d’origine agricole.</w:t>
      </w:r>
    </w:p>
    <w:p w:rsidR="00F36993" w:rsidRDefault="00F36993"/>
    <w:sectPr w:rsidR="00F36993" w:rsidSect="00085F07">
      <w:footerReference w:type="default" r:id="rId22"/>
      <w:footerReference w:type="first" r:id="rId23"/>
      <w:footnotePr>
        <w:numRestart w:val="eachSect"/>
      </w:footnotePr>
      <w:pgSz w:w="11906" w:h="16838"/>
      <w:pgMar w:top="1417" w:right="1417" w:bottom="1417" w:left="1417" w:header="708" w:footer="5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8B4" w:rsidRDefault="006538B4" w:rsidP="006538B4">
      <w:pPr>
        <w:spacing w:after="0" w:line="240" w:lineRule="auto"/>
      </w:pPr>
      <w:r>
        <w:separator/>
      </w:r>
    </w:p>
  </w:endnote>
  <w:endnote w:type="continuationSeparator" w:id="0">
    <w:p w:rsidR="006538B4" w:rsidRDefault="006538B4" w:rsidP="00653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820815"/>
      <w:docPartObj>
        <w:docPartGallery w:val="Page Numbers (Bottom of Page)"/>
        <w:docPartUnique/>
      </w:docPartObj>
    </w:sdtPr>
    <w:sdtEndPr>
      <w:rPr>
        <w:noProof/>
      </w:rPr>
    </w:sdtEndPr>
    <w:sdtContent>
      <w:p w:rsidR="006538B4" w:rsidRDefault="006538B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6538B4" w:rsidRDefault="00653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876555"/>
      <w:docPartObj>
        <w:docPartGallery w:val="Page Numbers (Bottom of Page)"/>
        <w:docPartUnique/>
      </w:docPartObj>
    </w:sdtPr>
    <w:sdtEndPr>
      <w:rPr>
        <w:noProof/>
      </w:rPr>
    </w:sdtEndPr>
    <w:sdtContent>
      <w:p w:rsidR="006538B4" w:rsidRDefault="006538B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538B4" w:rsidRDefault="00653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8B4" w:rsidRDefault="006538B4" w:rsidP="006538B4">
      <w:pPr>
        <w:spacing w:after="0" w:line="240" w:lineRule="auto"/>
      </w:pPr>
      <w:r>
        <w:separator/>
      </w:r>
    </w:p>
  </w:footnote>
  <w:footnote w:type="continuationSeparator" w:id="0">
    <w:p w:rsidR="006538B4" w:rsidRDefault="006538B4" w:rsidP="006538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20B7C"/>
    <w:rsid w:val="000F15F1"/>
    <w:rsid w:val="001E37D4"/>
    <w:rsid w:val="003B59E8"/>
    <w:rsid w:val="004B69DA"/>
    <w:rsid w:val="00512EE8"/>
    <w:rsid w:val="0065281F"/>
    <w:rsid w:val="006538B4"/>
    <w:rsid w:val="0076069D"/>
    <w:rsid w:val="00815B75"/>
    <w:rsid w:val="00820B7C"/>
    <w:rsid w:val="008342CE"/>
    <w:rsid w:val="0095347B"/>
    <w:rsid w:val="00AF5B02"/>
    <w:rsid w:val="00EF1DA5"/>
    <w:rsid w:val="00F36993"/>
    <w:rsid w:val="00FF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2A145-41E6-4F86-B110-D9F14B2A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8B4"/>
  </w:style>
  <w:style w:type="paragraph" w:styleId="Footer">
    <w:name w:val="footer"/>
    <w:basedOn w:val="Normal"/>
    <w:link w:val="FooterChar"/>
    <w:uiPriority w:val="99"/>
    <w:unhideWhenUsed/>
    <w:rsid w:val="00653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FR/TXT/?uri=CELEX%3A52020DC0381" TargetMode="External"/><Relationship Id="rId13" Type="http://schemas.openxmlformats.org/officeDocument/2006/relationships/hyperlink" Target="https://water.jrc.ec.europa.eu/portal/apps/opsdashboard/index.html" TargetMode="External"/><Relationship Id="rId18" Type="http://schemas.openxmlformats.org/officeDocument/2006/relationships/hyperlink" Target="https://cordis.europa.eu/project/id/837583" TargetMode="External"/><Relationship Id="rId3" Type="http://schemas.openxmlformats.org/officeDocument/2006/relationships/webSettings" Target="webSettings.xml"/><Relationship Id="rId21" Type="http://schemas.openxmlformats.org/officeDocument/2006/relationships/hyperlink" Target="https://ec.europa.eu/info/funding-tenders/opportunities/docs/2021-2027/horizon/wp-call/2021-2022/wp-9-food-bioeconomy-natural-resources-agriculture-and-environment_horizon-2021-2022_en.pdf" TargetMode="External"/><Relationship Id="rId7" Type="http://schemas.openxmlformats.org/officeDocument/2006/relationships/hyperlink" Target="https://eur-lex.europa.eu/legal-content/FR/TXT/?uri=CELEX:52020DC0380" TargetMode="External"/><Relationship Id="rId12" Type="http://schemas.openxmlformats.org/officeDocument/2006/relationships/hyperlink" Target="https://eur-lex.europa.eu/resource.html?uri=cellar:d168a73d-2a8b-11ec-bd8e-01aa75ed71a1.0001.02/DOC_2&amp;format=PDF" TargetMode="External"/><Relationship Id="rId17" Type="http://schemas.openxmlformats.org/officeDocument/2006/relationships/hyperlink" Target="https://cordis.europa.eu/project/id/818309"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ordis.europa.eu/project/id/668128" TargetMode="External"/><Relationship Id="rId20" Type="http://schemas.openxmlformats.org/officeDocument/2006/relationships/hyperlink" Target="https://ec.europa.eu/info/research-and-innovation/funding/funding-opportunities/funding-programmes-and-open-calls/horizon-europe/european-partnerships-horizon-europe/candidates-food-security_en" TargetMode="External"/><Relationship Id="rId1" Type="http://schemas.openxmlformats.org/officeDocument/2006/relationships/styles" Target="styles.xml"/><Relationship Id="rId6" Type="http://schemas.openxmlformats.org/officeDocument/2006/relationships/hyperlink" Target="https://ec.europa.eu/info/law/better-regulation/have-your-say/initiatives/12899-Nutrients-action-plan-for-better-management_fr" TargetMode="External"/><Relationship Id="rId11" Type="http://schemas.openxmlformats.org/officeDocument/2006/relationships/hyperlink" Target="https://eur-lex.europa.eu/legal-content/EN/ALL/?uri=SWD%3A2021%3A1001%3AFIN"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nutriman.net/farmer-platform" TargetMode="External"/><Relationship Id="rId23" Type="http://schemas.openxmlformats.org/officeDocument/2006/relationships/footer" Target="footer2.xml"/><Relationship Id="rId10" Type="http://schemas.openxmlformats.org/officeDocument/2006/relationships/hyperlink" Target="https://eur-lex.europa.eu/legal-content/FR/TXT/?uri=COM%3A2021%3A1000%3AFIN&amp;qid=1633953687154" TargetMode="External"/><Relationship Id="rId19" Type="http://schemas.openxmlformats.org/officeDocument/2006/relationships/hyperlink" Target="https://ec.europa.eu/info/research-and-innovation/funding/funding-opportunities/funding-programmes-and-open-calls/horizon-europe/eu-missions-horizon-europe/soil-health-and-food_en" TargetMode="External"/><Relationship Id="rId4" Type="http://schemas.openxmlformats.org/officeDocument/2006/relationships/footnotes" Target="footnotes.xml"/><Relationship Id="rId9" Type="http://schemas.openxmlformats.org/officeDocument/2006/relationships/hyperlink" Target="https://op.europa.eu/en/publication-detail/-/publication/706b8cfb-fd22-4041-aff0-308e44ec4a8a" TargetMode="External"/><Relationship Id="rId14" Type="http://schemas.openxmlformats.org/officeDocument/2006/relationships/hyperlink" Target="https://ec.europa.eu/atwork/applying-eu-law/infringements-proceedings/infringement_decisions/?lang_code=f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2930</Words>
  <Characters>16268</Characters>
  <Application>Microsoft Office Word</Application>
  <DocSecurity>0</DocSecurity>
  <Lines>229</Lines>
  <Paragraphs>53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 Raffaella (SG)</dc:creator>
  <cp:keywords/>
  <dc:description/>
  <cp:lastModifiedBy>BIANCHIN Raffaella (SG)</cp:lastModifiedBy>
  <cp:revision>4</cp:revision>
  <dcterms:created xsi:type="dcterms:W3CDTF">2022-06-14T12:10:00Z</dcterms:created>
  <dcterms:modified xsi:type="dcterms:W3CDTF">2022-06-24T07:50:00Z</dcterms:modified>
</cp:coreProperties>
</file>