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C40" w:rsidRPr="00C05C40" w:rsidRDefault="00C05C40" w:rsidP="00C05C40">
      <w:pPr>
        <w:spacing w:after="600" w:line="240" w:lineRule="auto"/>
        <w:jc w:val="center"/>
        <w:rPr>
          <w:rFonts w:eastAsia="Times New Roman" w:cs="Times New Roman"/>
          <w:b/>
          <w:bCs/>
          <w:szCs w:val="24"/>
          <w:lang w:eastAsia="en-GB"/>
        </w:rPr>
      </w:pPr>
      <w:bookmarkStart w:id="0" w:name="_GoBack"/>
      <w:bookmarkEnd w:id="0"/>
      <w:r w:rsidRPr="00C05C40">
        <w:rPr>
          <w:rFonts w:eastAsia="Times New Roman" w:cs="Times New Roman"/>
          <w:b/>
          <w:szCs w:val="24"/>
          <w:lang w:eastAsia="en-GB"/>
        </w:rPr>
        <w:t xml:space="preserve">Follow-up to the European Parliament non-legislative resolution </w:t>
      </w:r>
      <w:r w:rsidRPr="00C05C40">
        <w:rPr>
          <w:rFonts w:eastAsia="Times New Roman" w:cs="Times New Roman"/>
          <w:b/>
          <w:bCs/>
          <w:szCs w:val="24"/>
          <w:lang w:eastAsia="en-GB"/>
        </w:rPr>
        <w:t xml:space="preserve">on the </w:t>
      </w:r>
      <w:r w:rsidRPr="00C05C40">
        <w:rPr>
          <w:rFonts w:eastAsia="Times New Roman" w:cs="Times New Roman"/>
          <w:b/>
          <w:bCs/>
          <w:szCs w:val="24"/>
          <w:lang w:eastAsia="en-GB"/>
        </w:rPr>
        <w:br/>
        <w:t>start of the i</w:t>
      </w:r>
      <w:r w:rsidRPr="00C05C40">
        <w:rPr>
          <w:rFonts w:eastAsia="Times New Roman" w:cs="Times New Roman"/>
          <w:b/>
          <w:noProof/>
          <w:szCs w:val="24"/>
          <w:lang w:eastAsia="en-GB"/>
        </w:rPr>
        <w:t xml:space="preserve">mplementation of the 2021-2027 cohesion policy </w:t>
      </w:r>
    </w:p>
    <w:p w:rsidR="00C05C40" w:rsidRPr="00C05C40" w:rsidRDefault="00C05C40" w:rsidP="00C05C40">
      <w:pPr>
        <w:spacing w:after="240" w:line="240" w:lineRule="auto"/>
        <w:ind w:left="720" w:hanging="720"/>
        <w:jc w:val="both"/>
        <w:rPr>
          <w:rFonts w:eastAsia="Times New Roman" w:cs="Times New Roman"/>
          <w:b/>
          <w:szCs w:val="24"/>
          <w:lang w:eastAsia="en-GB"/>
        </w:rPr>
      </w:pPr>
      <w:r w:rsidRPr="00C05C40">
        <w:rPr>
          <w:rFonts w:eastAsia="Times New Roman" w:cs="Times New Roman"/>
          <w:b/>
          <w:szCs w:val="24"/>
          <w:lang w:eastAsia="en-GB"/>
        </w:rPr>
        <w:t>1.</w:t>
      </w:r>
      <w:r w:rsidRPr="00C05C40">
        <w:rPr>
          <w:rFonts w:eastAsia="Times New Roman" w:cs="Times New Roman"/>
          <w:b/>
          <w:szCs w:val="24"/>
          <w:lang w:eastAsia="en-GB"/>
        </w:rPr>
        <w:tab/>
        <w:t>Resolution tabled pursuant to Rules 136(1) of the European Parliament's Rules of procedure</w:t>
      </w:r>
    </w:p>
    <w:p w:rsidR="00C05C40" w:rsidRPr="00C05C40" w:rsidRDefault="00C05C40" w:rsidP="00C05C40">
      <w:pPr>
        <w:spacing w:after="240" w:line="240" w:lineRule="auto"/>
        <w:jc w:val="both"/>
        <w:rPr>
          <w:rFonts w:eastAsia="Times New Roman" w:cs="Times New Roman"/>
          <w:i/>
          <w:szCs w:val="24"/>
          <w:lang w:eastAsia="en-GB"/>
        </w:rPr>
      </w:pPr>
      <w:r w:rsidRPr="00C05C40">
        <w:rPr>
          <w:rFonts w:eastAsia="Times New Roman" w:cs="Times New Roman"/>
          <w:b/>
          <w:szCs w:val="24"/>
          <w:lang w:eastAsia="en-GB"/>
        </w:rPr>
        <w:t>2.</w:t>
      </w:r>
      <w:r w:rsidRPr="00C05C40">
        <w:rPr>
          <w:rFonts w:eastAsia="Times New Roman" w:cs="Times New Roman"/>
          <w:b/>
          <w:szCs w:val="24"/>
          <w:lang w:eastAsia="en-GB"/>
        </w:rPr>
        <w:tab/>
        <w:t xml:space="preserve">Reference number: </w:t>
      </w:r>
      <w:r w:rsidRPr="00C05C40">
        <w:rPr>
          <w:rFonts w:eastAsia="Times New Roman" w:cs="Times New Roman"/>
          <w:noProof/>
          <w:szCs w:val="24"/>
          <w:lang w:eastAsia="en-GB"/>
        </w:rPr>
        <w:t xml:space="preserve">2022/2527 (RSP) </w:t>
      </w:r>
      <w:r w:rsidRPr="00C05C40">
        <w:rPr>
          <w:rFonts w:eastAsia="Times New Roman" w:cs="Times New Roman"/>
          <w:szCs w:val="20"/>
          <w:lang w:eastAsia="en-GB"/>
        </w:rPr>
        <w:t xml:space="preserve">/ </w:t>
      </w:r>
      <w:r w:rsidRPr="00C05C40">
        <w:rPr>
          <w:rFonts w:eastAsia="Times New Roman" w:cs="Times New Roman"/>
          <w:noProof/>
          <w:szCs w:val="24"/>
          <w:lang w:eastAsia="en-GB"/>
        </w:rPr>
        <w:t xml:space="preserve">B9-0173/2022 </w:t>
      </w:r>
      <w:r w:rsidRPr="00C05C40">
        <w:rPr>
          <w:rFonts w:eastAsia="Times New Roman" w:cs="Times New Roman"/>
          <w:szCs w:val="20"/>
          <w:lang w:eastAsia="en-GB"/>
        </w:rPr>
        <w:t xml:space="preserve">/ </w:t>
      </w:r>
      <w:r w:rsidRPr="00C05C40">
        <w:rPr>
          <w:rFonts w:eastAsia="Calibri" w:cs="Times New Roman"/>
          <w:bCs/>
          <w:szCs w:val="24"/>
        </w:rPr>
        <w:t>P9_TA(2022)0113</w:t>
      </w:r>
    </w:p>
    <w:p w:rsidR="00C05C40" w:rsidRPr="00C05C40" w:rsidRDefault="00C05C40" w:rsidP="00C05C40">
      <w:pPr>
        <w:spacing w:after="240" w:line="240" w:lineRule="auto"/>
        <w:jc w:val="both"/>
        <w:rPr>
          <w:rFonts w:eastAsia="Times New Roman" w:cs="Times New Roman"/>
          <w:szCs w:val="24"/>
          <w:lang w:eastAsia="en-GB"/>
        </w:rPr>
      </w:pPr>
      <w:r w:rsidRPr="00C05C40">
        <w:rPr>
          <w:rFonts w:eastAsia="Times New Roman" w:cs="Times New Roman"/>
          <w:b/>
          <w:szCs w:val="24"/>
          <w:lang w:eastAsia="en-GB"/>
        </w:rPr>
        <w:t>3.</w:t>
      </w:r>
      <w:r w:rsidRPr="00C05C40">
        <w:rPr>
          <w:rFonts w:eastAsia="Times New Roman" w:cs="Times New Roman"/>
          <w:b/>
          <w:szCs w:val="24"/>
          <w:lang w:eastAsia="en-GB"/>
        </w:rPr>
        <w:tab/>
        <w:t>Date of adoption of the resolution:</w:t>
      </w:r>
      <w:r w:rsidRPr="00C05C40">
        <w:rPr>
          <w:rFonts w:eastAsia="Times New Roman" w:cs="Times New Roman"/>
          <w:szCs w:val="24"/>
          <w:lang w:eastAsia="en-GB"/>
        </w:rPr>
        <w:t xml:space="preserve"> </w:t>
      </w:r>
      <w:r w:rsidRPr="00C05C40">
        <w:rPr>
          <w:rFonts w:eastAsia="Times New Roman" w:cs="Times New Roman"/>
          <w:noProof/>
          <w:szCs w:val="24"/>
          <w:lang w:eastAsia="en-GB"/>
        </w:rPr>
        <w:t>7 April 2022</w:t>
      </w:r>
    </w:p>
    <w:p w:rsidR="00C05C40" w:rsidRPr="00C05C40" w:rsidRDefault="00C05C40" w:rsidP="00C05C40">
      <w:pPr>
        <w:spacing w:after="240" w:line="240" w:lineRule="auto"/>
        <w:jc w:val="both"/>
        <w:rPr>
          <w:rFonts w:eastAsia="Times New Roman" w:cs="Times New Roman"/>
          <w:i/>
          <w:szCs w:val="24"/>
          <w:lang w:eastAsia="en-GB"/>
        </w:rPr>
      </w:pPr>
      <w:r w:rsidRPr="00C05C40">
        <w:rPr>
          <w:rFonts w:eastAsia="Times New Roman" w:cs="Times New Roman"/>
          <w:b/>
          <w:szCs w:val="24"/>
          <w:lang w:eastAsia="en-GB"/>
        </w:rPr>
        <w:t>4.</w:t>
      </w:r>
      <w:r w:rsidRPr="00C05C40">
        <w:rPr>
          <w:rFonts w:eastAsia="Times New Roman" w:cs="Times New Roman"/>
          <w:b/>
          <w:szCs w:val="24"/>
          <w:lang w:eastAsia="en-GB"/>
        </w:rPr>
        <w:tab/>
        <w:t xml:space="preserve">Competent Parliamentary Committee: </w:t>
      </w:r>
      <w:r w:rsidRPr="00C05C40">
        <w:rPr>
          <w:rFonts w:eastAsia="Times New Roman" w:cs="Times New Roman"/>
          <w:szCs w:val="24"/>
          <w:lang w:eastAsia="en-GB"/>
        </w:rPr>
        <w:t>N/A</w:t>
      </w:r>
    </w:p>
    <w:p w:rsidR="00C05C40" w:rsidRPr="00C05C40" w:rsidRDefault="00C05C40" w:rsidP="00C05C40">
      <w:pPr>
        <w:widowControl w:val="0"/>
        <w:spacing w:after="240" w:line="240" w:lineRule="auto"/>
        <w:jc w:val="both"/>
        <w:rPr>
          <w:rFonts w:eastAsia="Times New Roman" w:cs="Times New Roman"/>
          <w:b/>
          <w:szCs w:val="24"/>
          <w:lang w:eastAsia="en-GB"/>
        </w:rPr>
      </w:pPr>
      <w:r w:rsidRPr="00C05C40">
        <w:rPr>
          <w:rFonts w:eastAsia="Times New Roman" w:cs="Times New Roman"/>
          <w:b/>
          <w:szCs w:val="24"/>
          <w:lang w:eastAsia="en-GB"/>
        </w:rPr>
        <w:t>5.</w:t>
      </w:r>
      <w:r w:rsidRPr="00C05C40">
        <w:rPr>
          <w:rFonts w:eastAsia="Times New Roman" w:cs="Times New Roman"/>
          <w:b/>
          <w:szCs w:val="24"/>
          <w:lang w:eastAsia="en-GB"/>
        </w:rPr>
        <w:tab/>
        <w:t xml:space="preserve">Brief analysis/assessment of the resolution and requests made in it: </w:t>
      </w:r>
    </w:p>
    <w:p w:rsidR="00C05C40" w:rsidRPr="00C05C40" w:rsidRDefault="00C05C40" w:rsidP="00C05C40">
      <w:pPr>
        <w:widowControl w:val="0"/>
        <w:spacing w:after="120" w:line="240" w:lineRule="auto"/>
        <w:jc w:val="both"/>
        <w:rPr>
          <w:rFonts w:eastAsia="Times New Roman" w:cs="Times New Roman"/>
          <w:szCs w:val="24"/>
          <w:lang w:val="en-IE" w:eastAsia="en-GB"/>
        </w:rPr>
      </w:pPr>
      <w:r w:rsidRPr="00C05C40">
        <w:rPr>
          <w:rFonts w:eastAsia="Times New Roman" w:cs="Times New Roman"/>
          <w:szCs w:val="24"/>
          <w:lang w:eastAsia="en-GB"/>
        </w:rPr>
        <w:t xml:space="preserve">The text adopted in plenary was tabled by the EPP, S&amp;D, Renew, Greens/EFA, ECR and the Left groups. The resolution highlighted that the pandemic was the primary reason for the delay in the cohesion policy negotiations, which caused a subsequent delay in the adoption of the legislative framework for the funding period 2021-2027. The majority of the Member States seemed unable to speed up the preparation of the programming process. </w:t>
      </w:r>
      <w:r w:rsidRPr="00C05C40">
        <w:rPr>
          <w:rFonts w:eastAsia="Times New Roman" w:cs="Times New Roman"/>
          <w:szCs w:val="24"/>
          <w:lang w:val="en-IE" w:eastAsia="en-GB"/>
        </w:rPr>
        <w:t>Prioritising the preparation of the recovery and resilience plans, as well as REACT-EU programming, while necessary in the context of the COVID-19 pandemic, has inadvertently contributed to the delay.</w:t>
      </w:r>
      <w:r w:rsidRPr="00C05C40">
        <w:rPr>
          <w:rFonts w:eastAsia="Times New Roman" w:cs="Times New Roman"/>
          <w:szCs w:val="24"/>
          <w:lang w:eastAsia="en-GB"/>
        </w:rPr>
        <w:t xml:space="preserve"> </w:t>
      </w:r>
      <w:r w:rsidRPr="00C05C40">
        <w:rPr>
          <w:rFonts w:eastAsia="Times New Roman" w:cs="Times New Roman"/>
          <w:szCs w:val="24"/>
          <w:lang w:val="en-IE" w:eastAsia="en-GB"/>
        </w:rPr>
        <w:t>The resolution stressed that it is imperative to start the implementation of the new programmes as soon as adopted to strengthen economic, social and territorial cohesion in the EU.</w:t>
      </w:r>
      <w:r w:rsidRPr="00C05C40">
        <w:rPr>
          <w:rFonts w:eastAsia="Times New Roman" w:cs="Times New Roman"/>
          <w:szCs w:val="24"/>
          <w:lang w:eastAsia="en-GB"/>
        </w:rPr>
        <w:t xml:space="preserve"> </w:t>
      </w:r>
      <w:r w:rsidRPr="00C05C40">
        <w:rPr>
          <w:rFonts w:eastAsia="Times New Roman" w:cs="Times New Roman"/>
          <w:szCs w:val="24"/>
          <w:lang w:val="en-IE" w:eastAsia="en-GB"/>
        </w:rPr>
        <w:t>It called on the Commission to take full advantage of the possibilities in the Common Provisions Regulation for faster approval of Partnership Agreements and programmes.</w:t>
      </w:r>
      <w:r w:rsidRPr="00C05C40">
        <w:rPr>
          <w:rFonts w:eastAsia="Times New Roman" w:cs="Times New Roman"/>
          <w:szCs w:val="24"/>
          <w:lang w:eastAsia="en-GB"/>
        </w:rPr>
        <w:t xml:space="preserve"> </w:t>
      </w:r>
      <w:r w:rsidRPr="00C05C40">
        <w:rPr>
          <w:rFonts w:eastAsia="Times New Roman" w:cs="Times New Roman"/>
          <w:szCs w:val="24"/>
          <w:lang w:val="en-IE" w:eastAsia="en-GB"/>
        </w:rPr>
        <w:t>Parliament further called on the Commission to put forward a contingency plan to mitigate the risk of under-implementation and decommitments due to the late start of the programmes through a legislative proposal during the mid-term review and, if necessary, by means of a corresponding revision of the multiannual financial framework (MFF). The resolution underlined that the current delay in the implementation of the 2021-2027 cohesion policy programmes hinders Member States’ ability to react, in the context of Russia’s aggression against Ukraine, not only to the energy and supply crisis, but also to the refugee crisis in the medium and long term. While welcoming the additional measures offered by the Cohesion Action for Refugees in Europe - CARE proposal and the increased pre-financing to help Member States react to this humanitarian crisis, Parliament stressed that CARE and the use of REACT-EU funding might not be sufficient and encouraged the Commission to explore possibilities to use 2022 funds from the 2021-2027 programming period as well.</w:t>
      </w:r>
    </w:p>
    <w:p w:rsidR="00C05C40" w:rsidRPr="00C05C40" w:rsidRDefault="00C05C40" w:rsidP="00C05C40">
      <w:pPr>
        <w:widowControl w:val="0"/>
        <w:spacing w:after="120" w:line="240" w:lineRule="auto"/>
        <w:ind w:left="720" w:hanging="720"/>
        <w:jc w:val="both"/>
        <w:rPr>
          <w:rFonts w:eastAsia="Times New Roman" w:cs="Times New Roman"/>
          <w:b/>
          <w:szCs w:val="24"/>
          <w:lang w:eastAsia="en-GB"/>
        </w:rPr>
      </w:pPr>
      <w:r w:rsidRPr="00C05C40">
        <w:rPr>
          <w:rFonts w:eastAsia="Times New Roman" w:cs="Times New Roman"/>
          <w:b/>
          <w:szCs w:val="24"/>
          <w:lang w:eastAsia="en-GB"/>
        </w:rPr>
        <w:t>6.</w:t>
      </w:r>
      <w:r w:rsidRPr="00C05C40">
        <w:rPr>
          <w:rFonts w:eastAsia="Times New Roman" w:cs="Times New Roman"/>
          <w:b/>
          <w:szCs w:val="24"/>
          <w:lang w:eastAsia="en-GB"/>
        </w:rPr>
        <w:tab/>
        <w:t>Response to requests and overview of action taken, or intended to be taken, by the Commission:</w:t>
      </w:r>
    </w:p>
    <w:p w:rsidR="00C05C40" w:rsidRPr="00C05C40" w:rsidRDefault="00C05C40" w:rsidP="00C05C40">
      <w:pPr>
        <w:spacing w:after="120" w:line="240" w:lineRule="auto"/>
        <w:jc w:val="both"/>
        <w:rPr>
          <w:rFonts w:eastAsia="Calibri" w:cs="Times New Roman"/>
          <w:i/>
          <w:szCs w:val="24"/>
          <w:lang w:eastAsia="en-GB"/>
        </w:rPr>
      </w:pPr>
      <w:r w:rsidRPr="00C05C40">
        <w:rPr>
          <w:rFonts w:eastAsia="Calibri" w:cs="Times New Roman"/>
          <w:b/>
          <w:szCs w:val="24"/>
          <w:lang w:eastAsia="en-GB"/>
        </w:rPr>
        <w:t>Paragraphs 4 and 6</w:t>
      </w:r>
      <w:r w:rsidRPr="00C05C40">
        <w:rPr>
          <w:rFonts w:ascii="Courier New" w:eastAsia="Times New Roman" w:hAnsi="Courier New" w:cs="Times New Roman"/>
          <w:szCs w:val="20"/>
          <w:lang w:eastAsia="en-GB"/>
        </w:rPr>
        <w:t xml:space="preserve"> </w:t>
      </w:r>
      <w:r w:rsidRPr="00C05C40">
        <w:rPr>
          <w:rFonts w:eastAsia="Calibri" w:cs="Times New Roman"/>
          <w:i/>
          <w:szCs w:val="24"/>
          <w:lang w:eastAsia="en-GB"/>
        </w:rPr>
        <w:t>on adoption of Partnership Agreements and programmes</w:t>
      </w:r>
    </w:p>
    <w:p w:rsidR="00C05C40" w:rsidRPr="00C05C40" w:rsidRDefault="00C05C40" w:rsidP="00C05C40">
      <w:pPr>
        <w:spacing w:after="120" w:line="240" w:lineRule="auto"/>
        <w:jc w:val="both"/>
        <w:rPr>
          <w:rFonts w:eastAsia="Calibri" w:cs="Times New Roman"/>
          <w:szCs w:val="24"/>
          <w:lang w:eastAsia="en-GB"/>
        </w:rPr>
      </w:pPr>
      <w:r w:rsidRPr="00C05C40">
        <w:rPr>
          <w:rFonts w:eastAsia="Calibri" w:cs="Times New Roman"/>
          <w:szCs w:val="24"/>
          <w:lang w:eastAsia="en-GB"/>
        </w:rPr>
        <w:t xml:space="preserve">The Commission has set up adoption procedures to ensure swift review and approval of the Partnership Agreements and programmes in line with the regulatory requirements, while guaranteeing compliance, high quality and alignment with the objectives and priorities of cohesion policy. Once a Partnership Agreement or a programme is submitted formally, the Commission assesses the underlying documents without delay and proceeds with the adoption process as fast as possible, ensuring a balance between speed and high-quality content as a basis for the implementation of the 2021-2027 cohesion policy. The Commission works intensively with the Member States on the preparation of the programming documents, </w:t>
      </w:r>
      <w:r w:rsidRPr="00C05C40">
        <w:rPr>
          <w:rFonts w:eastAsia="Calibri" w:cs="Times New Roman"/>
          <w:szCs w:val="24"/>
          <w:lang w:eastAsia="en-GB"/>
        </w:rPr>
        <w:lastRenderedPageBreak/>
        <w:t>engaging in informal consultations before their formal submission to speed up the process as much as possible.</w:t>
      </w:r>
    </w:p>
    <w:p w:rsidR="00C05C40" w:rsidRPr="00C05C40" w:rsidRDefault="00C05C40" w:rsidP="00C05C40">
      <w:pPr>
        <w:spacing w:after="120" w:line="240" w:lineRule="auto"/>
        <w:jc w:val="both"/>
        <w:rPr>
          <w:rFonts w:eastAsia="Calibri" w:cs="Times New Roman"/>
          <w:szCs w:val="24"/>
          <w:lang w:eastAsia="en-GB"/>
        </w:rPr>
      </w:pPr>
      <w:r w:rsidRPr="00C05C40">
        <w:rPr>
          <w:rFonts w:eastAsia="Calibri" w:cs="Times New Roman"/>
          <w:b/>
          <w:szCs w:val="24"/>
          <w:lang w:eastAsia="en-GB"/>
        </w:rPr>
        <w:t>Paragraph 5</w:t>
      </w:r>
      <w:r w:rsidRPr="00C05C40">
        <w:rPr>
          <w:rFonts w:ascii="Courier New" w:eastAsia="Times New Roman" w:hAnsi="Courier New" w:cs="Times New Roman"/>
          <w:b/>
          <w:szCs w:val="20"/>
          <w:lang w:eastAsia="en-GB"/>
        </w:rPr>
        <w:t xml:space="preserve"> </w:t>
      </w:r>
      <w:r w:rsidRPr="00C05C40">
        <w:rPr>
          <w:rFonts w:eastAsia="Calibri" w:cs="Times New Roman"/>
          <w:i/>
          <w:szCs w:val="24"/>
          <w:lang w:eastAsia="en-GB"/>
        </w:rPr>
        <w:t>on principle of resource additionality with regard to the cohesion programmes and RRF</w:t>
      </w:r>
    </w:p>
    <w:p w:rsidR="00C05C40" w:rsidRPr="00C05C40" w:rsidRDefault="00C05C40" w:rsidP="00C05C40">
      <w:pPr>
        <w:spacing w:after="120" w:line="240" w:lineRule="auto"/>
        <w:jc w:val="both"/>
        <w:rPr>
          <w:rFonts w:eastAsia="Calibri" w:cs="Times New Roman"/>
          <w:szCs w:val="24"/>
          <w:lang w:eastAsia="en-GB"/>
        </w:rPr>
      </w:pPr>
      <w:r w:rsidRPr="00C05C40">
        <w:rPr>
          <w:rFonts w:eastAsia="Calibri" w:cs="Times New Roman"/>
          <w:szCs w:val="24"/>
          <w:lang w:eastAsia="en-GB"/>
        </w:rPr>
        <w:t>The Commission is carefully assessing that Member States respect the principle of additionality to maximise synergies and complementarities between investments under cohesion funds and the Recovery and Resilience Facility (RRF), while ensuring that there is no double funding. The timespan of the RRF extends to 31 August 2026, while cohesion projects under the 2021-2027 MFF can be implemented up to 31 December 2029.</w:t>
      </w:r>
    </w:p>
    <w:p w:rsidR="00C05C40" w:rsidRPr="00C05C40" w:rsidRDefault="00C05C40" w:rsidP="00C05C40">
      <w:pPr>
        <w:spacing w:after="120" w:line="240" w:lineRule="auto"/>
        <w:jc w:val="both"/>
        <w:rPr>
          <w:rFonts w:eastAsia="Calibri" w:cs="Times New Roman"/>
          <w:szCs w:val="24"/>
          <w:lang w:eastAsia="en-GB"/>
        </w:rPr>
      </w:pPr>
      <w:r w:rsidRPr="00C05C40">
        <w:rPr>
          <w:rFonts w:eastAsia="Calibri" w:cs="Times New Roman"/>
          <w:szCs w:val="24"/>
          <w:lang w:eastAsia="en-GB"/>
        </w:rPr>
        <w:t>In line with Articles 5(3) and 63(9) of the Common Provision Regulation (EU) 2021/1060 and Article 28 of the RRF Regulation (EU) 2021/24, the Commission assesses complementarities and synergies between EU funds and programmes, as well as the corresponding coordination mechanisms during the negotiation, assessment and adoption of both Partnership Agreements (following the requirement of Article 11(1)(b)(iii) of Regulation 2021/1060) and Recovery and Resilience Plans. For this purpose, the Commission established internal coordination procedures through inter-service consultations, which take place between relevant services of the Commission, during the adoption of each Recovery and Resilience Plan, Partnership Agreement and programme.</w:t>
      </w:r>
    </w:p>
    <w:p w:rsidR="00C05C40" w:rsidRPr="00C05C40" w:rsidRDefault="00C05C40" w:rsidP="00C05C40">
      <w:pPr>
        <w:spacing w:after="120" w:line="240" w:lineRule="auto"/>
        <w:jc w:val="both"/>
        <w:rPr>
          <w:rFonts w:eastAsia="Calibri" w:cs="Times New Roman"/>
          <w:szCs w:val="24"/>
          <w:highlight w:val="yellow"/>
          <w:lang w:eastAsia="en-GB"/>
        </w:rPr>
      </w:pPr>
      <w:r w:rsidRPr="00C05C40">
        <w:rPr>
          <w:rFonts w:eastAsia="Calibri" w:cs="Times New Roman"/>
          <w:szCs w:val="24"/>
          <w:lang w:eastAsia="en-GB"/>
        </w:rPr>
        <w:t>As regards the implementation of the programmes and plans, Article 9 of Regulation (EU) 2021/241 requests that the “</w:t>
      </w:r>
      <w:r w:rsidRPr="00C05C40">
        <w:rPr>
          <w:rFonts w:eastAsia="Calibri" w:cs="Times New Roman"/>
          <w:i/>
          <w:szCs w:val="24"/>
          <w:lang w:eastAsia="en-GB"/>
        </w:rPr>
        <w:t>support under the Facility shall be additional to the support provided under other Union programmes</w:t>
      </w:r>
      <w:r w:rsidRPr="00C05C40">
        <w:rPr>
          <w:rFonts w:eastAsia="Calibri" w:cs="Times New Roman"/>
          <w:szCs w:val="24"/>
          <w:lang w:eastAsia="en-GB"/>
        </w:rPr>
        <w:t>”, i.e. that reforms and investment projects may receive support from other programmes provided that such support does not cover the same cost. Consistent with the requirements set in Article 22(2)(d)(iv) of the same regulation, Member States are also required to collect and make available, throughout the implementation of their plans, “</w:t>
      </w:r>
      <w:r w:rsidRPr="00C05C40">
        <w:rPr>
          <w:rFonts w:eastAsia="Calibri" w:cs="Times New Roman"/>
          <w:i/>
          <w:szCs w:val="24"/>
          <w:lang w:eastAsia="en-GB"/>
        </w:rPr>
        <w:t>a list of any measures for the implementation of reforms and investment projects under the recovery and resilience plan with the total amount of public funding of those measures and indicating the amount of funds paid under the Facility and under other Union funds</w:t>
      </w:r>
      <w:r w:rsidRPr="00C05C40">
        <w:rPr>
          <w:rFonts w:eastAsia="Calibri" w:cs="Times New Roman"/>
          <w:szCs w:val="24"/>
          <w:lang w:eastAsia="en-GB"/>
        </w:rPr>
        <w:t>”.</w:t>
      </w:r>
      <w:r w:rsidRPr="00C05C40">
        <w:rPr>
          <w:rFonts w:eastAsia="Times New Roman" w:cs="Times New Roman"/>
          <w:color w:val="1F497D"/>
          <w:szCs w:val="24"/>
          <w:lang w:eastAsia="en-GB"/>
        </w:rPr>
        <w:t xml:space="preserve"> </w:t>
      </w:r>
      <w:r w:rsidRPr="00C05C40">
        <w:rPr>
          <w:rFonts w:eastAsia="Calibri" w:cs="Times New Roman"/>
          <w:szCs w:val="24"/>
          <w:lang w:eastAsia="en-GB"/>
        </w:rPr>
        <w:t xml:space="preserve">The Commission </w:t>
      </w:r>
      <w:r w:rsidRPr="00C05C40">
        <w:rPr>
          <w:rFonts w:eastAsia="Times New Roman" w:cs="Times New Roman"/>
          <w:szCs w:val="20"/>
          <w:lang w:val="en-US" w:eastAsia="en-GB"/>
        </w:rPr>
        <w:t xml:space="preserve">will ensure a joint approach to mitigate the risk of double funding between </w:t>
      </w:r>
      <w:r w:rsidRPr="00C05C40">
        <w:rPr>
          <w:rFonts w:eastAsia="Times New Roman" w:cs="Times New Roman"/>
          <w:szCs w:val="20"/>
          <w:lang w:eastAsia="en-GB"/>
        </w:rPr>
        <w:t>cohesion programmes and</w:t>
      </w:r>
      <w:r w:rsidRPr="00C05C40">
        <w:rPr>
          <w:rFonts w:eastAsia="Times New Roman" w:cs="Times New Roman"/>
          <w:szCs w:val="20"/>
          <w:lang w:val="en-US" w:eastAsia="en-GB"/>
        </w:rPr>
        <w:t xml:space="preserve"> the RRF and </w:t>
      </w:r>
      <w:r w:rsidRPr="00C05C40">
        <w:rPr>
          <w:rFonts w:eastAsia="Calibri" w:cs="Times New Roman"/>
          <w:szCs w:val="24"/>
          <w:lang w:eastAsia="en-GB"/>
        </w:rPr>
        <w:t>will pay utmost attention when carrying out audit work that no double funding takes place - both when assessing the management and control systems for the implementation of both sources of funding and during audits of individual operations.</w:t>
      </w:r>
    </w:p>
    <w:p w:rsidR="00C05C40" w:rsidRPr="00C05C40" w:rsidRDefault="00C05C40" w:rsidP="00C05C40">
      <w:pPr>
        <w:spacing w:after="120" w:line="240" w:lineRule="auto"/>
        <w:jc w:val="both"/>
        <w:rPr>
          <w:rFonts w:eastAsia="Calibri" w:cs="Times New Roman"/>
          <w:i/>
          <w:szCs w:val="24"/>
          <w:lang w:eastAsia="en-GB"/>
        </w:rPr>
      </w:pPr>
      <w:r w:rsidRPr="00C05C40">
        <w:rPr>
          <w:rFonts w:eastAsia="Calibri" w:cs="Times New Roman"/>
          <w:b/>
          <w:szCs w:val="24"/>
          <w:lang w:eastAsia="en-GB"/>
        </w:rPr>
        <w:t>Paragraph 7</w:t>
      </w:r>
      <w:r w:rsidRPr="00C05C40">
        <w:rPr>
          <w:rFonts w:eastAsia="Calibri" w:cs="Times New Roman"/>
          <w:szCs w:val="24"/>
          <w:lang w:eastAsia="en-GB"/>
        </w:rPr>
        <w:t xml:space="preserve"> </w:t>
      </w:r>
      <w:r w:rsidRPr="00C05C40">
        <w:rPr>
          <w:rFonts w:eastAsia="Calibri" w:cs="Times New Roman"/>
          <w:i/>
          <w:szCs w:val="24"/>
          <w:lang w:eastAsia="en-GB"/>
        </w:rPr>
        <w:t xml:space="preserve">on measures to facilitate the implementation of the programmes/timeline envisaged and </w:t>
      </w:r>
      <w:r w:rsidRPr="00C05C40">
        <w:rPr>
          <w:rFonts w:eastAsia="Calibri" w:cs="Times New Roman"/>
          <w:b/>
          <w:szCs w:val="24"/>
          <w:lang w:eastAsia="en-GB"/>
        </w:rPr>
        <w:t xml:space="preserve">Paragraph 8 </w:t>
      </w:r>
      <w:r w:rsidRPr="00C05C40">
        <w:rPr>
          <w:rFonts w:eastAsia="Calibri" w:cs="Times New Roman"/>
          <w:i/>
          <w:szCs w:val="24"/>
          <w:lang w:eastAsia="en-GB"/>
        </w:rPr>
        <w:t>on risk of under-implementation and decommitments</w:t>
      </w:r>
    </w:p>
    <w:p w:rsidR="00C05C40" w:rsidRPr="00C05C40" w:rsidRDefault="00C05C40" w:rsidP="00C05C40">
      <w:pPr>
        <w:spacing w:after="120" w:line="240" w:lineRule="auto"/>
        <w:jc w:val="both"/>
        <w:rPr>
          <w:rFonts w:eastAsia="Times New Roman" w:cs="Times New Roman"/>
          <w:szCs w:val="20"/>
          <w:lang w:eastAsia="en-GB"/>
        </w:rPr>
      </w:pPr>
      <w:r w:rsidRPr="00C05C40">
        <w:rPr>
          <w:rFonts w:eastAsia="Times New Roman" w:cs="Times New Roman"/>
          <w:szCs w:val="20"/>
          <w:lang w:eastAsia="en-GB"/>
        </w:rPr>
        <w:t xml:space="preserve">The Commission services work closely with Member States’ authorities on a continuous basis even before the formal adoption of the programme itself, in order to ensure a proper start of the implementation of the cohesion policy programmes and therefore to avoid future decommitments. Once the programme is adopted, the Commission participates in its monitoring and advisory capacity in the work of the programmes’ monitoring committees, which take place at least once per year. In case of any indication of issues hindering smooth implementation, it will provide advice to and cooperate with the Member State concerned until the issue is resolved. In addition, the submission of data to the Commission regarding the implementation of a programme is required more frequently than in the previous programming period – five times per year, which will provide the Commission almost real time data on the progress and allow it to step in as necessary. As in 2014-2020, action plans can be agreed with the Member States in case of slow implementation of (parts of) the programmes which is followed up on a continuous basis via meetings and written </w:t>
      </w:r>
      <w:r w:rsidRPr="00C05C40">
        <w:rPr>
          <w:rFonts w:eastAsia="Times New Roman" w:cs="Times New Roman"/>
          <w:szCs w:val="20"/>
          <w:lang w:eastAsia="en-GB"/>
        </w:rPr>
        <w:lastRenderedPageBreak/>
        <w:t>communication. In case the situation requires it, Member States may request an amendment of a programme to adjust for example its financial allocation among the affected objectives or, in case of modified priorities and needs, to divert the funding to another programme, within the regulatory limits and without jeopardising the goals of the programme and the thematic concentration requirements. Such an amendment may be envisaged, in case needed, also following the mid-term review by 31 March 2025, i.e. well in advance before the decommitment target for 2025.</w:t>
      </w:r>
    </w:p>
    <w:p w:rsidR="00C05C40" w:rsidRPr="00C05C40" w:rsidRDefault="00C05C40" w:rsidP="00C05C40">
      <w:pPr>
        <w:spacing w:after="120" w:line="240" w:lineRule="auto"/>
        <w:jc w:val="both"/>
        <w:rPr>
          <w:rFonts w:eastAsia="Times New Roman" w:cs="Times New Roman"/>
          <w:szCs w:val="20"/>
          <w:lang w:eastAsia="en-GB"/>
        </w:rPr>
      </w:pPr>
      <w:r w:rsidRPr="00C05C40">
        <w:rPr>
          <w:rFonts w:eastAsia="Times New Roman" w:cs="Times New Roman"/>
          <w:szCs w:val="20"/>
          <w:lang w:eastAsia="en-GB"/>
        </w:rPr>
        <w:t>Expenditure is eligible as of 1 January 2021, and currently ongoing projects may be eligible for funding once the relevant programme is approved, if the final text of the programmes and the regulatory requirements for eligibility so allow and as long as the operations have not been physically completed or fully implemented before the application for funding is submitted. In that respect, Member States can prepare a stable project pipeline even before the programme adoption, which would mitigate decommitment pressures in 2025 and later.</w:t>
      </w:r>
    </w:p>
    <w:p w:rsidR="00C05C40" w:rsidRPr="00C05C40" w:rsidRDefault="00C05C40" w:rsidP="00C05C40">
      <w:pPr>
        <w:spacing w:after="120" w:line="240" w:lineRule="auto"/>
        <w:jc w:val="both"/>
        <w:rPr>
          <w:rFonts w:eastAsia="Calibri" w:cs="Times New Roman"/>
          <w:szCs w:val="24"/>
          <w:lang w:eastAsia="en-GB"/>
        </w:rPr>
      </w:pPr>
      <w:r w:rsidRPr="00C05C40">
        <w:rPr>
          <w:rFonts w:eastAsia="Calibri" w:cs="Times New Roman"/>
          <w:szCs w:val="24"/>
          <w:lang w:eastAsia="en-GB"/>
        </w:rPr>
        <w:t>Given that there is still over three and a half years until the first decommitment deadline for the 2021-2027 cohesion policy programmes, it is considered premature to consider mitigation measures at this stage, while the Commission is committed to analyses the implementation situation and the risks of decommitment on a continuous basis to respond to developments as necessary.</w:t>
      </w:r>
    </w:p>
    <w:p w:rsidR="00C05C40" w:rsidRPr="00C05C40" w:rsidRDefault="00C05C40" w:rsidP="00C05C40">
      <w:pPr>
        <w:spacing w:after="120" w:line="240" w:lineRule="auto"/>
        <w:jc w:val="both"/>
        <w:rPr>
          <w:rFonts w:eastAsia="Calibri" w:cs="Times New Roman"/>
          <w:szCs w:val="24"/>
          <w:lang w:eastAsia="en-GB"/>
        </w:rPr>
      </w:pPr>
      <w:r w:rsidRPr="00C05C40">
        <w:rPr>
          <w:rFonts w:eastAsia="Calibri" w:cs="Times New Roman"/>
          <w:szCs w:val="24"/>
          <w:lang w:eastAsia="en-GB"/>
        </w:rPr>
        <w:t>Introducing changes to the legal basis at the beginning of the programming period and in the new 2021-2027 Common Provisions Regulation may, by contrast, create legal uncertainty and risk further programming delays, especially where such changes concern extension of legal deadlines.</w:t>
      </w:r>
    </w:p>
    <w:p w:rsidR="00C05C40" w:rsidRPr="00C05C40" w:rsidRDefault="00C05C40" w:rsidP="00C05C40">
      <w:pPr>
        <w:spacing w:after="120" w:line="240" w:lineRule="auto"/>
        <w:jc w:val="both"/>
        <w:rPr>
          <w:rFonts w:eastAsia="Calibri" w:cs="Times New Roman"/>
          <w:i/>
          <w:szCs w:val="24"/>
          <w:lang w:eastAsia="en-GB"/>
        </w:rPr>
      </w:pPr>
      <w:r w:rsidRPr="00C05C40">
        <w:rPr>
          <w:rFonts w:eastAsia="Calibri" w:cs="Times New Roman"/>
          <w:b/>
          <w:szCs w:val="24"/>
          <w:lang w:eastAsia="en-GB"/>
        </w:rPr>
        <w:t xml:space="preserve">Paragraph 9 </w:t>
      </w:r>
      <w:r w:rsidRPr="00C05C40">
        <w:rPr>
          <w:rFonts w:eastAsia="Calibri" w:cs="Times New Roman"/>
          <w:i/>
          <w:szCs w:val="24"/>
          <w:lang w:eastAsia="en-GB"/>
        </w:rPr>
        <w:t>on possible use of 2022 funds under the current funding period, which might be decommitted due to delays in programming, for CARE II, in order to ensure continued care for refugees</w:t>
      </w:r>
    </w:p>
    <w:p w:rsidR="00C05C40" w:rsidRPr="00C05C40" w:rsidRDefault="00C05C40" w:rsidP="00C05C40">
      <w:pPr>
        <w:spacing w:after="120" w:line="240" w:lineRule="auto"/>
        <w:jc w:val="both"/>
        <w:rPr>
          <w:rFonts w:eastAsia="Calibri" w:cs="Times New Roman"/>
          <w:szCs w:val="24"/>
          <w:lang w:eastAsia="en-GB"/>
        </w:rPr>
      </w:pPr>
      <w:r w:rsidRPr="00C05C40">
        <w:rPr>
          <w:rFonts w:eastAsia="Calibri" w:cs="Times New Roman"/>
          <w:szCs w:val="24"/>
          <w:lang w:eastAsia="en-GB"/>
        </w:rPr>
        <w:t>The Commission encourages the Member States to use the flexibilities and funding opportunities under the latest CARE and REACT-EU legislative changes adopted by the co-legislators to assist Member State in handling the current refugee and humanitarian situation with cohesion funding. In addition, measures to support refugees and marginalised groups– in the area of social inclusion, housing, healthcare, education, training etc. – may be eligible for support under the 2021-2027 legal framework. The Commission considers that together with the Member States the risks of decommitment can be minimised, taking into account the above measures – creation of stable project pipelines, continuous monitoring of the progress, action plans and possibly programme amendments. In addition, 2025 is the first year in which the decommitment rule will apply for 2022 allocations.</w:t>
      </w:r>
    </w:p>
    <w:p w:rsidR="00F36993" w:rsidRDefault="00F36993"/>
    <w:sectPr w:rsidR="00F3699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06F" w:rsidRDefault="00E5406F" w:rsidP="00E5406F">
      <w:pPr>
        <w:spacing w:after="0" w:line="240" w:lineRule="auto"/>
      </w:pPr>
      <w:r>
        <w:separator/>
      </w:r>
    </w:p>
  </w:endnote>
  <w:endnote w:type="continuationSeparator" w:id="0">
    <w:p w:rsidR="00E5406F" w:rsidRDefault="00E5406F" w:rsidP="00E54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06F" w:rsidRDefault="00E54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2847931"/>
      <w:docPartObj>
        <w:docPartGallery w:val="Page Numbers (Bottom of Page)"/>
        <w:docPartUnique/>
      </w:docPartObj>
    </w:sdtPr>
    <w:sdtEndPr>
      <w:rPr>
        <w:noProof/>
      </w:rPr>
    </w:sdtEndPr>
    <w:sdtContent>
      <w:p w:rsidR="00E5406F" w:rsidRDefault="00E5406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E5406F" w:rsidRDefault="00E54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06F" w:rsidRDefault="00E540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06F" w:rsidRDefault="00E5406F" w:rsidP="00E5406F">
      <w:pPr>
        <w:spacing w:after="0" w:line="240" w:lineRule="auto"/>
      </w:pPr>
      <w:r>
        <w:separator/>
      </w:r>
    </w:p>
  </w:footnote>
  <w:footnote w:type="continuationSeparator" w:id="0">
    <w:p w:rsidR="00E5406F" w:rsidRDefault="00E5406F" w:rsidP="00E54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06F" w:rsidRDefault="00E54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06F" w:rsidRDefault="00E54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06F" w:rsidRDefault="00E540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C40"/>
    <w:rsid w:val="000F15F1"/>
    <w:rsid w:val="001E37D4"/>
    <w:rsid w:val="00512EE8"/>
    <w:rsid w:val="0065281F"/>
    <w:rsid w:val="0076069D"/>
    <w:rsid w:val="00815B75"/>
    <w:rsid w:val="008342CE"/>
    <w:rsid w:val="0095347B"/>
    <w:rsid w:val="00AF5B02"/>
    <w:rsid w:val="00C05C40"/>
    <w:rsid w:val="00E5406F"/>
    <w:rsid w:val="00EF1DA5"/>
    <w:rsid w:val="00F36993"/>
    <w:rsid w:val="00FF26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F7782E-D38E-485C-A312-D3571DA57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0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06F"/>
  </w:style>
  <w:style w:type="paragraph" w:styleId="Footer">
    <w:name w:val="footer"/>
    <w:basedOn w:val="Normal"/>
    <w:link w:val="FooterChar"/>
    <w:uiPriority w:val="99"/>
    <w:unhideWhenUsed/>
    <w:rsid w:val="00E540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1527</Words>
  <Characters>8552</Characters>
  <Application>Microsoft Office Word</Application>
  <DocSecurity>0</DocSecurity>
  <Lines>125</Lines>
  <Paragraphs>24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BIANCHIN Raffaella (SG)</dc:creator>
  <cp:keywords/>
  <dc:description/>
  <cp:lastModifiedBy>BIANCHIN Raffaella (SG)</cp:lastModifiedBy>
  <cp:revision>2</cp:revision>
  <dcterms:created xsi:type="dcterms:W3CDTF">2022-06-14T12:12:00Z</dcterms:created>
  <dcterms:modified xsi:type="dcterms:W3CDTF">2022-06-16T08:40:00Z</dcterms:modified>
</cp:coreProperties>
</file>