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C40" w:rsidRPr="00C05C40" w:rsidRDefault="00C05C40" w:rsidP="00C05C40">
      <w:pPr>
        <w:spacing w:after="600" w:line="240" w:lineRule="auto"/>
        <w:jc w:val="center"/>
        <w:rPr>
          <w:rFonts w:eastAsia="Times New Roman" w:cs="Times New Roman"/>
          <w:b/>
          <w:bCs/>
          <w:szCs w:val="24"/>
        </w:rPr>
      </w:pPr>
      <w:bookmarkStart w:id="0" w:name="_GoBack"/>
      <w:bookmarkEnd w:id="0"/>
      <w:r>
        <w:rPr>
          <w:b/>
        </w:rPr>
        <w:t>Suite donnée à la résolution non législative du Parlement européen sur le</w:t>
      </w:r>
      <w:r>
        <w:t xml:space="preserve"> </w:t>
      </w:r>
      <w:r>
        <w:rPr>
          <w:b/>
        </w:rPr>
        <w:t xml:space="preserve">début de la mise en œuvre de la politique de cohésion 2021-2027 </w:t>
      </w:r>
    </w:p>
    <w:p w:rsidR="00C05C40" w:rsidRPr="00C05C40" w:rsidRDefault="00C05C40" w:rsidP="00C05C40">
      <w:pPr>
        <w:spacing w:after="240" w:line="240" w:lineRule="auto"/>
        <w:ind w:left="720" w:hanging="720"/>
        <w:jc w:val="both"/>
        <w:rPr>
          <w:rFonts w:eastAsia="Times New Roman" w:cs="Times New Roman"/>
          <w:b/>
          <w:szCs w:val="24"/>
        </w:rPr>
      </w:pPr>
      <w:r>
        <w:rPr>
          <w:b/>
        </w:rPr>
        <w:t>1.</w:t>
      </w:r>
      <w:r>
        <w:tab/>
      </w:r>
      <w:r>
        <w:rPr>
          <w:b/>
        </w:rPr>
        <w:t>Résolution présentée conformément à l’article 136, paragraphe 1, du règlement intérieur du Parlement européen</w:t>
      </w:r>
    </w:p>
    <w:p w:rsidR="00C05C40" w:rsidRPr="00C05C40" w:rsidRDefault="00C05C40" w:rsidP="00C05C40">
      <w:pPr>
        <w:spacing w:after="240" w:line="240" w:lineRule="auto"/>
        <w:jc w:val="both"/>
        <w:rPr>
          <w:rFonts w:eastAsia="Times New Roman" w:cs="Times New Roman"/>
          <w:i/>
          <w:szCs w:val="24"/>
        </w:rPr>
      </w:pPr>
      <w:r>
        <w:rPr>
          <w:b/>
        </w:rPr>
        <w:t>2.</w:t>
      </w:r>
      <w:r>
        <w:tab/>
      </w:r>
      <w:r>
        <w:rPr>
          <w:b/>
        </w:rPr>
        <w:t xml:space="preserve">Numéro de référence: </w:t>
      </w:r>
      <w:r>
        <w:t>2022/2527 (RSP)/B9-0173/2022/P9_TA (2022) 0113</w:t>
      </w:r>
    </w:p>
    <w:p w:rsidR="00C05C40" w:rsidRPr="00C05C40" w:rsidRDefault="00C05C40" w:rsidP="00C05C40">
      <w:pPr>
        <w:spacing w:after="240" w:line="240" w:lineRule="auto"/>
        <w:jc w:val="both"/>
        <w:rPr>
          <w:rFonts w:eastAsia="Times New Roman" w:cs="Times New Roman"/>
          <w:szCs w:val="24"/>
        </w:rPr>
      </w:pPr>
      <w:r>
        <w:rPr>
          <w:b/>
        </w:rPr>
        <w:t>3.</w:t>
      </w:r>
      <w:r>
        <w:tab/>
      </w:r>
      <w:r>
        <w:rPr>
          <w:b/>
        </w:rPr>
        <w:t>Date d'adoption de la résolution</w:t>
      </w:r>
      <w:r>
        <w:t xml:space="preserve"> 7 avril 2022</w:t>
      </w:r>
    </w:p>
    <w:p w:rsidR="00C05C40" w:rsidRPr="00C05C40" w:rsidRDefault="00C05C40" w:rsidP="00C05C40">
      <w:pPr>
        <w:spacing w:after="240" w:line="240" w:lineRule="auto"/>
        <w:jc w:val="both"/>
        <w:rPr>
          <w:rFonts w:eastAsia="Times New Roman" w:cs="Times New Roman"/>
          <w:i/>
          <w:szCs w:val="24"/>
        </w:rPr>
      </w:pPr>
      <w:r>
        <w:rPr>
          <w:b/>
        </w:rPr>
        <w:t>4.</w:t>
      </w:r>
      <w:r>
        <w:tab/>
      </w:r>
      <w:r>
        <w:rPr>
          <w:b/>
        </w:rPr>
        <w:t xml:space="preserve">Commission parlementaire compétente </w:t>
      </w:r>
      <w:r>
        <w:t>néant</w:t>
      </w:r>
    </w:p>
    <w:p w:rsidR="00C05C40" w:rsidRPr="00C05C40" w:rsidRDefault="00C05C40" w:rsidP="00C05C40">
      <w:pPr>
        <w:widowControl w:val="0"/>
        <w:spacing w:after="240" w:line="240" w:lineRule="auto"/>
        <w:jc w:val="both"/>
        <w:rPr>
          <w:rFonts w:eastAsia="Times New Roman" w:cs="Times New Roman"/>
          <w:b/>
          <w:szCs w:val="24"/>
        </w:rPr>
      </w:pPr>
      <w:r>
        <w:rPr>
          <w:b/>
        </w:rPr>
        <w:t>5.</w:t>
      </w:r>
      <w:r>
        <w:tab/>
      </w:r>
      <w:r>
        <w:rPr>
          <w:b/>
        </w:rPr>
        <w:t xml:space="preserve">Analyse/évaluation succincte de la résolution et des demandes qu’elle contient: </w:t>
      </w:r>
    </w:p>
    <w:p w:rsidR="00C05C40" w:rsidRPr="00C05C40" w:rsidRDefault="00C05C40" w:rsidP="00C05C40">
      <w:pPr>
        <w:widowControl w:val="0"/>
        <w:spacing w:after="120" w:line="240" w:lineRule="auto"/>
        <w:jc w:val="both"/>
        <w:rPr>
          <w:rFonts w:eastAsia="Times New Roman" w:cs="Times New Roman"/>
          <w:szCs w:val="24"/>
        </w:rPr>
      </w:pPr>
      <w:r>
        <w:t>Le texte adopté en session plénière a été déposé par les groupes PPE, S&amp;D, Renew, Verts/ALE, ECR et The Left. Dans la résolution, le Parlement européen souligne que la pandémie a été la principale raison du retard dans les négociations sur la politique de cohésion, qui a entraîné un retard ultérieur dans l’adoption du cadre législatif pour la période de financement 2021-2027. La majorité des États membres ne semblaient pas en mesure d’accélérer la préparation du processus de programmation. La priorité accordée à la préparation des plans pour la reprise et la résilience ainsi qu’à la programmation de REACT-EU, tout en étant nécessaire dans le contexte de la pandémie de COVID-19, a contribué par inadvertance au retard. Dans la résolution, le Parlement européen insiste sur le fait qu’il est impératif de commencer à mettre en œuvre les nouveaux programmes dès leur adoption afin de renforcer la cohésion économique, sociale et territoriale dans l’Union. Il invite la Commission à tirer pleinement parti des possibilités offertes par le règlement portant dispositions communes pour accélérer l’approbation des accords de partenariat et des programmes. Le Parlement appelle en outre la Commission à présenter un plan d’urgence pour atténuer le risque de sous-exécution et de dégagements en raison du démarrage tardif des programmes au moyen d’une proposition législative lors de l’examen à mi-parcours et, si nécessaire, d’une révision correspondante du cadre financier pluriannuel (CFF). Dans la résolution, il souligne que le retard actuel dans la mise en œuvre des programmes de la politique de cohésion pour la période 2021-2027 entrave la capacité des États membres à réagir, dans le contexte de l’agression de la Russie contre l’Ukraine, non seulement à la crise de l’énergie et de l’approvisionnement, mais aussi à la crise des réfugiés à moyen et à long terme. Tout en se félicitant des mesures supplémentaires offertes par la proposition d’une action de cohésion pour les réfugiés en Europe (CARE) et de l’augmentation du préfinancement, qui contribueront à accroître la capacité des États membres à réagir à cette crise humanitaire, le Parlement souligne que CARE et l’utilisation du financement au titre de REACT-EU pourraient ne pas être suffisantes et encourage la Commission à vérifier s’il serait possible d’utiliser aussi les fonds 2022 au titre de la période de financement 2021-2027.</w:t>
      </w:r>
    </w:p>
    <w:p w:rsidR="00C05C40" w:rsidRPr="00C05C40" w:rsidRDefault="00C05C40" w:rsidP="00C05C40">
      <w:pPr>
        <w:widowControl w:val="0"/>
        <w:spacing w:after="120" w:line="240" w:lineRule="auto"/>
        <w:ind w:left="720" w:hanging="720"/>
        <w:jc w:val="both"/>
        <w:rPr>
          <w:rFonts w:eastAsia="Times New Roman" w:cs="Times New Roman"/>
          <w:b/>
          <w:szCs w:val="24"/>
        </w:rPr>
      </w:pPr>
      <w:r>
        <w:rPr>
          <w:b/>
        </w:rPr>
        <w:t>6.</w:t>
      </w:r>
      <w:r>
        <w:tab/>
      </w:r>
      <w:r>
        <w:rPr>
          <w:b/>
        </w:rPr>
        <w:t>Réponse à ces demandes et aperçu des mesures que la Commission a prises ou envisage de prendre</w:t>
      </w:r>
    </w:p>
    <w:p w:rsidR="00C05C40" w:rsidRPr="00C05C40" w:rsidRDefault="00C05C40" w:rsidP="00C05C40">
      <w:pPr>
        <w:spacing w:after="120" w:line="240" w:lineRule="auto"/>
        <w:jc w:val="both"/>
        <w:rPr>
          <w:rFonts w:eastAsia="Calibri" w:cs="Times New Roman"/>
          <w:i/>
          <w:szCs w:val="24"/>
        </w:rPr>
      </w:pPr>
      <w:r>
        <w:rPr>
          <w:b/>
        </w:rPr>
        <w:t>Points 4 et 6</w:t>
      </w:r>
      <w:r>
        <w:t xml:space="preserve"> </w:t>
      </w:r>
      <w:r>
        <w:rPr>
          <w:i/>
        </w:rPr>
        <w:t>sur l’adoption des accords de partenariat et des programmes</w:t>
      </w:r>
    </w:p>
    <w:p w:rsidR="00C05C40" w:rsidRPr="00C05C40" w:rsidRDefault="00C05C40" w:rsidP="00C05C40">
      <w:pPr>
        <w:spacing w:after="120" w:line="240" w:lineRule="auto"/>
        <w:jc w:val="both"/>
        <w:rPr>
          <w:rFonts w:eastAsia="Calibri" w:cs="Times New Roman"/>
          <w:szCs w:val="24"/>
        </w:rPr>
      </w:pPr>
      <w:r>
        <w:t xml:space="preserve">La Commission a mis en place des procédures d’adoption pour garantir un réexamen et une approbation rapides des accords de partenariat et des programmes conformément aux exigences réglementaires, tout en garantissant le respect, la qualité élevée et l’alignement sur les objectifs et les priorités de la politique de cohésion. Dès qu’un accord de partenariat ou un </w:t>
      </w:r>
      <w:r>
        <w:lastRenderedPageBreak/>
        <w:t>programme est officiellement présenté, la Commission évalue sans délai les documents sous-jacents et engage le processus d’adoption le plus rapidement possible, en veillant à ménager un équilibre entre rapidité et qualité de contenu comme base pour la mise en œuvre de la politique de cohésion 2021-2027. La Commission travaille activement avec les États membres à la préparation des documents de programmation, en engageant des consultations informelles avant leur présentation formelle afin d’accélérer autant que possible le processus.</w:t>
      </w:r>
    </w:p>
    <w:p w:rsidR="00C05C40" w:rsidRPr="00C05C40" w:rsidRDefault="00C05C40" w:rsidP="00C05C40">
      <w:pPr>
        <w:spacing w:after="120" w:line="240" w:lineRule="auto"/>
        <w:jc w:val="both"/>
        <w:rPr>
          <w:rFonts w:eastAsia="Calibri" w:cs="Times New Roman"/>
          <w:szCs w:val="24"/>
        </w:rPr>
      </w:pPr>
      <w:r>
        <w:rPr>
          <w:b/>
        </w:rPr>
        <w:t>Point 5</w:t>
      </w:r>
      <w:r>
        <w:t xml:space="preserve"> </w:t>
      </w:r>
      <w:r>
        <w:rPr>
          <w:i/>
        </w:rPr>
        <w:t>sur le principe d’additionnalité des ressources en ce qui concerne les programmes de cohésion et la FRR</w:t>
      </w:r>
    </w:p>
    <w:p w:rsidR="00C05C40" w:rsidRPr="00C05C40" w:rsidRDefault="00C05C40" w:rsidP="00C05C40">
      <w:pPr>
        <w:spacing w:after="120" w:line="240" w:lineRule="auto"/>
        <w:jc w:val="both"/>
        <w:rPr>
          <w:rFonts w:eastAsia="Calibri" w:cs="Times New Roman"/>
          <w:szCs w:val="24"/>
        </w:rPr>
      </w:pPr>
      <w:r>
        <w:t>La Commission évalue attentivement le respect, par les États membres, du principe d’additionnalité afin de maximiser les synergies et les complémentarités entre les investissements au titre des fonds de cohésion et la facilité pour la reprise et la résilience (FRR), tout en veillant à ce qu’il n’y ait pas de double financement. La période couverte par la FRR s’étend jusqu’au 31 août 2026, tandis que les projets de cohésion relevant du CFP 2021-2027 peuvent être mis en œuvre jusqu’au 31 décembre 2029.</w:t>
      </w:r>
    </w:p>
    <w:p w:rsidR="00C05C40" w:rsidRPr="00C05C40" w:rsidRDefault="00C05C40" w:rsidP="00C05C40">
      <w:pPr>
        <w:spacing w:after="120" w:line="240" w:lineRule="auto"/>
        <w:jc w:val="both"/>
        <w:rPr>
          <w:rFonts w:eastAsia="Calibri" w:cs="Times New Roman"/>
          <w:szCs w:val="24"/>
        </w:rPr>
      </w:pPr>
      <w:r>
        <w:t>Conformément à l’article 5, paragraphe 3, et à l’article 63, paragraphe 9, du règlement (UE) 2021/1060 portant dispositions communes et à l’article 28 du règlement (UE) 2021/24 relatif à la facilité pour la reprise et la résilience, la Commission évalue les complémentarités et les synergies entre les fonds et les programmes de l’UE, ainsi que les mécanismes de coordination correspondants lors de la négociation, de l’évaluation et de l’adoption tant des accords de partenariat [conformément à l’exigence de l’article 11, paragraphe 1, point b) iii), du règlement 2021/1060] que des plans pour la reprise et la résilience. À cette fin, la Commission a établi des procédures de coordination interne au moyen de consultations interservices, qui ont lieu entre les services compétents de la Commission, au cours de l’adoption de chaque plan pour la reprise et la résilience, chaque accord de partenariat et chaque programme.</w:t>
      </w:r>
    </w:p>
    <w:p w:rsidR="00C05C40" w:rsidRPr="00C05C40" w:rsidRDefault="00C05C40" w:rsidP="00C05C40">
      <w:pPr>
        <w:spacing w:after="120" w:line="240" w:lineRule="auto"/>
        <w:jc w:val="both"/>
        <w:rPr>
          <w:rFonts w:eastAsia="Calibri" w:cs="Times New Roman"/>
          <w:szCs w:val="24"/>
          <w:highlight w:val="yellow"/>
        </w:rPr>
      </w:pPr>
      <w:r>
        <w:t xml:space="preserve">En ce qui concerne la mise en œuvre des programmes et plans, l’article 9 du règlement (UE) 2021/241 dispose que «[l] </w:t>
      </w:r>
      <w:r>
        <w:rPr>
          <w:i/>
        </w:rPr>
        <w:t>e soutien apporté au titre de la facilité s'ajoute au soutien apporté au titre d'autres programmes</w:t>
      </w:r>
      <w:r>
        <w:t xml:space="preserve"> [...]</w:t>
      </w:r>
      <w:r>
        <w:rPr>
          <w:i/>
        </w:rPr>
        <w:t xml:space="preserve"> de l'Union</w:t>
      </w:r>
      <w:r>
        <w:t>», c’est-à-dire que les réformes et les projets d’investissement peuvent bénéficier d’un soutien au titre d’autres programmes, pour autant que ce soutien ne couvre pas les mêmes coûts. Conformément aux exigences énoncées à l’article 22, paragraphe 2, point d) iv), du même règlement, les États membres sont également tenus de recueillir et de mettre à disposition, tout au long de la mise en œuvre de leurs plans, «</w:t>
      </w:r>
      <w:r>
        <w:rPr>
          <w:i/>
        </w:rPr>
        <w:t>une liste de toutes les mesures de mise en œuvre des réformes et des projets d’investissement au titre du plan pour la reprise et la résilience, avec le montant total du financement public de ces mesures et en indiquant le montant des fonds versés au titre de la facilité et d'autres Fonds de l'Union</w:t>
      </w:r>
      <w:r>
        <w:t>».</w:t>
      </w:r>
      <w:r>
        <w:rPr>
          <w:color w:val="1F497D"/>
        </w:rPr>
        <w:t xml:space="preserve"> </w:t>
      </w:r>
      <w:r>
        <w:t>La Commission assurera une approche conjointe pour atténuer le risque de double financement entre les programmes de cohésion et la FRR et accordera la plus grande attention, lors des travaux d’audit, à l’absence de double financement, tant lors de l’évaluation des systèmes de gestion et de contrôle pour la mise en œuvre des deux sources de financement que lors des audits des différentes opérations.</w:t>
      </w:r>
    </w:p>
    <w:p w:rsidR="00C05C40" w:rsidRPr="00C05C40" w:rsidRDefault="00C05C40" w:rsidP="00C05C40">
      <w:pPr>
        <w:spacing w:after="120" w:line="240" w:lineRule="auto"/>
        <w:jc w:val="both"/>
        <w:rPr>
          <w:rFonts w:eastAsia="Calibri" w:cs="Times New Roman"/>
          <w:i/>
          <w:szCs w:val="24"/>
        </w:rPr>
      </w:pPr>
      <w:r>
        <w:rPr>
          <w:b/>
        </w:rPr>
        <w:t>Point 7</w:t>
      </w:r>
      <w:r>
        <w:t xml:space="preserve"> </w:t>
      </w:r>
      <w:r>
        <w:rPr>
          <w:i/>
        </w:rPr>
        <w:t>sur les mesures destinées à faciliter la mise en œuvre des programmes, ainsi que le calendrier envisagé, et</w:t>
      </w:r>
      <w:r>
        <w:t xml:space="preserve"> </w:t>
      </w:r>
      <w:r>
        <w:rPr>
          <w:b/>
        </w:rPr>
        <w:t>point 8</w:t>
      </w:r>
      <w:r>
        <w:t xml:space="preserve"> </w:t>
      </w:r>
      <w:r>
        <w:rPr>
          <w:i/>
        </w:rPr>
        <w:t>sur le risque de sous-exécution et de dégagements</w:t>
      </w:r>
    </w:p>
    <w:p w:rsidR="00C05C40" w:rsidRPr="00C05C40" w:rsidRDefault="00C05C40" w:rsidP="00C05C40">
      <w:pPr>
        <w:spacing w:after="120" w:line="240" w:lineRule="auto"/>
        <w:jc w:val="both"/>
        <w:rPr>
          <w:rFonts w:eastAsia="Times New Roman" w:cs="Times New Roman"/>
          <w:szCs w:val="20"/>
        </w:rPr>
      </w:pPr>
      <w:r>
        <w:t xml:space="preserve">Les services de la Commission travaillent en étroite collaboration avec les autorités des États membres sur une base continue avant même l’adoption formelle du programme proprement dit, afin d’assurer un bon démarrage de la mise en œuvre des programmes relevant de la politique de cohésion et, partant, d’éviter de futurs dégagements. Une fois le programme adopté, la Commission participe, en sa qualité d’organe de surveillance et de conseil, aux </w:t>
      </w:r>
      <w:r>
        <w:lastRenderedPageBreak/>
        <w:t>travaux des comités de suivi des programmes, qui ont lieu au moins une fois par an. En cas d’indication de problèmes entravant la bonne mise en œuvre, elle conseillera l’État membre concerné et coopérera avec lui jusqu’à ce que le problème soit résolu. En outre, la transmission à la Commission de données relatives à la mise en œuvre d’un programme est plus fréquente que lors de la période de programmation précédente – cinq fois par an, ce qui fournira à la Commission des données en temps quasi réel sur les progrès accomplis et lui permettra d’intervenir en tant que de besoin. Comme pour la période 2014-2020, des plans d’action peuvent être convenus avec les États membres en cas de lenteur dans la mise en œuvre des (parties de) programmes, qui fait l’objet d’un suivi continu au moyen de réunions et d’une communication écrite. Si la situation l’exige, les États membres peuvent demander une modification d’un programme afin, par exemple, d’ajuster sa dotation financière entre les objectifs concernés ou, en cas de modification des priorités et des besoins, de réorienter le financement vers un autre programme, dans les limites réglementaires et sans compromettre les objectifs du programme et les exigences en matière de concentration thématique. Une telle modification peut être envisagée, s’il y a lieu, également à la suite de l’examen à mi-parcours au plus tard le 31 mars 2025, c’est-à-dire bien à l’avance avant l’objectif de dégagement pour 2025.</w:t>
      </w:r>
    </w:p>
    <w:p w:rsidR="00C05C40" w:rsidRPr="00C05C40" w:rsidRDefault="00C05C40" w:rsidP="00C05C40">
      <w:pPr>
        <w:spacing w:after="120" w:line="240" w:lineRule="auto"/>
        <w:jc w:val="both"/>
        <w:rPr>
          <w:rFonts w:eastAsia="Times New Roman" w:cs="Times New Roman"/>
          <w:szCs w:val="20"/>
        </w:rPr>
      </w:pPr>
      <w:r>
        <w:t>Les dépenses sont éligibles à partir du 1</w:t>
      </w:r>
      <w:r>
        <w:rPr>
          <w:vertAlign w:val="superscript"/>
        </w:rPr>
        <w:t>er</w:t>
      </w:r>
      <w:r>
        <w:t> janvier 2021 et les projets en cours peuvent être éligibles à un financement une fois le programme concerné approuvé, si le texte final des programmes et les conditions réglementaires d’éligibilité le permettent et tant que les opérations n’ont pas été matériellement achevées ou entièrement mises en œuvre avant la présentation de la demande de financement. À cet égard, les États membres peuvent préparer une réserve de projets stable avant même l’adoption du programme, ce qui atténuerait les pressions de dégagement en 2025 et plus tard.</w:t>
      </w:r>
    </w:p>
    <w:p w:rsidR="00C05C40" w:rsidRPr="00C05C40" w:rsidRDefault="00C05C40" w:rsidP="00C05C40">
      <w:pPr>
        <w:spacing w:after="120" w:line="240" w:lineRule="auto"/>
        <w:jc w:val="both"/>
        <w:rPr>
          <w:rFonts w:eastAsia="Calibri" w:cs="Times New Roman"/>
          <w:szCs w:val="24"/>
        </w:rPr>
      </w:pPr>
      <w:r>
        <w:t>Étant donné qu’il y a encore plus de trois ans et demi avant la première date limite de dégagement pour les programmes relevant de la politique de cohésion pour la période 2021-2027, il est jugé prématuré d’envisager des mesures d’atténuation à ce stade; la Commission est toutefois déterminée à analyser de manière continue la situation en matière de mise en œuvre et les risques de dégagement afin de réagir, si nécessaire.</w:t>
      </w:r>
    </w:p>
    <w:p w:rsidR="00C05C40" w:rsidRPr="00C05C40" w:rsidRDefault="00C05C40" w:rsidP="00C05C40">
      <w:pPr>
        <w:spacing w:after="120" w:line="240" w:lineRule="auto"/>
        <w:jc w:val="both"/>
        <w:rPr>
          <w:rFonts w:eastAsia="Calibri" w:cs="Times New Roman"/>
          <w:szCs w:val="24"/>
        </w:rPr>
      </w:pPr>
      <w:r>
        <w:t>L’introduction de modifications de la base juridique au début de la période de programmation et dans le nouveau règlement portant dispositions communes pour la période 2021-2027 peut, en revanche, créer une insécurité juridique et risquer de provoquer de nouveaux retards de programmation, en particulier lorsque ces modifications concernent une prolongation des délais légaux.</w:t>
      </w:r>
    </w:p>
    <w:p w:rsidR="00C05C40" w:rsidRPr="00C05C40" w:rsidRDefault="00C05C40" w:rsidP="00C05C40">
      <w:pPr>
        <w:spacing w:after="120" w:line="240" w:lineRule="auto"/>
        <w:jc w:val="both"/>
        <w:rPr>
          <w:rFonts w:eastAsia="Calibri" w:cs="Times New Roman"/>
          <w:i/>
          <w:szCs w:val="24"/>
        </w:rPr>
      </w:pPr>
      <w:r>
        <w:rPr>
          <w:b/>
        </w:rPr>
        <w:t>Point 9</w:t>
      </w:r>
      <w:r>
        <w:t xml:space="preserve"> </w:t>
      </w:r>
      <w:r>
        <w:rPr>
          <w:i/>
        </w:rPr>
        <w:t>sur la possibilité d’utiliser pour CARE II les fonds 2022 au titre de la période de financement actuelle, qui pourraient être dégagés en raison de retards dans la programmation, afin d’assurer une prise en charge continue des réfugiés</w:t>
      </w:r>
    </w:p>
    <w:p w:rsidR="00C05C40" w:rsidRPr="00C05C40" w:rsidRDefault="00C05C40" w:rsidP="00C05C40">
      <w:pPr>
        <w:spacing w:after="120" w:line="240" w:lineRule="auto"/>
        <w:jc w:val="both"/>
        <w:rPr>
          <w:rFonts w:eastAsia="Calibri" w:cs="Times New Roman"/>
          <w:szCs w:val="24"/>
        </w:rPr>
      </w:pPr>
      <w:r>
        <w:t>La Commission encourage les États membres à utiliser les marges de manœuvre et les possibilités de financement offertes par les dernières modifications législatives à CARE et REACT-EU adoptées par les colégislateurs pour aider les États membres à gérer la situation actuelle des réfugiés et la situation humanitaire grâce aux fonds de cohésion. En outre, les mesures de soutien aux réfugiés et aux groupes marginalisés – dans le domaine de l’inclusion sociale, du logement, des soins de santé, de l’éducation, de la formation, etc. – peuvent être admissibles au bénéfice d’une aide au titre du cadre juridique 2021-2027. La Commission estime que, conjointement avec les États membres, les risques de dégagement peuvent être réduits au minimum, compte tenu des mesures susmentionnées, à savoir la création de réserves de projets stables, le suivi continu des progrès accomplis, les plans d’action et, éventuellement, des modifications des programmes. En outre, 2025 est la première année au cours de laquelle la règle du dégagement s’appliquera pour les dotations de 2022.</w:t>
      </w:r>
    </w:p>
    <w:p w:rsidR="00F36993" w:rsidRDefault="00F36993"/>
    <w:sectPr w:rsidR="00F36993">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005" w:rsidRDefault="00057005" w:rsidP="00057005">
      <w:pPr>
        <w:spacing w:after="0" w:line="240" w:lineRule="auto"/>
      </w:pPr>
      <w:r>
        <w:separator/>
      </w:r>
    </w:p>
  </w:endnote>
  <w:endnote w:type="continuationSeparator" w:id="0">
    <w:p w:rsidR="00057005" w:rsidRDefault="00057005" w:rsidP="00057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005" w:rsidRDefault="000570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0755593"/>
      <w:docPartObj>
        <w:docPartGallery w:val="Page Numbers (Bottom of Page)"/>
        <w:docPartUnique/>
      </w:docPartObj>
    </w:sdtPr>
    <w:sdtEndPr>
      <w:rPr>
        <w:noProof/>
      </w:rPr>
    </w:sdtEndPr>
    <w:sdtContent>
      <w:p w:rsidR="00057005" w:rsidRDefault="0005700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057005" w:rsidRDefault="000570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005" w:rsidRDefault="000570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005" w:rsidRDefault="00057005" w:rsidP="00057005">
      <w:pPr>
        <w:spacing w:after="0" w:line="240" w:lineRule="auto"/>
      </w:pPr>
      <w:r>
        <w:separator/>
      </w:r>
    </w:p>
  </w:footnote>
  <w:footnote w:type="continuationSeparator" w:id="0">
    <w:p w:rsidR="00057005" w:rsidRDefault="00057005" w:rsidP="000570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005" w:rsidRDefault="000570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005" w:rsidRDefault="000570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005" w:rsidRDefault="000570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C40"/>
    <w:rsid w:val="00057005"/>
    <w:rsid w:val="000F15F1"/>
    <w:rsid w:val="001E37D4"/>
    <w:rsid w:val="00512EE8"/>
    <w:rsid w:val="0065281F"/>
    <w:rsid w:val="0076069D"/>
    <w:rsid w:val="00815B75"/>
    <w:rsid w:val="008342CE"/>
    <w:rsid w:val="0095347B"/>
    <w:rsid w:val="00AF5B02"/>
    <w:rsid w:val="00C05C40"/>
    <w:rsid w:val="00EF1DA5"/>
    <w:rsid w:val="00F36993"/>
    <w:rsid w:val="00FF26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F7782E-D38E-485C-A312-D3571DA57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70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005"/>
  </w:style>
  <w:style w:type="paragraph" w:styleId="Footer">
    <w:name w:val="footer"/>
    <w:basedOn w:val="Normal"/>
    <w:link w:val="FooterChar"/>
    <w:uiPriority w:val="99"/>
    <w:unhideWhenUsed/>
    <w:rsid w:val="000570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1731</Words>
  <Characters>9942</Characters>
  <Application>Microsoft Office Word</Application>
  <DocSecurity>0</DocSecurity>
  <Lines>138</Lines>
  <Paragraphs>17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BIANCHIN Raffaella (SG)</dc:creator>
  <cp:keywords/>
  <dc:description/>
  <cp:lastModifiedBy>BIANCHIN Raffaella (SG)</cp:lastModifiedBy>
  <cp:revision>2</cp:revision>
  <dcterms:created xsi:type="dcterms:W3CDTF">2022-06-14T12:12:00Z</dcterms:created>
  <dcterms:modified xsi:type="dcterms:W3CDTF">2022-06-24T07:52:00Z</dcterms:modified>
</cp:coreProperties>
</file>