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EEC" w:rsidRPr="00150EEC" w:rsidRDefault="00150EEC" w:rsidP="00150EEC">
      <w:pPr>
        <w:spacing w:after="600" w:line="240" w:lineRule="auto"/>
        <w:jc w:val="center"/>
        <w:rPr>
          <w:rFonts w:eastAsia="Times New Roman" w:cs="Times New Roman"/>
          <w:b/>
          <w:szCs w:val="24"/>
          <w:lang w:eastAsia="en-GB"/>
        </w:rPr>
      </w:pPr>
      <w:bookmarkStart w:id="0" w:name="_GoBack"/>
      <w:bookmarkEnd w:id="0"/>
      <w:r w:rsidRPr="00150EEC">
        <w:rPr>
          <w:rFonts w:eastAsia="Times New Roman" w:cs="Times New Roman"/>
          <w:b/>
          <w:szCs w:val="24"/>
          <w:lang w:eastAsia="en-GB"/>
        </w:rPr>
        <w:t xml:space="preserve">Follow-up to the European Parliament non-legislative resolution </w:t>
      </w:r>
      <w:r w:rsidRPr="00150EEC">
        <w:rPr>
          <w:rFonts w:eastAsia="Times New Roman" w:cs="Times New Roman"/>
          <w:b/>
          <w:bCs/>
          <w:szCs w:val="24"/>
          <w:lang w:eastAsia="en-GB"/>
        </w:rPr>
        <w:t>on a</w:t>
      </w:r>
      <w:r w:rsidRPr="00150EEC">
        <w:rPr>
          <w:rFonts w:eastAsia="Times New Roman" w:cs="Times New Roman"/>
          <w:b/>
          <w:bCs/>
          <w:szCs w:val="24"/>
          <w:lang w:eastAsia="en-GB"/>
        </w:rPr>
        <w:br/>
      </w:r>
      <w:r w:rsidRPr="00150EEC">
        <w:rPr>
          <w:rFonts w:eastAsia="Times New Roman" w:cs="Times New Roman"/>
          <w:b/>
          <w:szCs w:val="24"/>
          <w:lang w:eastAsia="en-GB"/>
        </w:rPr>
        <w:t xml:space="preserve">global approach to research and innovation: Europe’s strategy for </w:t>
      </w:r>
      <w:r w:rsidRPr="00150EEC">
        <w:rPr>
          <w:rFonts w:eastAsia="Times New Roman" w:cs="Times New Roman"/>
          <w:b/>
          <w:szCs w:val="24"/>
          <w:lang w:eastAsia="en-GB"/>
        </w:rPr>
        <w:br/>
        <w:t xml:space="preserve">international cooperation in a changing world </w:t>
      </w:r>
    </w:p>
    <w:p w:rsidR="00150EEC" w:rsidRPr="00150EEC" w:rsidRDefault="00150EEC" w:rsidP="00150EEC">
      <w:pPr>
        <w:spacing w:after="240" w:line="240" w:lineRule="auto"/>
        <w:ind w:left="720" w:hanging="720"/>
        <w:jc w:val="both"/>
        <w:rPr>
          <w:rFonts w:eastAsia="Times New Roman" w:cs="Times New Roman"/>
          <w:b/>
          <w:szCs w:val="24"/>
          <w:lang w:eastAsia="en-GB"/>
        </w:rPr>
      </w:pPr>
      <w:r w:rsidRPr="00150EEC">
        <w:rPr>
          <w:rFonts w:eastAsia="Times New Roman" w:cs="Times New Roman"/>
          <w:b/>
          <w:szCs w:val="24"/>
          <w:lang w:eastAsia="en-GB"/>
        </w:rPr>
        <w:t>1.</w:t>
      </w:r>
      <w:r w:rsidRPr="00150EEC">
        <w:rPr>
          <w:rFonts w:eastAsia="Times New Roman" w:cs="Times New Roman"/>
          <w:b/>
          <w:szCs w:val="24"/>
          <w:lang w:eastAsia="en-GB"/>
        </w:rPr>
        <w:tab/>
        <w:t>Resolution tabled pursuant to Rules 136(5) of the European Parliament's Rules of procedure</w:t>
      </w:r>
    </w:p>
    <w:p w:rsidR="00150EEC" w:rsidRPr="00150EEC" w:rsidRDefault="00150EEC" w:rsidP="00150EEC">
      <w:pPr>
        <w:spacing w:after="240" w:line="240" w:lineRule="auto"/>
        <w:jc w:val="both"/>
        <w:rPr>
          <w:rFonts w:eastAsia="Times New Roman" w:cs="Times New Roman"/>
          <w:i/>
          <w:szCs w:val="24"/>
          <w:lang w:eastAsia="en-GB"/>
        </w:rPr>
      </w:pPr>
      <w:r w:rsidRPr="00150EEC">
        <w:rPr>
          <w:rFonts w:eastAsia="Times New Roman" w:cs="Times New Roman"/>
          <w:b/>
          <w:szCs w:val="24"/>
          <w:lang w:eastAsia="en-GB"/>
        </w:rPr>
        <w:t>2.</w:t>
      </w:r>
      <w:r w:rsidRPr="00150EEC">
        <w:rPr>
          <w:rFonts w:eastAsia="Times New Roman" w:cs="Times New Roman"/>
          <w:b/>
          <w:szCs w:val="24"/>
          <w:lang w:eastAsia="en-GB"/>
        </w:rPr>
        <w:tab/>
        <w:t xml:space="preserve">Reference number: </w:t>
      </w:r>
      <w:r w:rsidRPr="00150EEC">
        <w:rPr>
          <w:rFonts w:eastAsia="Times New Roman" w:cs="Times New Roman"/>
          <w:szCs w:val="20"/>
          <w:lang w:eastAsia="en-GB"/>
        </w:rPr>
        <w:t xml:space="preserve">2021/3001 (RSP) / </w:t>
      </w:r>
      <w:r w:rsidRPr="00150EEC">
        <w:rPr>
          <w:rFonts w:eastAsia="Times New Roman" w:cs="Times New Roman"/>
          <w:noProof/>
          <w:szCs w:val="24"/>
          <w:lang w:eastAsia="en-GB"/>
        </w:rPr>
        <w:t xml:space="preserve">B9-0174/2022 </w:t>
      </w:r>
      <w:r w:rsidRPr="00150EEC">
        <w:rPr>
          <w:rFonts w:eastAsia="Times New Roman" w:cs="Times New Roman"/>
          <w:szCs w:val="20"/>
          <w:lang w:eastAsia="en-GB"/>
        </w:rPr>
        <w:t xml:space="preserve">/ </w:t>
      </w:r>
      <w:r w:rsidRPr="00150EEC">
        <w:rPr>
          <w:rFonts w:eastAsia="Calibri" w:cs="Times New Roman"/>
          <w:bCs/>
          <w:szCs w:val="24"/>
        </w:rPr>
        <w:t>P9_TA(2022)0112</w:t>
      </w:r>
    </w:p>
    <w:p w:rsidR="00150EEC" w:rsidRPr="00150EEC" w:rsidRDefault="00150EEC" w:rsidP="00150EEC">
      <w:pPr>
        <w:spacing w:after="240" w:line="240" w:lineRule="auto"/>
        <w:jc w:val="both"/>
        <w:rPr>
          <w:rFonts w:eastAsia="Times New Roman" w:cs="Times New Roman"/>
          <w:szCs w:val="24"/>
          <w:lang w:eastAsia="en-GB"/>
        </w:rPr>
      </w:pPr>
      <w:r w:rsidRPr="00150EEC">
        <w:rPr>
          <w:rFonts w:eastAsia="Times New Roman" w:cs="Times New Roman"/>
          <w:b/>
          <w:szCs w:val="24"/>
          <w:lang w:eastAsia="en-GB"/>
        </w:rPr>
        <w:t>3.</w:t>
      </w:r>
      <w:r w:rsidRPr="00150EEC">
        <w:rPr>
          <w:rFonts w:eastAsia="Times New Roman" w:cs="Times New Roman"/>
          <w:b/>
          <w:szCs w:val="24"/>
          <w:lang w:eastAsia="en-GB"/>
        </w:rPr>
        <w:tab/>
        <w:t>Date of adoption of the resolution:</w:t>
      </w:r>
      <w:r w:rsidRPr="00150EEC">
        <w:rPr>
          <w:rFonts w:eastAsia="Times New Roman" w:cs="Times New Roman"/>
          <w:szCs w:val="24"/>
          <w:lang w:eastAsia="en-GB"/>
        </w:rPr>
        <w:t xml:space="preserve"> </w:t>
      </w:r>
      <w:r w:rsidRPr="00150EEC">
        <w:rPr>
          <w:rFonts w:eastAsia="Times New Roman" w:cs="Times New Roman"/>
          <w:noProof/>
          <w:szCs w:val="24"/>
          <w:lang w:eastAsia="en-GB"/>
        </w:rPr>
        <w:t>6 April 2022</w:t>
      </w:r>
    </w:p>
    <w:p w:rsidR="00150EEC" w:rsidRPr="00150EEC" w:rsidRDefault="00150EEC" w:rsidP="00150EEC">
      <w:pPr>
        <w:spacing w:after="240" w:line="240" w:lineRule="auto"/>
        <w:ind w:left="720" w:hanging="720"/>
        <w:jc w:val="both"/>
        <w:rPr>
          <w:rFonts w:eastAsia="Times New Roman" w:cs="Times New Roman"/>
          <w:i/>
          <w:szCs w:val="24"/>
          <w:lang w:eastAsia="en-GB"/>
        </w:rPr>
      </w:pPr>
      <w:r w:rsidRPr="00150EEC">
        <w:rPr>
          <w:rFonts w:eastAsia="Times New Roman" w:cs="Times New Roman"/>
          <w:b/>
          <w:szCs w:val="24"/>
          <w:lang w:eastAsia="en-GB"/>
        </w:rPr>
        <w:t>4.</w:t>
      </w:r>
      <w:r w:rsidRPr="00150EEC">
        <w:rPr>
          <w:rFonts w:eastAsia="Times New Roman" w:cs="Times New Roman"/>
          <w:b/>
          <w:szCs w:val="24"/>
          <w:lang w:eastAsia="en-GB"/>
        </w:rPr>
        <w:tab/>
        <w:t xml:space="preserve">Competent Parliamentary Committee: </w:t>
      </w:r>
      <w:r w:rsidRPr="00150EEC">
        <w:rPr>
          <w:rFonts w:eastAsia="Times New Roman" w:cs="Times New Roman"/>
          <w:szCs w:val="24"/>
          <w:lang w:eastAsia="en-GB"/>
        </w:rPr>
        <w:t>Committee on Industry, Research and Energy (ITRE)</w:t>
      </w:r>
    </w:p>
    <w:p w:rsidR="00150EEC" w:rsidRPr="00150EEC" w:rsidRDefault="00150EEC" w:rsidP="00150EEC">
      <w:pPr>
        <w:widowControl w:val="0"/>
        <w:spacing w:after="240" w:line="240" w:lineRule="auto"/>
        <w:jc w:val="both"/>
        <w:rPr>
          <w:rFonts w:eastAsia="Times New Roman" w:cs="Times New Roman"/>
          <w:b/>
          <w:szCs w:val="24"/>
          <w:lang w:eastAsia="en-GB"/>
        </w:rPr>
      </w:pPr>
      <w:r w:rsidRPr="00150EEC">
        <w:rPr>
          <w:rFonts w:eastAsia="Times New Roman" w:cs="Times New Roman"/>
          <w:b/>
          <w:szCs w:val="24"/>
          <w:lang w:eastAsia="en-GB"/>
        </w:rPr>
        <w:t>5.</w:t>
      </w:r>
      <w:r w:rsidRPr="00150EEC">
        <w:rPr>
          <w:rFonts w:eastAsia="Times New Roman" w:cs="Times New Roman"/>
          <w:b/>
          <w:szCs w:val="24"/>
          <w:lang w:eastAsia="en-GB"/>
        </w:rPr>
        <w:tab/>
        <w:t xml:space="preserve">Brief analysis/assessment of the resolution and requests made in it: </w:t>
      </w:r>
    </w:p>
    <w:p w:rsidR="00150EEC" w:rsidRPr="00150EEC" w:rsidRDefault="00150EEC" w:rsidP="00150EEC">
      <w:pPr>
        <w:widowControl w:val="0"/>
        <w:spacing w:after="120" w:line="240" w:lineRule="auto"/>
        <w:jc w:val="both"/>
        <w:rPr>
          <w:rFonts w:eastAsia="Calibri" w:cs="Times New Roman"/>
          <w:szCs w:val="24"/>
        </w:rPr>
      </w:pPr>
      <w:r w:rsidRPr="00150EEC">
        <w:rPr>
          <w:rFonts w:eastAsia="Calibri" w:cs="Times New Roman"/>
          <w:szCs w:val="24"/>
        </w:rPr>
        <w:t>Amongst others, the resolution:</w:t>
      </w:r>
    </w:p>
    <w:p w:rsidR="00150EEC" w:rsidRPr="00150EEC" w:rsidRDefault="00150EEC" w:rsidP="00150EEC">
      <w:pPr>
        <w:widowControl w:val="0"/>
        <w:numPr>
          <w:ilvl w:val="0"/>
          <w:numId w:val="1"/>
        </w:numPr>
        <w:spacing w:after="120" w:line="240" w:lineRule="auto"/>
        <w:ind w:left="567" w:hanging="357"/>
        <w:jc w:val="both"/>
        <w:rPr>
          <w:rFonts w:eastAsia="Calibri" w:cs="Times New Roman"/>
          <w:szCs w:val="24"/>
        </w:rPr>
      </w:pPr>
      <w:r w:rsidRPr="00150EEC">
        <w:rPr>
          <w:rFonts w:eastAsia="Calibri" w:cs="Times New Roman"/>
          <w:szCs w:val="24"/>
        </w:rPr>
        <w:t>stresses that global Research and Innovation (R&amp;I) cooperation is crucial for Europe’s competitiveness but notes that this cannot lead to unconditional openness on the part of the Union and therefore supports the general approach characterised by the principle of ‘as open as possible, as closed as necessary’;</w:t>
      </w:r>
    </w:p>
    <w:p w:rsidR="00150EEC" w:rsidRPr="00150EEC" w:rsidRDefault="00150EEC" w:rsidP="00150EEC">
      <w:pPr>
        <w:widowControl w:val="0"/>
        <w:numPr>
          <w:ilvl w:val="0"/>
          <w:numId w:val="1"/>
        </w:numPr>
        <w:spacing w:after="120" w:line="240" w:lineRule="auto"/>
        <w:ind w:left="567" w:hanging="357"/>
        <w:jc w:val="both"/>
        <w:rPr>
          <w:rFonts w:eastAsia="Calibri" w:cs="Times New Roman"/>
          <w:szCs w:val="24"/>
        </w:rPr>
      </w:pPr>
      <w:r w:rsidRPr="00150EEC">
        <w:rPr>
          <w:rFonts w:eastAsia="Calibri" w:cs="Times New Roman"/>
          <w:szCs w:val="24"/>
        </w:rPr>
        <w:t>supports the use of Article 22(5) of the Horizon Europe Regulation in exceptional cases and urges the Commission to publish a policy for justified exclusions and to initiate a public debate on the proper use of these possibilities;</w:t>
      </w:r>
    </w:p>
    <w:p w:rsidR="00150EEC" w:rsidRPr="00150EEC" w:rsidRDefault="00150EEC" w:rsidP="00150EEC">
      <w:pPr>
        <w:widowControl w:val="0"/>
        <w:numPr>
          <w:ilvl w:val="0"/>
          <w:numId w:val="1"/>
        </w:numPr>
        <w:spacing w:after="120" w:line="240" w:lineRule="auto"/>
        <w:ind w:left="567" w:hanging="357"/>
        <w:jc w:val="both"/>
        <w:rPr>
          <w:rFonts w:eastAsia="Calibri" w:cs="Times New Roman"/>
          <w:szCs w:val="24"/>
        </w:rPr>
      </w:pPr>
      <w:r w:rsidRPr="00150EEC">
        <w:rPr>
          <w:rFonts w:eastAsia="Calibri" w:cs="Times New Roman"/>
          <w:szCs w:val="24"/>
        </w:rPr>
        <w:t>underlines the need to align the global approach with the EU’s industrial strategy and the European Green Deal as drivers for prosperity and economic and sustainable growth and calls for stronger consideration to be given to industrial cooperation as part of the strategy;</w:t>
      </w:r>
    </w:p>
    <w:p w:rsidR="00150EEC" w:rsidRPr="00150EEC" w:rsidRDefault="00150EEC" w:rsidP="00150EEC">
      <w:pPr>
        <w:widowControl w:val="0"/>
        <w:numPr>
          <w:ilvl w:val="0"/>
          <w:numId w:val="1"/>
        </w:numPr>
        <w:spacing w:after="120" w:line="240" w:lineRule="auto"/>
        <w:ind w:left="567" w:hanging="357"/>
        <w:jc w:val="both"/>
        <w:rPr>
          <w:rFonts w:eastAsia="Calibri" w:cs="Times New Roman"/>
          <w:szCs w:val="24"/>
        </w:rPr>
      </w:pPr>
      <w:r w:rsidRPr="00150EEC">
        <w:rPr>
          <w:rFonts w:eastAsia="Calibri" w:cs="Times New Roman"/>
          <w:szCs w:val="24"/>
        </w:rPr>
        <w:t>calls on the Commission to devise a proposal for the legal protection of academic freedom in the EU in the Treaties and to refer to the respect for this freedom in association agreements;</w:t>
      </w:r>
    </w:p>
    <w:p w:rsidR="00150EEC" w:rsidRPr="00150EEC" w:rsidRDefault="00150EEC" w:rsidP="00150EEC">
      <w:pPr>
        <w:widowControl w:val="0"/>
        <w:numPr>
          <w:ilvl w:val="0"/>
          <w:numId w:val="1"/>
        </w:numPr>
        <w:spacing w:after="120" w:line="240" w:lineRule="auto"/>
        <w:ind w:left="570"/>
        <w:contextualSpacing/>
        <w:jc w:val="both"/>
        <w:rPr>
          <w:rFonts w:eastAsia="Calibri" w:cs="Times New Roman"/>
          <w:b/>
          <w:szCs w:val="24"/>
        </w:rPr>
      </w:pPr>
      <w:r w:rsidRPr="00150EEC">
        <w:rPr>
          <w:rFonts w:eastAsia="Calibri" w:cs="Times New Roman"/>
          <w:szCs w:val="24"/>
        </w:rPr>
        <w:t>highlights the importance of seeking synergies and strengthening cooperation through the Union’s external action programmes, such as the Neighbourhood, Development and International Cooperation Instrument, investments in global infrastructure development under the Global Gateway, and the Instrument for Pre-Accession Assistance</w:t>
      </w:r>
    </w:p>
    <w:p w:rsidR="00150EEC" w:rsidRPr="00150EEC" w:rsidRDefault="00150EEC" w:rsidP="00150EEC">
      <w:pPr>
        <w:widowControl w:val="0"/>
        <w:spacing w:after="240" w:line="240" w:lineRule="auto"/>
        <w:ind w:left="720" w:hanging="720"/>
        <w:jc w:val="both"/>
        <w:rPr>
          <w:rFonts w:eastAsia="Times New Roman" w:cs="Times New Roman"/>
          <w:b/>
          <w:szCs w:val="24"/>
          <w:lang w:eastAsia="en-GB"/>
        </w:rPr>
      </w:pPr>
      <w:r w:rsidRPr="00150EEC">
        <w:rPr>
          <w:rFonts w:eastAsia="Times New Roman" w:cs="Times New Roman"/>
          <w:b/>
          <w:szCs w:val="24"/>
          <w:lang w:eastAsia="en-GB"/>
        </w:rPr>
        <w:t>6.</w:t>
      </w:r>
      <w:r w:rsidRPr="00150EEC">
        <w:rPr>
          <w:rFonts w:eastAsia="Times New Roman" w:cs="Times New Roman"/>
          <w:b/>
          <w:szCs w:val="24"/>
          <w:lang w:eastAsia="en-GB"/>
        </w:rPr>
        <w:tab/>
        <w:t>Response to requests and overview of action taken, or intended to be taken, by the Commission:</w:t>
      </w:r>
    </w:p>
    <w:p w:rsidR="00150EEC" w:rsidRPr="00150EEC" w:rsidRDefault="00150EEC" w:rsidP="00150EEC">
      <w:pPr>
        <w:widowControl w:val="0"/>
        <w:spacing w:after="120" w:line="240" w:lineRule="auto"/>
        <w:jc w:val="both"/>
        <w:rPr>
          <w:rFonts w:eastAsia="Calibri" w:cs="Times New Roman"/>
          <w:szCs w:val="24"/>
        </w:rPr>
      </w:pPr>
      <w:r w:rsidRPr="00150EEC">
        <w:rPr>
          <w:rFonts w:eastAsia="Calibri" w:cs="Times New Roman"/>
          <w:szCs w:val="24"/>
        </w:rPr>
        <w:t>The European Commission welcomes the European Parliament’s positive comments on the Commission’s Global Approach Communication as well as the Parliament’s support of the measures set out in the Communication. The Commission looks forward to working with the Parliament in implementing the policies and plans for international cooperation in research and innovation outlined in the Global Approach Communication. In response to specific points of the Parliament’s resolution, the Commission notes the following:</w:t>
      </w:r>
    </w:p>
    <w:p w:rsidR="00150EEC" w:rsidRPr="00150EEC" w:rsidRDefault="00150EEC" w:rsidP="00150EEC">
      <w:pPr>
        <w:spacing w:after="120" w:line="240" w:lineRule="auto"/>
        <w:jc w:val="both"/>
        <w:rPr>
          <w:rFonts w:ascii="Calibri" w:eastAsia="Calibri" w:hAnsi="Calibri" w:cs="Times New Roman"/>
          <w:sz w:val="22"/>
          <w:szCs w:val="24"/>
        </w:rPr>
      </w:pPr>
      <w:r w:rsidRPr="00150EEC">
        <w:rPr>
          <w:rFonts w:eastAsia="Calibri" w:cs="Times New Roman"/>
          <w:szCs w:val="24"/>
          <w:u w:val="single"/>
        </w:rPr>
        <w:t>Paragraph 4</w:t>
      </w:r>
      <w:r w:rsidRPr="00150EEC">
        <w:rPr>
          <w:rFonts w:eastAsia="Calibri" w:cs="Times New Roman"/>
          <w:szCs w:val="24"/>
        </w:rPr>
        <w:t>, t</w:t>
      </w:r>
      <w:r w:rsidRPr="00150EEC">
        <w:rPr>
          <w:rFonts w:eastAsia="Times New Roman" w:cs="Times New Roman"/>
          <w:szCs w:val="24"/>
        </w:rPr>
        <w:t xml:space="preserve">he Commission agrees to the need for continuous investment in researchers’ skills, careers and talent circulation. Making research careers more attractive and sustainable for young talents, fighting researchers’ precarity, ensuring gender equality, and proper award </w:t>
      </w:r>
      <w:r w:rsidRPr="00150EEC">
        <w:rPr>
          <w:rFonts w:eastAsia="Times New Roman" w:cs="Times New Roman"/>
          <w:szCs w:val="24"/>
        </w:rPr>
        <w:lastRenderedPageBreak/>
        <w:t>systems is a fundamental condition for long-term excellence and competitiveness of the European Research Area (ERA). The importance of taking action has been reflected in a specific action in the ERA Policy Agenda annexed to the Council Conclusions on the new ERA governance of November 2021. The actions are taken at three levels: (i) Development of a comprehensive European Framework for Research Careers, in line with the Council Conclusions on “Deepening the European Research Area: Providing researchers with attractive and sustainable careers and working conditions and making brain circulation a reality” of 28 May 2021. (ii) Exchange of best practices and mutual learning with Member States to support inter-sectoral mobility and system reform for more balanced talent circulation. This level will include fostering the use of the European Competence Framework for Researchers, developed by the Commission based on the new ERA Communication and the Skills Agenda, and to be rolled out in the course of 2022. (iii) Support measures to improve attractiveness of research careers in academia and beyond (such as the research careers observatory and the ERA Talent Platform).</w:t>
      </w:r>
    </w:p>
    <w:p w:rsidR="00150EEC" w:rsidRPr="00150EEC" w:rsidRDefault="00150EEC" w:rsidP="00150EEC">
      <w:pPr>
        <w:spacing w:after="120" w:line="240" w:lineRule="auto"/>
        <w:jc w:val="both"/>
        <w:rPr>
          <w:rFonts w:eastAsia="Segoe UI" w:cs="Times New Roman"/>
          <w:szCs w:val="24"/>
        </w:rPr>
      </w:pPr>
      <w:r w:rsidRPr="00150EEC">
        <w:rPr>
          <w:rFonts w:eastAsia="Calibri" w:cs="Times New Roman"/>
          <w:szCs w:val="24"/>
          <w:u w:val="single"/>
        </w:rPr>
        <w:t>Paragraph 5</w:t>
      </w:r>
      <w:r w:rsidRPr="00150EEC">
        <w:rPr>
          <w:rFonts w:eastAsia="Calibri" w:cs="Times New Roman"/>
          <w:szCs w:val="24"/>
        </w:rPr>
        <w:t xml:space="preserve">, the </w:t>
      </w:r>
      <w:r w:rsidRPr="00150EEC">
        <w:rPr>
          <w:rFonts w:eastAsia="Times New Roman" w:cs="Times New Roman"/>
          <w:szCs w:val="24"/>
        </w:rPr>
        <w:t>Commission informs the Parliament that the Member States and the Commission, as co-chairs of the ERA Forum, have ensured that the following categories of European R&amp;I stakeholders are represented in the ERA Forum with an observer role: (i) universities and other higher education institutions, (ii) research and technology performing organisations, (iii) R&amp;I-intensive businesses, including SMEs, (iv) individual researchers and innovators, including at early and middle stages of their careers, (v) research infrastructures, (vi) R&amp;I-funding organisations and (vii) academies of sciences.</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6</w:t>
      </w:r>
      <w:r w:rsidRPr="00150EEC">
        <w:rPr>
          <w:rFonts w:eastAsia="Calibri" w:cs="Times New Roman"/>
          <w:szCs w:val="24"/>
        </w:rPr>
        <w:t xml:space="preserve">, the Commission agrees that global economic, societal and environmental challenges are best addressed through rules-based multilateral cooperation, including in the area of R&amp;I, as set out in the Global Approach Communication. For this purpose, the Commission undertakes to work with key partner countries in a multilateral dialogue on the principles and values, which should underpin international cooperation in R&amp;I, </w:t>
      </w:r>
      <w:r w:rsidRPr="00150EEC">
        <w:rPr>
          <w:rFonts w:eastAsia="Calibri" w:cs="Times New Roman"/>
          <w:color w:val="000000"/>
          <w:szCs w:val="24"/>
        </w:rPr>
        <w:t>as called for in the Marseille Declaration welcomed by the French Presidency’s Marseille conference on 8 March 2022</w:t>
      </w:r>
      <w:r w:rsidRPr="00150EEC">
        <w:rPr>
          <w:rFonts w:eastAsia="Calibri" w:cs="Times New Roman"/>
          <w:szCs w:val="24"/>
        </w:rPr>
        <w:t>.</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7</w:t>
      </w:r>
      <w:r w:rsidRPr="00150EEC">
        <w:rPr>
          <w:rFonts w:eastAsia="Calibri" w:cs="Times New Roman"/>
          <w:szCs w:val="24"/>
        </w:rPr>
        <w:t xml:space="preserve">, the Commission acknowledges and confirms that the possibility of association to Horizon Europe for third countries and territories falling under the scope of point (d) of Article 16(1) of the Horizon Europe Regulation is framed by a set of conditions set forth by that provision. In order to be eligible for association, these third countries and territories with high Science, technology and innovation (STI) capacity must comply with specified criteria, </w:t>
      </w:r>
      <w:r w:rsidRPr="00150EEC">
        <w:rPr>
          <w:rFonts w:eastAsia="Calibri" w:cs="Times New Roman"/>
          <w:i/>
          <w:szCs w:val="24"/>
        </w:rPr>
        <w:t>inter alia</w:t>
      </w:r>
      <w:r w:rsidRPr="00150EEC">
        <w:rPr>
          <w:rFonts w:eastAsia="Calibri" w:cs="Times New Roman"/>
          <w:szCs w:val="24"/>
        </w:rPr>
        <w:t>, they must be committed to a rules-based open market economy, including fair and equitable dealing with intellectual property rights and respect for human rights, backed by democratic institutions.</w:t>
      </w:r>
    </w:p>
    <w:p w:rsidR="00150EEC" w:rsidRPr="00150EEC" w:rsidRDefault="00150EEC" w:rsidP="00150EEC">
      <w:pPr>
        <w:widowControl w:val="0"/>
        <w:spacing w:after="120" w:line="240" w:lineRule="auto"/>
        <w:jc w:val="both"/>
        <w:rPr>
          <w:rFonts w:eastAsia="Calibri" w:cs="Times New Roman"/>
          <w:szCs w:val="24"/>
        </w:rPr>
      </w:pPr>
      <w:r w:rsidRPr="00150EEC">
        <w:rPr>
          <w:rFonts w:eastAsia="Calibri" w:cs="Times New Roman"/>
          <w:szCs w:val="24"/>
        </w:rPr>
        <w:t>The Commission Services thoroughly assess whether a third country under point (d) of Article 16 (1) of the Horizon Europe Regulation fulfils each criterion as well as whether their potential association would benefit the EU, before preparing a recommendation to the Council to open association negotiations. This assessment is captured in the Explanatory Memorandum included in each Commission Recommendation to the Council to authorise the opening of negotiations with a certain third country on behalf of the European Union.</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8,</w:t>
      </w:r>
      <w:r w:rsidRPr="00150EEC">
        <w:rPr>
          <w:rFonts w:eastAsia="Calibri" w:cs="Times New Roman"/>
          <w:szCs w:val="24"/>
        </w:rPr>
        <w:t xml:space="preserve"> the Commission notes that the Horizon Europe programme is open to the participation of researchers from all over the world and so is a major opportunity for global cooperation. This includes the Social Sciences and Humanities, for example, through Cluster 2 of the programme ‘Culture, Creativity and Inclusive Society’, which focuses on democracy, cultural heritage and social and economic transformations. In addition, the inter-disciplinary character of the R&amp;I activities in Horizon Europe include a socio-economic dimension to provide effective R&amp;I solutions to challenges that require global cooperation.</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10,</w:t>
      </w:r>
      <w:r w:rsidRPr="00150EEC">
        <w:rPr>
          <w:rFonts w:eastAsia="Calibri" w:cs="Times New Roman"/>
          <w:szCs w:val="24"/>
        </w:rPr>
        <w:t xml:space="preserve"> the Commission agrees that in view of the global nature of todays’ knowledge and value chains, international R&amp;I cooperation is crucial for Europe’s competitiveness. It also notes that the principle ‘as open as possible, as closed as necessary’ will be applied in the EU’s international R&amp;I cooperation through a nuanced and modulated approach towards partnering with different countries, based on levels of reciprocity, a level playing field, and the respect for fundamental rights and shared values, as set out in the Global Approach Communication.</w:t>
      </w:r>
    </w:p>
    <w:p w:rsidR="00150EEC" w:rsidRPr="00150EEC" w:rsidRDefault="00150EEC" w:rsidP="00150EEC">
      <w:pPr>
        <w:spacing w:after="120" w:line="240" w:lineRule="auto"/>
        <w:jc w:val="both"/>
        <w:rPr>
          <w:rFonts w:eastAsia="Calibri" w:cs="Times New Roman"/>
          <w:szCs w:val="24"/>
          <w:u w:val="single"/>
        </w:rPr>
      </w:pPr>
      <w:r w:rsidRPr="00150EEC">
        <w:rPr>
          <w:rFonts w:eastAsia="Calibri" w:cs="Times New Roman"/>
          <w:szCs w:val="24"/>
          <w:u w:val="single"/>
        </w:rPr>
        <w:t>Paragraph 11</w:t>
      </w:r>
      <w:r w:rsidRPr="00150EEC">
        <w:rPr>
          <w:rFonts w:eastAsia="Calibri" w:cs="Times New Roman"/>
          <w:szCs w:val="24"/>
        </w:rPr>
        <w:t>, the Commission agrees that international cooperation in R&amp;I should be based on levels of reciprocity and the respect of values and principles such as open science and the protection of intellectual property, in line with the Global Approach to R&amp;I. In Horizon Europe, the association agreements should provide, as far as possible, for reciprocity in the participation of EU-based entities in equivalent programmes of associated countries, to the extent that such programmes exist and in accordance with their rules of participation. Moreover, open science is promoted and encouraged in all association and cooperation agreements with third countries while intellectual property protection is ensured through the provisions for implementation of Horizon Europe.</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12,</w:t>
      </w:r>
      <w:r w:rsidRPr="00150EEC">
        <w:rPr>
          <w:rFonts w:eastAsia="Calibri" w:cs="Times New Roman"/>
          <w:szCs w:val="24"/>
        </w:rPr>
        <w:t xml:space="preserve"> the Commission welcomes the support of the Parliament for the use of Article 22(5) for exceptional cases, in line with the principle of ‘as open as possible, as closed as necessary’. Its use should balance the open nature of Horizon Europe with protecting, in a limited, targeted and well-justified way, the Union’s strategic assets, interests, autonomy and security, and must be in conformity with the EU’s international obligations. Article 22(5) was used for fewer than 5% of the calls in the first Horizon Europe work programme for 2021-2022. In line also with the Communication on Global Approach to Research and Innovation, which calls for the Commission to develop a proactive approach to research cooperation with like-minded countries, based on reciprocity, and to monitor the implementation of the actions set up in the Global Approach and evaluate their contribution to its objectives, the Commission will conduct by the end of 2023 an analysis of the impact of the use of Article 22(5), in consultation with third countries (associated, candidates and non-associated but like minded countries, with which there is a European strategic interest to cooperate and with which the EU has Science and Technology Agreements). It will present the result of such analysis in the first biennial report on the implementation of the Global Approach to be addressed by the Commission to the European Parliament and to the Council. This would be the basis for further developing the policy for the future use of Article 22(5) and the implementation of the Global Approach to research cooperation, in line with the principles set out in the Communication.</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13,</w:t>
      </w:r>
      <w:r w:rsidRPr="00150EEC">
        <w:rPr>
          <w:rFonts w:eastAsia="Calibri" w:cs="Times New Roman"/>
          <w:szCs w:val="24"/>
        </w:rPr>
        <w:t xml:space="preserve"> the Commission agrees that R&amp;I and the Global approach are important drivers for the twin green and digital transitions in industrial EU systems and for an increased open strategic autonomy. Horizon Europe, in particular through its five Missions accelerating the Green Deal, its partnerships with the private sector and other important stakeholders, the European Innovation Council (EIC), helps creating the basis for industrial, behavioural and ecological transformation. At the same time, the Commission aims to continue using the power of science diplomacy to its full extent to address climate, biodiversity and other environmental challenges, and it is important to allow industry to benefit from cooperation with actors in third countries to foster EU industrial leadership. The Commission undertakes to further develop the strong R&amp;I evidence base, which is required to strike an adequate balance on a case-by-case basis, namely through ERA industrial technology roadmaps and Horizon Europe monitoring. </w:t>
      </w:r>
    </w:p>
    <w:p w:rsidR="00150EEC" w:rsidRPr="00150EEC" w:rsidRDefault="00150EEC" w:rsidP="00150EEC">
      <w:pPr>
        <w:spacing w:after="120" w:line="240" w:lineRule="auto"/>
        <w:jc w:val="both"/>
        <w:rPr>
          <w:rFonts w:eastAsia="Calibri" w:cs="Times New Roman"/>
          <w:sz w:val="22"/>
          <w:szCs w:val="24"/>
        </w:rPr>
      </w:pPr>
      <w:r w:rsidRPr="00150EEC">
        <w:rPr>
          <w:rFonts w:eastAsia="Calibri" w:cs="Times New Roman"/>
          <w:szCs w:val="24"/>
          <w:u w:val="single"/>
        </w:rPr>
        <w:t>Paragraph 15,</w:t>
      </w:r>
      <w:r w:rsidRPr="00150EEC">
        <w:rPr>
          <w:rFonts w:eastAsia="Calibri" w:cs="Times New Roman"/>
          <w:szCs w:val="24"/>
        </w:rPr>
        <w:t xml:space="preserve"> t</w:t>
      </w:r>
      <w:r w:rsidRPr="00150EEC">
        <w:rPr>
          <w:rFonts w:eastAsia="Times New Roman" w:cs="Times New Roman"/>
          <w:szCs w:val="24"/>
        </w:rPr>
        <w:t>he Commission acknowledges the important role of small and medium-sized enterprises (SMEs) in international collaboration. Following the Council Conclusions on “Deepening the European Research Area: Providing researchers with attractive and sustainable careers and working conditions and making brain circulation a reality” of 28 May 2021, the Commission is developing the ERA4You policy initiative for inter-sectoral mobility and talent flows.</w:t>
      </w:r>
      <w:r w:rsidRPr="00150EEC">
        <w:rPr>
          <w:rFonts w:eastAsia="Times New Roman" w:cs="Times New Roman"/>
          <w:bCs/>
          <w:iCs/>
          <w:szCs w:val="24"/>
        </w:rPr>
        <w:t xml:space="preserve"> </w:t>
      </w:r>
      <w:r w:rsidRPr="00150EEC">
        <w:rPr>
          <w:rFonts w:eastAsia="Times New Roman" w:cs="Times New Roman"/>
          <w:szCs w:val="24"/>
        </w:rPr>
        <w:t xml:space="preserve">The initiative will foster cross-sectoral and cross-border talent circulation, improve interoperability of research and innovation jobs between sectors, and strengthened academia-business collaboration for both knowledge and talent transfer. In addition, the European Competence Framework for Researchers (mentioned in relation to paragraph 4), will help researchers be equipped with the set of skills needed by the labour market, including to respond to the need of SMEs for highly-skilled talents, and with entrepreneurial capacity. The Commission is also in a process to prepare an upcoming Innovation Communication regarding the European Innovation Agenda, where talent, innovation, entrepreneurial culture and mind set, women entrepreneurship and leadership and skills needed in deep tech field (for example in artificial intelligence (AI), robotics, or quantum computing) and possibilities to gain experience in innovative start-ups to increase innovation potential in Europe are addressed. </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17,</w:t>
      </w:r>
      <w:r w:rsidRPr="00150EEC">
        <w:rPr>
          <w:rFonts w:eastAsia="Calibri" w:cs="Times New Roman"/>
          <w:szCs w:val="24"/>
        </w:rPr>
        <w:t xml:space="preserve"> the Commission supports the transfer of European environmental and climate-related technologies and solutions to developing countries, including through cooperative research and innovation projects under the EU Framework Programme Horizon Europe. For instance, the Commissions’ international cooperation efforts with Africa in the areas of climate change and the environment are already significant, e.g. through the EU-AU Research and Innovation Partnership on Climate Change and Sustainable Energy of the EU-AU High-Level Policy Dialogue for Science, Technology and Innovation. The efforts will be further enhanced by EU MS’ active participation in the preparation and implementation of activities identified in the AU-EU Innovation Agenda.</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18,</w:t>
      </w:r>
      <w:r w:rsidRPr="00150EEC">
        <w:rPr>
          <w:rFonts w:eastAsia="Calibri" w:cs="Times New Roman"/>
          <w:szCs w:val="24"/>
        </w:rPr>
        <w:t xml:space="preserve"> the Commission will ensure that R&amp;I partnerships with third countries will be consistent with and will complement the international activities of other EU programmes and initiatives, such as those under the Global Gateway initiative.</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rPr>
        <w:t xml:space="preserve">With its key strategic partners and regions, the Commission is organising dedicated research topics or/ and establishing </w:t>
      </w:r>
      <w:r w:rsidRPr="00150EEC">
        <w:rPr>
          <w:rFonts w:eastAsia="Calibri" w:cs="Times New Roman"/>
          <w:bCs/>
          <w:szCs w:val="24"/>
        </w:rPr>
        <w:t>R&amp;I roadmaps</w:t>
      </w:r>
      <w:r w:rsidRPr="00150EEC">
        <w:rPr>
          <w:rFonts w:eastAsia="Calibri" w:cs="Times New Roman"/>
          <w:szCs w:val="24"/>
        </w:rPr>
        <w:t xml:space="preserve"> with the aim at strengthening R&amp;I cooperation on given topics, also in support of the Global away. Increasing the climate science knowledge is, for example, a topic considered with the Mediterranean Countries as well as the restoration of the Mediterranean Sea under the Mission Restore our Ocean and Waters; the PRIMA (Partnership for Research and Innovation in the Mediterranean Area) agreement, the EU-China Joint Roadmap for the future of science, technology, and innovation cooperation, foresees also climate sciences and responses for the transformation towards climate neutrality and under the EU-Africa Partnership. Increased collaborative R&amp;I, will in turn lead to transfer of environmental and climate related technologies, in which the EU is strong and bring solutions to third countries, as is also called upon by this resolution under point 17. To note that cooperation with China will not go beyond Technology Readiness Level (TRL) 4.</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19,</w:t>
      </w:r>
      <w:r w:rsidRPr="00150EEC">
        <w:rPr>
          <w:rFonts w:eastAsia="Calibri" w:cs="Times New Roman"/>
          <w:szCs w:val="24"/>
        </w:rPr>
        <w:t xml:space="preserve"> the EU has shown global leadership in open access and data sharing during the COVID-19 pandemic, among others by developing the European COVID-19 Data Platform and publishing the Manifesto for EU COVID-19 Research as well as by supporting international initiatives such as the Access to COVID-19 Tools Accelerator (ACT-A) and the COVAX mechanism. The Commission aims to build on this success to further promote and support open science practices in health-related research and enhance the voluntary open licencing of R&amp;I results to support low and middle income countries and to provide timely and affordable response to global health emergencies. The Commission notes its commitments to strengthen in the medium to long term health systems, global health security, increase access to medicines and health products, notably through research, innovation, capacity building and support to local production, with digital innovations at the core of the strategy. The Commission will focus efforts on research and innovation on high burden diseases and topics, such as communicable and non-communicable diseases or maternal and child health.</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20,</w:t>
      </w:r>
      <w:r w:rsidRPr="00150EEC">
        <w:rPr>
          <w:rFonts w:eastAsia="Calibri" w:cs="Times New Roman"/>
          <w:szCs w:val="24"/>
        </w:rPr>
        <w:t xml:space="preserve"> the Commission notes that Action 9 of the Critical Raw Materials action plan COM(2020) 474 envisages the development of ‘strategic international partnerships and associated funding to secure a diversified and sustainable supply of critical raw materials, including through undistorted trade and investment conditions, starting with pilot partnerships with Canada, interested countries in Africa and the EU’s neighbourhood in 2021 (Commission, Member States, industry and third country counterparts)’.</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rPr>
        <w:t>In order to implement this action, the EU already in 2021 developed strategic partnerships on raw materials value chains with Canada and Ukraine. Discussions for possible strategic partnerships are on-going with several African (e.g. Namibia) and Latin American countries. Under Horizon Europe, the calls on raw materials in Cluster 4 (Digital, Industry and Space) are open to international partners from like-minded countries with whom the EU seeks to collaborate on diversifying raw materials supply chains.</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21,</w:t>
      </w:r>
      <w:r w:rsidRPr="00150EEC">
        <w:rPr>
          <w:rFonts w:eastAsia="Calibri" w:cs="Times New Roman"/>
          <w:szCs w:val="24"/>
        </w:rPr>
        <w:t xml:space="preserve"> on 28 September 2021, the Council in its Conclusions called the Commission and the European External Action Service to develop a European Science Diplomacy Agenda and to present it to the Council, which is under development.</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rPr>
        <w:t xml:space="preserve">As a follow-up to this request, the </w:t>
      </w:r>
      <w:r w:rsidRPr="00150EEC">
        <w:rPr>
          <w:rFonts w:eastAsia="Calibri" w:cs="Times New Roman"/>
          <w:szCs w:val="24"/>
          <w:shd w:val="clear" w:color="auto" w:fill="FFFFFF"/>
        </w:rPr>
        <w:t>Strategic Forum on International Cooperation</w:t>
      </w:r>
      <w:r w:rsidRPr="00150EEC">
        <w:rPr>
          <w:rFonts w:eastAsia="Calibri" w:cs="Times New Roman"/>
          <w:szCs w:val="24"/>
        </w:rPr>
        <w:t>-SFIC-in its final session presented an input to this Agenda, which was developed in co-creation with stakeholders. This input contains a roadmap and impact pathways for an EU science diplomacy. High-level representatives met at the March EU Presidency conference of Marseille and addressed main pillars for such an Agenda, such as how to promote EU values and principles for research and innovation (scientific freedom, ethics, integrity, reciprocity, etc.) in international fora and how to strengthen scientific capacity and networking in EU Delegations and Embassies. The Commission will reinforce its commitment to the All-Atlantic Ocean Research Alliance, a showcase example of science diplomacy, in a Declaration expected to be signed in summer 2022. The Declaration will outline the vision of the All-Atlantic and will build upon collaboration between existing initiatives in the Atlantic Ocean on ocean research and innovation.</w:t>
      </w:r>
    </w:p>
    <w:p w:rsidR="00150EEC" w:rsidRPr="00150EEC" w:rsidRDefault="00150EEC" w:rsidP="00150EEC">
      <w:pPr>
        <w:spacing w:after="120" w:line="240" w:lineRule="auto"/>
        <w:jc w:val="both"/>
        <w:rPr>
          <w:rFonts w:eastAsia="Calibri" w:cs="Times New Roman"/>
          <w:sz w:val="22"/>
          <w:szCs w:val="24"/>
        </w:rPr>
      </w:pPr>
      <w:r w:rsidRPr="00150EEC">
        <w:rPr>
          <w:rFonts w:eastAsia="Calibri" w:cs="Times New Roman"/>
          <w:szCs w:val="24"/>
          <w:u w:val="single"/>
        </w:rPr>
        <w:t>Paragraph 24</w:t>
      </w:r>
      <w:r w:rsidRPr="00150EEC">
        <w:rPr>
          <w:rFonts w:eastAsia="Calibri" w:cs="Times New Roman"/>
          <w:szCs w:val="24"/>
        </w:rPr>
        <w:t>, a</w:t>
      </w:r>
      <w:r w:rsidRPr="00150EEC">
        <w:rPr>
          <w:rFonts w:eastAsia="Times New Roman" w:cs="Times New Roman"/>
          <w:szCs w:val="24"/>
        </w:rPr>
        <w:t>s established in Article 13 of the European Charter of Fundamental Rights, academic freedom is a fundamental right in the European Union. In its judgment in Case C-66/18, the Court of Justice established that academic freedom includes an institutional dimension</w:t>
      </w:r>
      <w:r w:rsidRPr="00150EEC">
        <w:rPr>
          <w:rFonts w:eastAsia="Times New Roman" w:cs="Times New Roman"/>
          <w:szCs w:val="24"/>
          <w:vertAlign w:val="superscript"/>
        </w:rPr>
        <w:footnoteReference w:id="1"/>
      </w:r>
      <w:r w:rsidRPr="00150EEC">
        <w:rPr>
          <w:rFonts w:eastAsia="Times New Roman" w:cs="Times New Roman"/>
          <w:szCs w:val="24"/>
        </w:rPr>
        <w:t>. In this context, when there is a breach of EU law, the Commission, in its role of the guardian of the Treaties, may use different tools to ensure the application of EU law, including pursuing formal infringement proceedings against the Member State in question. Therefore, the Commission is determined to protect academic freedom in the European Research Area. The Action 6 of the ERA Policy Agenda is an example on how the EU is addressing the protection of academic freedom. The Action is currently being discussed in the ERA Forum, with representatives of Member States and stakeholders, and it will be implemented in the next three years. At the moment, it is not possible to foresee whether a legislative proposal will be considered by the Commission</w:t>
      </w:r>
      <w:r w:rsidRPr="00150EEC">
        <w:rPr>
          <w:rFonts w:eastAsia="Times New Roman" w:cs="Times New Roman"/>
          <w:szCs w:val="24"/>
          <w:vertAlign w:val="superscript"/>
        </w:rPr>
        <w:footnoteReference w:id="2"/>
      </w:r>
      <w:r w:rsidRPr="00150EEC">
        <w:rPr>
          <w:rFonts w:eastAsia="Times New Roman" w:cs="Times New Roman"/>
          <w:szCs w:val="24"/>
        </w:rPr>
        <w:t>.</w:t>
      </w:r>
    </w:p>
    <w:p w:rsidR="00150EEC" w:rsidRPr="00150EEC" w:rsidRDefault="00150EEC" w:rsidP="00150EEC">
      <w:pPr>
        <w:spacing w:after="120" w:line="240" w:lineRule="auto"/>
        <w:jc w:val="both"/>
        <w:rPr>
          <w:rFonts w:eastAsia="Calibri" w:cs="Times New Roman"/>
          <w:sz w:val="22"/>
          <w:szCs w:val="24"/>
        </w:rPr>
      </w:pPr>
      <w:r w:rsidRPr="00150EEC">
        <w:rPr>
          <w:rFonts w:eastAsia="Calibri" w:cs="Times New Roman"/>
          <w:szCs w:val="24"/>
          <w:u w:val="single"/>
        </w:rPr>
        <w:t>Paragraph 25,</w:t>
      </w:r>
      <w:r w:rsidRPr="00150EEC">
        <w:rPr>
          <w:rFonts w:eastAsia="Calibri" w:cs="Times New Roman"/>
          <w:szCs w:val="24"/>
        </w:rPr>
        <w:t xml:space="preserve"> t</w:t>
      </w:r>
      <w:r w:rsidRPr="00150EEC">
        <w:rPr>
          <w:rFonts w:eastAsia="Times New Roman" w:cs="Times New Roman"/>
          <w:szCs w:val="24"/>
        </w:rPr>
        <w:t xml:space="preserve">he Commission agrees on the need to report on the status of academic freedom in Europe. Indeed, this is one of the main objectives of Action 6 of the ERA Policy Agenda. However, to have updated and clear data on the status of, and on threats to, academic freedom in Europe, there is a need to develop a European monitoring system based on a common conceptualisation of the issues at hands. This is one of the (sub)objectives of Action 6. </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26,</w:t>
      </w:r>
      <w:r w:rsidRPr="00150EEC">
        <w:rPr>
          <w:rFonts w:eastAsia="Calibri" w:cs="Times New Roman"/>
          <w:szCs w:val="24"/>
        </w:rPr>
        <w:t xml:space="preserve"> i</w:t>
      </w:r>
      <w:r w:rsidRPr="00150EEC">
        <w:rPr>
          <w:rFonts w:eastAsia="Times New Roman" w:cs="Times New Roman"/>
          <w:szCs w:val="24"/>
        </w:rPr>
        <w:t xml:space="preserve">n January 2022, the Commission published a </w:t>
      </w:r>
      <w:r w:rsidRPr="00150EEC">
        <w:rPr>
          <w:rFonts w:eastAsia="Times New Roman" w:cs="Times New Roman"/>
          <w:i/>
          <w:iCs/>
          <w:szCs w:val="24"/>
        </w:rPr>
        <w:t>Staff Working Document on tackling foreign interference in R&amp;I</w:t>
      </w:r>
      <w:r w:rsidRPr="00150EEC">
        <w:rPr>
          <w:rFonts w:eastAsia="Times New Roman" w:cs="Times New Roman"/>
          <w:szCs w:val="24"/>
        </w:rPr>
        <w:t>, which defines the threats and approaches (toolbox) to address issues around four focus areas: values, governance, partnership and cyber-security. The document</w:t>
      </w:r>
      <w:r w:rsidRPr="00150EEC">
        <w:rPr>
          <w:rFonts w:ascii="Calibri" w:eastAsia="Calibri" w:hAnsi="Calibri" w:cs="Times New Roman"/>
          <w:sz w:val="22"/>
        </w:rPr>
        <w:t xml:space="preserve"> </w:t>
      </w:r>
      <w:r w:rsidRPr="00150EEC">
        <w:rPr>
          <w:rFonts w:eastAsia="Times New Roman" w:cs="Times New Roman"/>
          <w:szCs w:val="24"/>
        </w:rPr>
        <w:t>aims to facilitate Higher Education Institutions and Research Performing Organisations in their endeavour to protect their fundamental values by safeguarding academic freedom, integrity and institutional autonomy and to protect their staff, students, key research findings and intellectual assets. The Commission, in the context of ERA Action 6, intends to organise Mutual Learning Exercises on tackling R&amp;I foreign interference focusing on exchanges of national best practices at operational level to identify, prevent and recover from foreign interference. They would identify good practice, lessons learnt, and success factors based on the available evidence and collective experience.</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27,</w:t>
      </w:r>
      <w:r w:rsidRPr="00150EEC">
        <w:rPr>
          <w:rFonts w:eastAsia="Calibri" w:cs="Times New Roman"/>
          <w:szCs w:val="24"/>
        </w:rPr>
        <w:t xml:space="preserve"> </w:t>
      </w:r>
      <w:r w:rsidRPr="00150EEC">
        <w:rPr>
          <w:rFonts w:eastAsia="Times New Roman" w:cs="Times New Roman"/>
          <w:szCs w:val="24"/>
        </w:rPr>
        <w:t>Europe must invest in excellent researchers and at the same time stay true to its common values. The Marie Skłodowska-Curie Actions (MSCA) under Horizon Europe are open to individuals of any nationality, including researchers at risk. Researchers at risk include researchers, scholars and scientists at all stages of their careers who are experiencing threats to their life, liberty or research career, and those who are forced to flee or have been displaced because of such threats. The MSCA recently published guidelines and best practices to host organisations for the inclusion of researchers at risk. To widen access for researchers at risk, the Commission encourages applicants and beneficiaries are encouraged to consider these guidelines on a best-effort basis.</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28,</w:t>
      </w:r>
      <w:r w:rsidRPr="00150EEC">
        <w:rPr>
          <w:rFonts w:eastAsia="Calibri" w:cs="Times New Roman"/>
          <w:szCs w:val="24"/>
        </w:rPr>
        <w:t xml:space="preserve"> the Commission agrees on the importance of driving an Open Science culture globally based on commonly agreed principles and values such as FAIR data that are ‘as open as possible, as closed a necessary’. As science is a global enterprise and many R&amp;I collaborations are international in nature, researchers across the world need to share and reuse knowledge, data and infrastructure across borders as early and as openly as possible to advance in the most effective way and enable quality science.</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rPr>
        <w:t>The Commission will continue to promote open science principles in its bilateral Science &amp; Technology (S&amp;T) dialogues with third countries, in international bodies and fora such as the G7, the Organization for Economic Cooperation and Development (OECD), the United Nations and the Research Data Alliance, as well as through the international outreach of the European Open Science Cloud.</w:t>
      </w:r>
    </w:p>
    <w:p w:rsidR="00150EEC" w:rsidRPr="00150EEC" w:rsidRDefault="00150EEC" w:rsidP="00150EEC">
      <w:pPr>
        <w:spacing w:after="120" w:line="240" w:lineRule="auto"/>
        <w:jc w:val="both"/>
        <w:rPr>
          <w:rFonts w:eastAsia="Calibri" w:cs="Times New Roman"/>
          <w:iCs/>
          <w:szCs w:val="24"/>
        </w:rPr>
      </w:pPr>
      <w:r w:rsidRPr="00150EEC">
        <w:rPr>
          <w:rFonts w:eastAsia="Calibri" w:cs="Times New Roman"/>
          <w:szCs w:val="24"/>
          <w:u w:val="single"/>
        </w:rPr>
        <w:t>Paragraph 29,</w:t>
      </w:r>
      <w:r w:rsidRPr="00150EEC">
        <w:rPr>
          <w:rFonts w:eastAsia="Calibri" w:cs="Times New Roman"/>
          <w:szCs w:val="24"/>
        </w:rPr>
        <w:t xml:space="preserve"> t</w:t>
      </w:r>
      <w:r w:rsidRPr="00150EEC">
        <w:rPr>
          <w:rFonts w:eastAsia="Calibri" w:cs="Times New Roman"/>
          <w:iCs/>
          <w:szCs w:val="24"/>
        </w:rPr>
        <w:t>he Commission agrees that a strategic approach to international standardisation is a crucial component of a successful global approach to R&amp;I.</w:t>
      </w:r>
    </w:p>
    <w:p w:rsidR="00150EEC" w:rsidRPr="00150EEC" w:rsidRDefault="00150EEC" w:rsidP="00150EEC">
      <w:pPr>
        <w:spacing w:after="120" w:line="240" w:lineRule="auto"/>
        <w:jc w:val="both"/>
        <w:rPr>
          <w:rFonts w:eastAsia="Calibri" w:cs="Times New Roman"/>
          <w:iCs/>
          <w:szCs w:val="24"/>
        </w:rPr>
      </w:pPr>
      <w:r w:rsidRPr="00150EEC">
        <w:rPr>
          <w:rFonts w:eastAsia="Calibri" w:cs="Times New Roman"/>
          <w:iCs/>
          <w:szCs w:val="24"/>
        </w:rPr>
        <w:t>Proper resource allocation to pre-normative research can help ensure that Europe takes the lead in international standardisation processes. Horizon Europe programme, including via their direct actions and partnerships, such as Joint Undertakings and the Digital Europe Programme, as well as the ERA common industrial technology roadmaps, play an important role.</w:t>
      </w:r>
    </w:p>
    <w:p w:rsidR="00150EEC" w:rsidRPr="00150EEC" w:rsidRDefault="00150EEC" w:rsidP="00150EEC">
      <w:pPr>
        <w:spacing w:after="120" w:line="240" w:lineRule="auto"/>
        <w:jc w:val="both"/>
        <w:rPr>
          <w:rFonts w:eastAsia="Calibri" w:cs="Times New Roman"/>
          <w:iCs/>
          <w:szCs w:val="24"/>
        </w:rPr>
      </w:pPr>
      <w:r w:rsidRPr="00150EEC">
        <w:rPr>
          <w:rFonts w:eastAsia="Calibri" w:cs="Times New Roman"/>
          <w:iCs/>
          <w:szCs w:val="24"/>
        </w:rPr>
        <w:t>Valorisation of R&amp;I result by standardisation contributes to the implementation of the Global Approach to R&amp;I which calls for the EU to have a stronger role as a global standards-setter through an increased international cooperation in pre-normative research. In this context, the work of the EU-US Trade and Technology Council is particularly relevant, notably the Technology Standards Cooperation Working Group which identifies areas relevant for EU-US standards cooperation, with a special focus on early-warning mechanisms to monitor international standardisation activities.</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lang w:val="en-US"/>
        </w:rPr>
        <w:t xml:space="preserve">Moreover, as part of the ERA action to upgrade EU guidance for a better knowledge </w:t>
      </w:r>
      <w:r w:rsidRPr="00150EEC">
        <w:rPr>
          <w:rFonts w:eastAsia="Calibri" w:cs="Times New Roman"/>
          <w:szCs w:val="24"/>
        </w:rPr>
        <w:t>valorisation, a Code of Practice for researchers on standardisation will be developed by the end of 2022. It will provide practical guidance on how beneficiaries of public R&amp;I programmes can best identify opportunities and techniques to valorise their projects’ results through standardisation.</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31,</w:t>
      </w:r>
      <w:r w:rsidRPr="00150EEC">
        <w:rPr>
          <w:rFonts w:eastAsia="Calibri" w:cs="Times New Roman"/>
          <w:szCs w:val="24"/>
        </w:rPr>
        <w:t xml:space="preserve"> the Commission agrees on the need to promote gender equality with a focus on enhancing competences and the role of female researchers and stresses</w:t>
      </w:r>
      <w:r w:rsidRPr="00150EEC" w:rsidDel="001F1556">
        <w:rPr>
          <w:rFonts w:eastAsia="Calibri" w:cs="Times New Roman"/>
          <w:szCs w:val="24"/>
        </w:rPr>
        <w:t xml:space="preserve"> </w:t>
      </w:r>
      <w:r w:rsidRPr="00150EEC">
        <w:rPr>
          <w:rFonts w:eastAsia="Calibri" w:cs="Times New Roman"/>
          <w:szCs w:val="24"/>
        </w:rPr>
        <w:t>its commitment to promote gender equality and inclusiveness in R&amp;I at global level, including professional equality as well as the integration of a gender dimension in R&amp;I content as a matter of excellence and societal relevance. The European Commission’s commitment is in line with the priorities set for the European Research Area and is building on the Ljubljana Declaration on gender equality in R&amp;I, which was endorsed by the Commission and most Member States and associated countries</w:t>
      </w:r>
      <w:r w:rsidRPr="00150EEC">
        <w:rPr>
          <w:rFonts w:eastAsia="Calibri" w:cs="Times New Roman"/>
          <w:szCs w:val="24"/>
          <w:vertAlign w:val="superscript"/>
        </w:rPr>
        <w:footnoteReference w:id="3"/>
      </w:r>
      <w:r w:rsidRPr="00150EEC">
        <w:rPr>
          <w:rFonts w:eastAsia="Calibri" w:cs="Times New Roman"/>
          <w:szCs w:val="24"/>
        </w:rPr>
        <w:t xml:space="preserve">, which underlines the need to mainstream gender equality through the EU Global Approach. Gender equality and inclusiveness will be part of the multilateral dialogue with key partner countries on the principles and values that should underpin international cooperation in R&amp;I, </w:t>
      </w:r>
      <w:r w:rsidRPr="00150EEC">
        <w:rPr>
          <w:rFonts w:eastAsia="Calibri" w:cs="Times New Roman"/>
          <w:color w:val="000000"/>
          <w:szCs w:val="24"/>
        </w:rPr>
        <w:t>which is being launched as called for in the Marseille Declaration welcomed by the French Presidency’s Marseille conference on 8 March 2022</w:t>
      </w:r>
      <w:r w:rsidRPr="00150EEC">
        <w:rPr>
          <w:rFonts w:eastAsia="Calibri" w:cs="Times New Roman"/>
          <w:szCs w:val="24"/>
        </w:rPr>
        <w:t>.</w:t>
      </w:r>
    </w:p>
    <w:p w:rsidR="00150EEC" w:rsidRPr="00150EEC" w:rsidRDefault="00150EEC" w:rsidP="00150EEC">
      <w:pPr>
        <w:spacing w:after="120" w:line="240" w:lineRule="auto"/>
        <w:jc w:val="both"/>
        <w:rPr>
          <w:rFonts w:eastAsia="Calibri" w:cs="Times New Roman"/>
          <w:szCs w:val="24"/>
          <w:lang w:val="en-US"/>
        </w:rPr>
      </w:pPr>
      <w:r w:rsidRPr="00150EEC">
        <w:rPr>
          <w:rFonts w:eastAsia="Calibri" w:cs="Times New Roman"/>
          <w:szCs w:val="24"/>
          <w:u w:val="single"/>
        </w:rPr>
        <w:t>Paragraph 32,</w:t>
      </w:r>
      <w:r w:rsidRPr="00150EEC">
        <w:rPr>
          <w:rFonts w:eastAsia="Calibri" w:cs="Times New Roman"/>
          <w:szCs w:val="24"/>
        </w:rPr>
        <w:t xml:space="preserve"> t</w:t>
      </w:r>
      <w:r w:rsidRPr="00150EEC">
        <w:rPr>
          <w:rFonts w:eastAsia="Calibri" w:cs="Times New Roman"/>
          <w:szCs w:val="24"/>
          <w:lang w:val="en-US"/>
        </w:rPr>
        <w:t>he Commission remains fully committed to respecting the prerogatives of the EU Institutions in the negotiations of association agreements and to honoring the duty of mutual sincere cooperation under the EU Treaty (Article 13(2) of the Treaty of the European Union), as well as under the 2010 Inter-institutional Framework Agreement</w:t>
      </w:r>
      <w:r w:rsidRPr="00150EEC">
        <w:rPr>
          <w:rFonts w:eastAsia="Calibri" w:cs="Times New Roman"/>
          <w:szCs w:val="24"/>
          <w:vertAlign w:val="superscript"/>
          <w:lang w:val="en-US"/>
        </w:rPr>
        <w:footnoteReference w:id="4"/>
      </w:r>
      <w:r w:rsidRPr="00150EEC">
        <w:rPr>
          <w:rFonts w:eastAsia="Calibri" w:cs="Times New Roman"/>
          <w:szCs w:val="24"/>
          <w:lang w:val="en-US"/>
        </w:rPr>
        <w:t xml:space="preserve"> and the 2016 Inter-institutional Agreement between the European Parliament, the Council of the European Union and the European Commission on Better Law-Making. The Commission will continue ensuring the highest level of transparency vis-à-vis the European Parliament for association of category (d) countries from the very early stages of association negotiations and throughout the negotiations.</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33,</w:t>
      </w:r>
      <w:r w:rsidRPr="00150EEC">
        <w:rPr>
          <w:rFonts w:eastAsia="Calibri" w:cs="Times New Roman"/>
          <w:szCs w:val="24"/>
        </w:rPr>
        <w:t xml:space="preserve"> the Commission has a long-standing history of synergies with external policies and instruments, for the benefit of increased R&amp;I capacity building in and cooperation with partner countries. A Memorandum of Understanding was signed in July 2020 between Directorate general Research and Innovation and Directorate general International Partnerships, to strengthen these synergies further in the developing countries in general, in Africa in particular. The most recent example of these enhanced synergies is the endorsement by the EU-Africa Joint Summit of 17-18 February 2022 of the AU-EU Innovation Agenda, developed by the European Commission and its African Union partners, as an integral part of the EU's Global Gateway Strategy, of which it is now a fully-fledged component.</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34</w:t>
      </w:r>
      <w:r w:rsidRPr="00150EEC">
        <w:rPr>
          <w:rFonts w:eastAsia="Calibri" w:cs="Times New Roman"/>
          <w:szCs w:val="24"/>
        </w:rPr>
        <w:t>, the Commission acknowledges the need to strengthen research &amp; innovation in the EU’s cooperation with low- and middle-income countries. In particular, and as spelled out in the Global Approach Communication, the Commission intends to mobilise science, technology and innovation cooperation to contribute to sustainable and inclusive development and to the transition towards resilient, knowledge-based societies and economies in low and middle-income countries. To support the development of the R&amp;I capacities of low and middle-income countries, the EU will in most cases fund the participation in Horizon Europe actions of legal entities established in those countries, in synergy with the Neighbourhood, Development and International Cooperation Instrument (NDICI). For example, key areas of cooperation identified in the draft AU-EU Innovation Agenda fully correspond to the decision of the EU-AU R&amp;I Ministers taken at the Ministerial meeting in July 2020.</w:t>
      </w:r>
    </w:p>
    <w:p w:rsidR="00150EEC" w:rsidRPr="00150EEC" w:rsidRDefault="00150EEC" w:rsidP="00150EEC">
      <w:pPr>
        <w:spacing w:after="120" w:line="240" w:lineRule="auto"/>
        <w:jc w:val="both"/>
        <w:rPr>
          <w:rFonts w:eastAsia="Calibri" w:cs="Times New Roman"/>
          <w:b/>
          <w:szCs w:val="24"/>
        </w:rPr>
      </w:pPr>
      <w:r w:rsidRPr="00150EEC">
        <w:rPr>
          <w:rFonts w:eastAsia="Calibri" w:cs="Times New Roman"/>
          <w:szCs w:val="24"/>
          <w:u w:val="single"/>
        </w:rPr>
        <w:t>Paragraph 35</w:t>
      </w:r>
      <w:r w:rsidRPr="00150EEC">
        <w:rPr>
          <w:rFonts w:eastAsia="Calibri" w:cs="Times New Roman"/>
          <w:szCs w:val="24"/>
        </w:rPr>
        <w:t xml:space="preserve">, </w:t>
      </w:r>
      <w:r w:rsidRPr="00150EEC">
        <w:rPr>
          <w:rFonts w:eastAsia="Calibri" w:cs="Times New Roman"/>
          <w:szCs w:val="24"/>
          <w:lang w:val="en-US"/>
        </w:rPr>
        <w:t>the Commission points out that clean hydrogen has great potential both as source and storage infrastructure of sustainable energy of the future</w:t>
      </w:r>
      <w:r w:rsidRPr="00150EEC">
        <w:rPr>
          <w:rFonts w:eastAsia="Calibri" w:cs="Times New Roman"/>
          <w:szCs w:val="24"/>
        </w:rPr>
        <w:t>, capitalising on the opportunity of being safely produced using renewable energies like solar and wind power. As set out in the RePowerEU Communication, the Commission will undertake pilot projects on renewable hydrogen production and transport in the EU neighbourhood, starting with a Mediterranean Green Hydrogen Partnership. These initiatives are fully aligned with</w:t>
      </w:r>
      <w:r w:rsidRPr="00150EEC">
        <w:rPr>
          <w:rFonts w:eastAsia="Calibri" w:cs="Times New Roman"/>
          <w:szCs w:val="24"/>
          <w:lang w:val="en-US"/>
        </w:rPr>
        <w:t xml:space="preserve"> one of the Union for the Mediterranean (UfM) R&amp;I agreed priority, namely on Renewable Energy. Regarding the Partnership for Research and Innovation in the Mediterranean Area- PRIMA, the Commission recalls that PRIMA is currently undergoing an interim evaluation, to be concluded in 2022, and is approaching the end of its active programming period in 2024. In this respect, the Commission is exploring all the different options for the future of this initiative in line with the EU policy priorities and the Horizon Europe Regulation taking into account the results of the interim evaluation in 2022.</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36,</w:t>
      </w:r>
      <w:r w:rsidRPr="00150EEC">
        <w:rPr>
          <w:rFonts w:eastAsia="Calibri" w:cs="Times New Roman"/>
          <w:szCs w:val="24"/>
        </w:rPr>
        <w:t xml:space="preserve"> the Commission agrees on the importance of intensifying EU-US scientific collaboration. The first meeting, since 2017, of the Joint Consultative Group established under the S&amp;T Cooperation Agreement will take place in autumn 2022. Work through the EU-US Trade and Technology Council has led to new cooperation in the area of electric vehicle charging and both sides have agreed to explore research cooperation on AI, beyond 5G/6G technologies, quantum computing and digital models of the earth in support of the fight against climate change. Cooperation in energy R&amp;I is also taking place through the EU-US Energy Council.</w:t>
      </w:r>
    </w:p>
    <w:p w:rsidR="00150EEC" w:rsidRPr="00150EEC" w:rsidRDefault="00150EEC" w:rsidP="00150EEC">
      <w:pPr>
        <w:spacing w:after="120" w:line="240" w:lineRule="auto"/>
        <w:jc w:val="both"/>
        <w:rPr>
          <w:rFonts w:eastAsia="Calibri" w:cs="Times New Roman"/>
          <w:i/>
          <w:szCs w:val="24"/>
        </w:rPr>
      </w:pPr>
      <w:r w:rsidRPr="00150EEC">
        <w:rPr>
          <w:rFonts w:eastAsia="Calibri" w:cs="Times New Roman"/>
          <w:szCs w:val="24"/>
          <w:u w:val="single"/>
        </w:rPr>
        <w:t>Paragraph 37</w:t>
      </w:r>
      <w:r w:rsidRPr="00150EEC">
        <w:rPr>
          <w:rFonts w:eastAsia="Calibri" w:cs="Times New Roman"/>
          <w:szCs w:val="24"/>
        </w:rPr>
        <w:t>, the Commission reaffirms that R&amp;I cooperation has played an important role in building mutual trust between the EU and the Mediterranean Region built on equal footing and parity between Northern and Southern countries. It reconfirms commitment to a level of global openness needed to drive excellence, pool resources for faster scientific progress and to develop vibrant innovation ecosystems while continuing to further deepen research cooperation with the focus on mutual priorities to bridging the R&amp;I and, consequently, the socio-economic divide in the Southern and Eastern neighbourhood, thereby enhancing peace and stability and the development of the region’s societies helping to fulfil the objectives inherent to the European Green Deal and Climate Change Adaptation.</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38,</w:t>
      </w:r>
      <w:r w:rsidRPr="00150EEC">
        <w:rPr>
          <w:rFonts w:eastAsia="Calibri" w:cs="Times New Roman"/>
          <w:szCs w:val="24"/>
        </w:rPr>
        <w:t xml:space="preserve"> the Commission joins the European Parliament in strongly condemning the violent invasion of Ukraine by the Russian Federation. It condemns the Russian war of aggression against Ukraine, which constitutes a violation of international law and undermines European and global security and stability. In efforts to maintain and nurture the scientific talent of Ukraine, the Commission has been quick to mobilise its relevant services and programmes to develop a number of dedicated support measures under Horizon Europe for researchers from Ukraine and to ensure coordination with the Member States. The Commission has decided to suspend further R&amp;I cooperation with Russia. The Commission has terminated the participation of Russian public organisations and affiliated entities in Horizon 2020 Framework Programme, in line with Council sanctions acts, and again in line with those acts will exclude the Russian legal entities from participation in Horizon Europe actions.</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39,</w:t>
      </w:r>
      <w:r w:rsidRPr="00150EEC">
        <w:rPr>
          <w:rFonts w:eastAsia="Calibri" w:cs="Times New Roman"/>
          <w:szCs w:val="24"/>
        </w:rPr>
        <w:t xml:space="preserve"> the Commission supports the development of R&amp;I policy with Georgia. The association agreement to Horizon Europe has already entered into force and will enable Georgian researchers and innovators to develop exciting and ambitious new research ties and collaborations with researchers and innovators throughout the EU and around the world. This provides Georgia with a possibility to participate as observer in the governance structures of the Programme and will result in a greater and more successful adherence to and integration with the European Research Area.</w:t>
      </w:r>
    </w:p>
    <w:p w:rsidR="00150EEC" w:rsidRPr="00150EEC" w:rsidRDefault="00150EEC" w:rsidP="00150EEC">
      <w:pPr>
        <w:spacing w:after="120" w:line="240" w:lineRule="auto"/>
        <w:jc w:val="both"/>
        <w:rPr>
          <w:rFonts w:eastAsia="Calibri" w:cs="Times New Roman"/>
          <w:szCs w:val="24"/>
        </w:rPr>
      </w:pPr>
      <w:r w:rsidRPr="00150EEC">
        <w:rPr>
          <w:rFonts w:eastAsia="Calibri" w:cs="Times New Roman"/>
          <w:szCs w:val="24"/>
          <w:u w:val="single"/>
        </w:rPr>
        <w:t>Paragraph 40</w:t>
      </w:r>
      <w:r w:rsidRPr="00150EEC">
        <w:rPr>
          <w:rFonts w:eastAsia="Calibri" w:cs="Times New Roman"/>
          <w:b/>
          <w:bCs/>
          <w:szCs w:val="24"/>
        </w:rPr>
        <w:t>,</w:t>
      </w:r>
      <w:r w:rsidRPr="00150EEC">
        <w:rPr>
          <w:rFonts w:eastAsia="Calibri" w:cs="Times New Roman"/>
          <w:szCs w:val="24"/>
        </w:rPr>
        <w:t xml:space="preserve"> the Commission underlines that it is of a common interest to have a constructive and mutually beneficial relationship with Switzerland in the field of R&amp;I. However,</w:t>
      </w:r>
      <w:r w:rsidRPr="00150EEC">
        <w:rPr>
          <w:rFonts w:eastAsia="Calibri" w:cs="Times New Roman"/>
          <w:b/>
          <w:bCs/>
          <w:szCs w:val="24"/>
        </w:rPr>
        <w:t xml:space="preserve"> </w:t>
      </w:r>
      <w:r w:rsidRPr="00150EEC">
        <w:rPr>
          <w:rFonts w:eastAsia="Calibri" w:cs="Times New Roman"/>
          <w:szCs w:val="24"/>
        </w:rPr>
        <w:t>following the termination of the Institutional Framework Agreement (IFA) negotiation on 26 May 2021, Switzerland is no longer a candidate to associate to Horizon Europe and is currently treated as other high income third countries. The EU wants to obtain legal certainty, stability and predictability in the EU-Swiss relationship, in a systemic and coherent way, namely in the areas of a dynamic takeover of the EU acquis, a level playing field in state aid, a dispute settlement mechanism, and the regular and fair financial contribution towards reducing economic and social disparities within the EU. The above institutional issues need to be addressed before the Commission is in a position to engage in work towards the association of Switzerland to the 2021-2027 generation of EU Programmes.</w:t>
      </w:r>
    </w:p>
    <w:p w:rsidR="00F36993" w:rsidRDefault="00150EEC" w:rsidP="007D2EE8">
      <w:pPr>
        <w:spacing w:after="120" w:line="240" w:lineRule="auto"/>
        <w:jc w:val="both"/>
      </w:pPr>
      <w:r w:rsidRPr="00150EEC">
        <w:rPr>
          <w:rFonts w:eastAsia="Calibri" w:cs="Times New Roman"/>
          <w:szCs w:val="24"/>
        </w:rPr>
        <w:t xml:space="preserve">The Commission continues to recognise the mutual benefit in R&amp;I cooperation with the United Kingdom. However, the Trade and Cooperation Agreement does not provide for a binding timeframe nor a precise deadline to associate the United Kingdom to Union Programmes. The Commission looks forward to a prompt resolution of the serious difficulties </w:t>
      </w:r>
      <w:r w:rsidRPr="00150EEC">
        <w:rPr>
          <w:rFonts w:eastAsia="Times New Roman" w:cs="Times New Roman"/>
          <w:szCs w:val="24"/>
        </w:rPr>
        <w:t xml:space="preserve">being currently experienced in areas of our relationship, that would allow the establishment of the association to Union programmes, and that would enhance the cooperation opportunities in science, research, and innovation, nuclear research and space. In the meanwhile, the United Kingdom continues to be considered </w:t>
      </w:r>
      <w:r w:rsidRPr="00150EEC">
        <w:rPr>
          <w:rFonts w:eastAsia="Calibri" w:cs="Times New Roman"/>
          <w:szCs w:val="24"/>
        </w:rPr>
        <w:t>as a “candidate” associated country, which enables UK entities to apply for Horizon Europe projects as if they were associated right up to the time of the grant signature. The establishment of the association is a precondition for the entities from any candidate associated country to become beneficiaries of EU funding in the grant agreements unless specific exceptions apply.</w:t>
      </w:r>
    </w:p>
    <w:sectPr w:rsidR="00F3699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EEC" w:rsidRDefault="00150EEC" w:rsidP="00150EEC">
      <w:pPr>
        <w:spacing w:after="0" w:line="240" w:lineRule="auto"/>
      </w:pPr>
      <w:r>
        <w:separator/>
      </w:r>
    </w:p>
  </w:endnote>
  <w:endnote w:type="continuationSeparator" w:id="0">
    <w:p w:rsidR="00150EEC" w:rsidRDefault="00150EEC" w:rsidP="00150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998" w:rsidRDefault="000179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2717138"/>
      <w:docPartObj>
        <w:docPartGallery w:val="Page Numbers (Bottom of Page)"/>
        <w:docPartUnique/>
      </w:docPartObj>
    </w:sdtPr>
    <w:sdtEndPr>
      <w:rPr>
        <w:noProof/>
      </w:rPr>
    </w:sdtEndPr>
    <w:sdtContent>
      <w:p w:rsidR="00017998" w:rsidRDefault="0001799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85159E" w:rsidRDefault="008515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998" w:rsidRDefault="000179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EEC" w:rsidRDefault="00150EEC" w:rsidP="00150EEC">
      <w:pPr>
        <w:spacing w:after="0" w:line="240" w:lineRule="auto"/>
      </w:pPr>
      <w:r>
        <w:separator/>
      </w:r>
    </w:p>
  </w:footnote>
  <w:footnote w:type="continuationSeparator" w:id="0">
    <w:p w:rsidR="00150EEC" w:rsidRDefault="00150EEC" w:rsidP="00150EEC">
      <w:pPr>
        <w:spacing w:after="0" w:line="240" w:lineRule="auto"/>
      </w:pPr>
      <w:r>
        <w:continuationSeparator/>
      </w:r>
    </w:p>
  </w:footnote>
  <w:footnote w:id="1">
    <w:p w:rsidR="00150EEC" w:rsidRPr="006379A6" w:rsidRDefault="00150EEC" w:rsidP="007D2EE8">
      <w:pPr>
        <w:pStyle w:val="FootnoteText"/>
        <w:tabs>
          <w:tab w:val="left" w:pos="284"/>
        </w:tabs>
        <w:rPr>
          <w:lang w:val="fr-BE"/>
        </w:rPr>
      </w:pPr>
      <w:r>
        <w:rPr>
          <w:rStyle w:val="FootnoteReference"/>
        </w:rPr>
        <w:footnoteRef/>
      </w:r>
      <w:r w:rsidRPr="009950F6">
        <w:rPr>
          <w:lang w:val="fr-BE"/>
        </w:rPr>
        <w:t xml:space="preserve"> </w:t>
      </w:r>
      <w:r>
        <w:rPr>
          <w:lang w:val="fr-BE"/>
        </w:rPr>
        <w:tab/>
      </w:r>
      <w:r w:rsidRPr="006379A6">
        <w:rPr>
          <w:lang w:val="fr-BE"/>
        </w:rPr>
        <w:t xml:space="preserve">Judgement of 6 October 2020, </w:t>
      </w:r>
      <w:r w:rsidRPr="006379A6">
        <w:rPr>
          <w:i/>
          <w:lang w:val="fr-BE"/>
        </w:rPr>
        <w:t>Commission v Hungary (Enseignement supérieur)</w:t>
      </w:r>
      <w:r w:rsidRPr="006379A6">
        <w:rPr>
          <w:lang w:val="fr-BE"/>
        </w:rPr>
        <w:t>, C- 6</w:t>
      </w:r>
      <w:r>
        <w:rPr>
          <w:lang w:val="fr-BE"/>
        </w:rPr>
        <w:t xml:space="preserve">6/18, EU:C:2020:792, </w:t>
      </w:r>
      <w:r w:rsidR="007D2EE8" w:rsidRPr="0085159E">
        <w:rPr>
          <w:rFonts w:eastAsia="Calibri" w:cs="Times New Roman"/>
          <w:szCs w:val="24"/>
          <w:lang w:val="fr-BE"/>
        </w:rPr>
        <w:tab/>
      </w:r>
      <w:r>
        <w:rPr>
          <w:lang w:val="fr-BE"/>
        </w:rPr>
        <w:t>point 227</w:t>
      </w:r>
    </w:p>
  </w:footnote>
  <w:footnote w:id="2">
    <w:p w:rsidR="00150EEC" w:rsidRPr="006379A6" w:rsidRDefault="00150EEC" w:rsidP="007D2EE8">
      <w:pPr>
        <w:pStyle w:val="FootnoteText"/>
        <w:tabs>
          <w:tab w:val="left" w:pos="284"/>
        </w:tabs>
      </w:pPr>
      <w:r w:rsidRPr="006379A6">
        <w:rPr>
          <w:rStyle w:val="FootnoteReference"/>
        </w:rPr>
        <w:footnoteRef/>
      </w:r>
      <w:r w:rsidRPr="006379A6">
        <w:t xml:space="preserve"> </w:t>
      </w:r>
      <w:r>
        <w:tab/>
      </w:r>
      <w:r w:rsidRPr="006379A6">
        <w:t>Pursuant to Article 17 (2) TEU the legislative intuitive is exclusively in the</w:t>
      </w:r>
      <w:r>
        <w:t xml:space="preserve"> prerogatives of the Commission</w:t>
      </w:r>
    </w:p>
  </w:footnote>
  <w:footnote w:id="3">
    <w:p w:rsidR="00150EEC" w:rsidRPr="006379A6" w:rsidRDefault="00150EEC" w:rsidP="007D2EE8">
      <w:pPr>
        <w:pStyle w:val="FootnoteText"/>
        <w:tabs>
          <w:tab w:val="left" w:pos="284"/>
        </w:tabs>
        <w:jc w:val="both"/>
      </w:pPr>
      <w:r>
        <w:rPr>
          <w:rStyle w:val="FootnoteReference"/>
        </w:rPr>
        <w:footnoteRef/>
      </w:r>
      <w:r>
        <w:t xml:space="preserve"> </w:t>
      </w:r>
      <w:r>
        <w:tab/>
      </w:r>
      <w:r w:rsidRPr="006379A6">
        <w:t xml:space="preserve">The Republic of Albania (pending ratification), the Republic of Armenia, Bosnia and Herzegovina, Georgia, </w:t>
      </w:r>
      <w:r w:rsidR="007D2EE8">
        <w:rPr>
          <w:rFonts w:eastAsia="Calibri" w:cs="Times New Roman"/>
          <w:szCs w:val="24"/>
        </w:rPr>
        <w:tab/>
      </w:r>
      <w:r w:rsidRPr="006379A6">
        <w:t>Iceland, the Republic of Kosovo, Montenegro, the Republic of North Macedonia, the Kingdom of No</w:t>
      </w:r>
      <w:r>
        <w:t xml:space="preserve">rway </w:t>
      </w:r>
      <w:r w:rsidR="007D2EE8">
        <w:rPr>
          <w:rFonts w:eastAsia="Calibri" w:cs="Times New Roman"/>
          <w:szCs w:val="24"/>
        </w:rPr>
        <w:tab/>
      </w:r>
      <w:r>
        <w:t>and the Republic of Serbia</w:t>
      </w:r>
    </w:p>
  </w:footnote>
  <w:footnote w:id="4">
    <w:p w:rsidR="00150EEC" w:rsidRPr="006379A6" w:rsidRDefault="00150EEC" w:rsidP="007D2EE8">
      <w:pPr>
        <w:pStyle w:val="FootnoteText"/>
        <w:tabs>
          <w:tab w:val="left" w:pos="284"/>
        </w:tabs>
        <w:jc w:val="both"/>
      </w:pPr>
      <w:r w:rsidRPr="006379A6">
        <w:rPr>
          <w:rStyle w:val="FootnoteReference"/>
        </w:rPr>
        <w:footnoteRef/>
      </w:r>
      <w:r>
        <w:t xml:space="preserve"> </w:t>
      </w:r>
      <w:r>
        <w:tab/>
      </w:r>
      <w:r w:rsidRPr="006379A6">
        <w:t xml:space="preserve">Framework Agreement on relations between the European Parliament and the European Commission - </w:t>
      </w:r>
      <w:r w:rsidR="007D2EE8">
        <w:rPr>
          <w:rFonts w:eastAsia="Calibri" w:cs="Times New Roman"/>
          <w:szCs w:val="24"/>
        </w:rPr>
        <w:tab/>
      </w:r>
      <w:r w:rsidRPr="006379A6">
        <w:t xml:space="preserve">ANNEX III Negotiation and conclusion of international agreements laying down detailed arrangements for </w:t>
      </w:r>
      <w:r w:rsidR="007D2EE8">
        <w:rPr>
          <w:rFonts w:eastAsia="Calibri" w:cs="Times New Roman"/>
          <w:szCs w:val="24"/>
        </w:rPr>
        <w:tab/>
      </w:r>
      <w:r w:rsidRPr="006379A6">
        <w:t xml:space="preserve">the provision of information to Parliament concerning the negotiation and conclusion of international </w:t>
      </w:r>
      <w:r w:rsidR="007D2EE8">
        <w:rPr>
          <w:rFonts w:eastAsia="Calibri" w:cs="Times New Roman"/>
          <w:szCs w:val="24"/>
        </w:rPr>
        <w:tab/>
      </w:r>
      <w:r w:rsidRPr="006379A6">
        <w:t>agreements as referred to in points 23, 24 and 2</w:t>
      </w:r>
      <w:r>
        <w:t>5 of the Framework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998" w:rsidRDefault="000179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998" w:rsidRDefault="000179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998" w:rsidRDefault="000179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1A75DF"/>
    <w:multiLevelType w:val="hybridMultilevel"/>
    <w:tmpl w:val="4D8C7FD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EEC"/>
    <w:rsid w:val="00017998"/>
    <w:rsid w:val="000F15F1"/>
    <w:rsid w:val="00150EEC"/>
    <w:rsid w:val="001E37D4"/>
    <w:rsid w:val="00512EE8"/>
    <w:rsid w:val="0065281F"/>
    <w:rsid w:val="0076069D"/>
    <w:rsid w:val="007D2EE8"/>
    <w:rsid w:val="00815B75"/>
    <w:rsid w:val="008342CE"/>
    <w:rsid w:val="0085159E"/>
    <w:rsid w:val="0095347B"/>
    <w:rsid w:val="00AF5B02"/>
    <w:rsid w:val="00EF1DA5"/>
    <w:rsid w:val="00F36993"/>
    <w:rsid w:val="00FF2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738FEF-D42C-479F-8F47-526E1808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50E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0EEC"/>
    <w:rPr>
      <w:sz w:val="20"/>
      <w:szCs w:val="20"/>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sid w:val="00150EEC"/>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50EEC"/>
    <w:pPr>
      <w:spacing w:line="240" w:lineRule="exact"/>
    </w:pPr>
    <w:rPr>
      <w:vertAlign w:val="superscript"/>
    </w:rPr>
  </w:style>
  <w:style w:type="paragraph" w:styleId="Header">
    <w:name w:val="header"/>
    <w:basedOn w:val="Normal"/>
    <w:link w:val="HeaderChar"/>
    <w:uiPriority w:val="99"/>
    <w:unhideWhenUsed/>
    <w:rsid w:val="00851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59E"/>
  </w:style>
  <w:style w:type="paragraph" w:styleId="Footer">
    <w:name w:val="footer"/>
    <w:basedOn w:val="Normal"/>
    <w:link w:val="FooterChar"/>
    <w:uiPriority w:val="99"/>
    <w:unhideWhenUsed/>
    <w:rsid w:val="00851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4943</Words>
  <Characters>28376</Characters>
  <Application>Microsoft Office Word</Application>
  <DocSecurity>0</DocSecurity>
  <Lines>405</Lines>
  <Paragraphs>63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BIANCHIN Raffaella (SG)</dc:creator>
  <cp:keywords/>
  <dc:description/>
  <cp:lastModifiedBy>BIANCHIN Raffaella (SG)</cp:lastModifiedBy>
  <cp:revision>4</cp:revision>
  <dcterms:created xsi:type="dcterms:W3CDTF">2022-06-21T08:37:00Z</dcterms:created>
  <dcterms:modified xsi:type="dcterms:W3CDTF">2022-06-21T08:42:00Z</dcterms:modified>
</cp:coreProperties>
</file>