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0EEC" w:rsidRPr="00150EEC" w:rsidRDefault="00150EEC" w:rsidP="00150EEC">
      <w:pPr>
        <w:spacing w:after="600" w:line="240" w:lineRule="auto"/>
        <w:jc w:val="center"/>
        <w:rPr>
          <w:rFonts w:eastAsia="Times New Roman" w:cs="Times New Roman"/>
          <w:b/>
          <w:szCs w:val="24"/>
        </w:rPr>
      </w:pPr>
      <w:r>
        <w:rPr>
          <w:b/>
        </w:rPr>
        <w:t>Suite donnée à la résolution non législative du Parlement européen sur une</w:t>
      </w:r>
      <w:r>
        <w:rPr>
          <w:b/>
        </w:rPr>
        <w:br/>
        <w:t xml:space="preserve">approche mondiale de la recherche et de l’innovation: </w:t>
      </w:r>
      <w:r w:rsidR="00CF12AC">
        <w:rPr>
          <w:b/>
        </w:rPr>
        <w:t>l</w:t>
      </w:r>
      <w:r>
        <w:rPr>
          <w:b/>
        </w:rPr>
        <w:t xml:space="preserve">a stratégie de l’Europe pour </w:t>
      </w:r>
      <w:r>
        <w:rPr>
          <w:b/>
        </w:rPr>
        <w:br/>
        <w:t xml:space="preserve">la coopération internationale dans un monde en mutation </w:t>
      </w:r>
    </w:p>
    <w:p w:rsidR="00150EEC" w:rsidRPr="00150EEC" w:rsidRDefault="00150EEC" w:rsidP="00150EEC">
      <w:pPr>
        <w:spacing w:after="240" w:line="240" w:lineRule="auto"/>
        <w:ind w:left="720" w:hanging="720"/>
        <w:jc w:val="both"/>
        <w:rPr>
          <w:rFonts w:eastAsia="Times New Roman" w:cs="Times New Roman"/>
          <w:b/>
          <w:szCs w:val="24"/>
        </w:rPr>
      </w:pPr>
      <w:r>
        <w:rPr>
          <w:b/>
        </w:rPr>
        <w:t>1.</w:t>
      </w:r>
      <w:r>
        <w:rPr>
          <w:b/>
        </w:rPr>
        <w:tab/>
        <w:t>Résolution présentée conformément à l’article 136, paragraphe 5, du règlement intérieur du Parlement européen</w:t>
      </w:r>
    </w:p>
    <w:p w:rsidR="00150EEC" w:rsidRPr="00150EEC" w:rsidRDefault="00150EEC" w:rsidP="00150EEC">
      <w:pPr>
        <w:spacing w:after="240" w:line="240" w:lineRule="auto"/>
        <w:jc w:val="both"/>
        <w:rPr>
          <w:rFonts w:eastAsia="Times New Roman" w:cs="Times New Roman"/>
          <w:i/>
          <w:szCs w:val="24"/>
        </w:rPr>
      </w:pPr>
      <w:r>
        <w:rPr>
          <w:b/>
        </w:rPr>
        <w:t>2.</w:t>
      </w:r>
      <w:r>
        <w:rPr>
          <w:b/>
        </w:rPr>
        <w:tab/>
        <w:t>Numéro de référence</w:t>
      </w:r>
      <w:r w:rsidRPr="00CF12AC">
        <w:t>:</w:t>
      </w:r>
      <w:r>
        <w:rPr>
          <w:b/>
        </w:rPr>
        <w:t xml:space="preserve"> </w:t>
      </w:r>
      <w:r>
        <w:t>2021/3001 (RSP)/</w:t>
      </w:r>
      <w:bookmarkStart w:id="0" w:name="_GoBack"/>
      <w:r>
        <w:t>B9-0174/2022</w:t>
      </w:r>
      <w:bookmarkEnd w:id="0"/>
      <w:r>
        <w:t>/P9_TA (2022) 0112</w:t>
      </w:r>
    </w:p>
    <w:p w:rsidR="00150EEC" w:rsidRPr="00150EEC" w:rsidRDefault="00150EEC" w:rsidP="00150EEC">
      <w:pPr>
        <w:spacing w:after="240" w:line="240" w:lineRule="auto"/>
        <w:jc w:val="both"/>
        <w:rPr>
          <w:rFonts w:eastAsia="Times New Roman" w:cs="Times New Roman"/>
          <w:szCs w:val="24"/>
        </w:rPr>
      </w:pPr>
      <w:r>
        <w:rPr>
          <w:b/>
        </w:rPr>
        <w:t>3.</w:t>
      </w:r>
      <w:r>
        <w:rPr>
          <w:b/>
        </w:rPr>
        <w:tab/>
        <w:t>Date d</w:t>
      </w:r>
      <w:r w:rsidR="00CF12AC">
        <w:rPr>
          <w:b/>
        </w:rPr>
        <w:t>’</w:t>
      </w:r>
      <w:r>
        <w:rPr>
          <w:b/>
        </w:rPr>
        <w:t>adoption de la résolution</w:t>
      </w:r>
      <w:r w:rsidR="00CF12AC" w:rsidRPr="00CF12AC">
        <w:t>:</w:t>
      </w:r>
      <w:r>
        <w:t xml:space="preserve"> 6 avril 2022</w:t>
      </w:r>
    </w:p>
    <w:p w:rsidR="00150EEC" w:rsidRPr="00150EEC" w:rsidRDefault="00150EEC" w:rsidP="00150EEC">
      <w:pPr>
        <w:spacing w:after="240" w:line="240" w:lineRule="auto"/>
        <w:ind w:left="720" w:hanging="720"/>
        <w:jc w:val="both"/>
        <w:rPr>
          <w:rFonts w:eastAsia="Times New Roman" w:cs="Times New Roman"/>
          <w:i/>
          <w:szCs w:val="24"/>
        </w:rPr>
      </w:pPr>
      <w:r>
        <w:rPr>
          <w:b/>
        </w:rPr>
        <w:t>4.</w:t>
      </w:r>
      <w:r>
        <w:rPr>
          <w:b/>
        </w:rPr>
        <w:tab/>
        <w:t>Commission parlementaire compétente</w:t>
      </w:r>
      <w:r w:rsidR="00CF12AC" w:rsidRPr="00CF12AC">
        <w:t>:</w:t>
      </w:r>
      <w:r>
        <w:rPr>
          <w:b/>
        </w:rPr>
        <w:t xml:space="preserve"> </w:t>
      </w:r>
      <w:r>
        <w:t>commission de l’industrie, de la recherche et de l’énergie (ITRE)</w:t>
      </w:r>
    </w:p>
    <w:p w:rsidR="00150EEC" w:rsidRPr="00150EEC" w:rsidRDefault="00150EEC" w:rsidP="00150EEC">
      <w:pPr>
        <w:widowControl w:val="0"/>
        <w:spacing w:after="240" w:line="240" w:lineRule="auto"/>
        <w:jc w:val="both"/>
        <w:rPr>
          <w:rFonts w:eastAsia="Times New Roman" w:cs="Times New Roman"/>
          <w:b/>
          <w:szCs w:val="24"/>
        </w:rPr>
      </w:pPr>
      <w:r>
        <w:rPr>
          <w:b/>
        </w:rPr>
        <w:t>5.</w:t>
      </w:r>
      <w:r>
        <w:rPr>
          <w:b/>
        </w:rPr>
        <w:tab/>
        <w:t>Analyse/évaluation succincte de la résolution et des demandes qu’elle contient</w:t>
      </w:r>
      <w:r w:rsidRPr="00CF12AC">
        <w:t>:</w:t>
      </w:r>
      <w:r>
        <w:rPr>
          <w:b/>
        </w:rPr>
        <w:t xml:space="preserve"> </w:t>
      </w:r>
    </w:p>
    <w:p w:rsidR="00150EEC" w:rsidRPr="00150EEC" w:rsidRDefault="00150EEC" w:rsidP="00150EEC">
      <w:pPr>
        <w:widowControl w:val="0"/>
        <w:spacing w:after="120" w:line="240" w:lineRule="auto"/>
        <w:jc w:val="both"/>
        <w:rPr>
          <w:rFonts w:eastAsia="Calibri" w:cs="Times New Roman"/>
          <w:szCs w:val="24"/>
        </w:rPr>
      </w:pPr>
      <w:r>
        <w:t>Entre autres, la résolution:</w:t>
      </w:r>
    </w:p>
    <w:p w:rsidR="00150EEC" w:rsidRPr="00150EEC" w:rsidRDefault="00150EEC" w:rsidP="00150EEC">
      <w:pPr>
        <w:widowControl w:val="0"/>
        <w:numPr>
          <w:ilvl w:val="0"/>
          <w:numId w:val="1"/>
        </w:numPr>
        <w:spacing w:after="120" w:line="240" w:lineRule="auto"/>
        <w:ind w:left="567" w:hanging="357"/>
        <w:jc w:val="both"/>
        <w:rPr>
          <w:rFonts w:eastAsia="Calibri" w:cs="Times New Roman"/>
          <w:szCs w:val="24"/>
        </w:rPr>
      </w:pPr>
      <w:r>
        <w:t>souligne que la coopération mondiale en matière de recherche et d’innovation (R&amp;I) est essentielle pour la compétitivité de l’Europe, mais note que cela ne peut conduire à une ouverture inconditionnelle de la part de l’Union et elle soutient dès lors l’approche générale caractérisée par le principe «aussi ouvert que possible, mais aussi fermé que nécessaire»;</w:t>
      </w:r>
    </w:p>
    <w:p w:rsidR="00150EEC" w:rsidRPr="00150EEC" w:rsidRDefault="00150EEC" w:rsidP="00150EEC">
      <w:pPr>
        <w:widowControl w:val="0"/>
        <w:numPr>
          <w:ilvl w:val="0"/>
          <w:numId w:val="1"/>
        </w:numPr>
        <w:spacing w:after="120" w:line="240" w:lineRule="auto"/>
        <w:ind w:left="567" w:hanging="357"/>
        <w:jc w:val="both"/>
        <w:rPr>
          <w:rFonts w:eastAsia="Calibri" w:cs="Times New Roman"/>
          <w:szCs w:val="24"/>
        </w:rPr>
      </w:pPr>
      <w:r>
        <w:t>soutient le recours à l’article 22, paragraphe 5, du règlement Horizon Europe dans des cas exceptionnels et invite instamment la Commission à publier une politique d’exclusion justifiée et à lancer un débat public sur la bonne utilisation de ces possibilités;</w:t>
      </w:r>
    </w:p>
    <w:p w:rsidR="00150EEC" w:rsidRPr="00150EEC" w:rsidRDefault="00150EEC" w:rsidP="00150EEC">
      <w:pPr>
        <w:widowControl w:val="0"/>
        <w:numPr>
          <w:ilvl w:val="0"/>
          <w:numId w:val="1"/>
        </w:numPr>
        <w:spacing w:after="120" w:line="240" w:lineRule="auto"/>
        <w:ind w:left="567" w:hanging="357"/>
        <w:jc w:val="both"/>
        <w:rPr>
          <w:rFonts w:eastAsia="Calibri" w:cs="Times New Roman"/>
          <w:szCs w:val="24"/>
        </w:rPr>
      </w:pPr>
      <w:r>
        <w:t>souligne qu</w:t>
      </w:r>
      <w:r w:rsidR="00CF12AC">
        <w:t>’</w:t>
      </w:r>
      <w:r>
        <w:t>il faut aligner l’approche mondiale sur la stratégie industrielle de l’Union et le pacte vert pour l’Europe, moteurs de prospérité et de croissance économique durable et demande que l’on tienne davantage compte de la coopération industrielle dans le cadre de la stratégie;</w:t>
      </w:r>
    </w:p>
    <w:p w:rsidR="00150EEC" w:rsidRPr="00150EEC" w:rsidRDefault="00150EEC" w:rsidP="00150EEC">
      <w:pPr>
        <w:widowControl w:val="0"/>
        <w:numPr>
          <w:ilvl w:val="0"/>
          <w:numId w:val="1"/>
        </w:numPr>
        <w:spacing w:after="120" w:line="240" w:lineRule="auto"/>
        <w:ind w:left="567" w:hanging="357"/>
        <w:jc w:val="both"/>
        <w:rPr>
          <w:rFonts w:eastAsia="Calibri" w:cs="Times New Roman"/>
          <w:szCs w:val="24"/>
        </w:rPr>
      </w:pPr>
      <w:r>
        <w:t>invite la Commission à présenter une proposition assurant la protection juridique de la liberté académique au sein de l’Union dans les traités et à faire référence au respect de cette liberté dans les accords d’association;</w:t>
      </w:r>
    </w:p>
    <w:p w:rsidR="00150EEC" w:rsidRPr="00150EEC" w:rsidRDefault="00150EEC" w:rsidP="006B4BAA">
      <w:pPr>
        <w:widowControl w:val="0"/>
        <w:numPr>
          <w:ilvl w:val="0"/>
          <w:numId w:val="1"/>
        </w:numPr>
        <w:spacing w:after="240" w:line="240" w:lineRule="auto"/>
        <w:ind w:left="567" w:hanging="357"/>
        <w:jc w:val="both"/>
        <w:rPr>
          <w:rFonts w:eastAsia="Calibri" w:cs="Times New Roman"/>
          <w:b/>
          <w:szCs w:val="24"/>
        </w:rPr>
      </w:pPr>
      <w:r>
        <w:t>souligne qu</w:t>
      </w:r>
      <w:r w:rsidR="00CF12AC">
        <w:t>’</w:t>
      </w:r>
      <w:r>
        <w:t>il importe de dégager des synergies et de renforcer la coopération avec les programmes d</w:t>
      </w:r>
      <w:r w:rsidR="00CF12AC">
        <w:t>’</w:t>
      </w:r>
      <w:r>
        <w:t>action extérieure de l’Union, comme l’instrument de voisinage, de coopération au développement et de coopération internationale, les investissements dans le développement d’infrastructures mondiales dans le cadre de «Global Gateway» ou l’instrument d’aide de préadhésion.</w:t>
      </w:r>
    </w:p>
    <w:p w:rsidR="00150EEC" w:rsidRPr="00150EEC" w:rsidRDefault="00150EEC" w:rsidP="00150EEC">
      <w:pPr>
        <w:widowControl w:val="0"/>
        <w:spacing w:after="240" w:line="240" w:lineRule="auto"/>
        <w:ind w:left="720" w:hanging="720"/>
        <w:jc w:val="both"/>
        <w:rPr>
          <w:rFonts w:eastAsia="Times New Roman" w:cs="Times New Roman"/>
          <w:b/>
          <w:szCs w:val="24"/>
        </w:rPr>
      </w:pPr>
      <w:r>
        <w:rPr>
          <w:b/>
        </w:rPr>
        <w:t>6.</w:t>
      </w:r>
      <w:r>
        <w:rPr>
          <w:b/>
        </w:rPr>
        <w:tab/>
        <w:t>Réponse à ces demandes et aperçu des mesures que la Commission a prises ou envisage de prendre</w:t>
      </w:r>
    </w:p>
    <w:p w:rsidR="00150EEC" w:rsidRPr="00150EEC" w:rsidRDefault="00150EEC" w:rsidP="00150EEC">
      <w:pPr>
        <w:widowControl w:val="0"/>
        <w:spacing w:after="120" w:line="240" w:lineRule="auto"/>
        <w:jc w:val="both"/>
        <w:rPr>
          <w:rFonts w:eastAsia="Calibri" w:cs="Times New Roman"/>
          <w:szCs w:val="24"/>
        </w:rPr>
      </w:pPr>
      <w:r>
        <w:t xml:space="preserve">La Commission européenne se félicite des commentaires positifs du Parlement européen sur la communication de la Commission sur l’approche mondiale ainsi que du soutien du Parlement aux mesures exposées dans la communication. La Commission attend avec intérêt de travailler avec le Parlement à la mise en œuvre des politiques et des plans de coopération internationale en matière de recherche et d’innovation décrits dans la communication sur </w:t>
      </w:r>
      <w:r>
        <w:lastRenderedPageBreak/>
        <w:t>l’approche mondiale. En réponse à des points spécifiques de la résolution du Parlement, la Commission fait observer ce qui suit:</w:t>
      </w:r>
    </w:p>
    <w:p w:rsidR="00150EEC" w:rsidRPr="00150EEC" w:rsidRDefault="00150EEC" w:rsidP="00150EEC">
      <w:pPr>
        <w:spacing w:after="120" w:line="240" w:lineRule="auto"/>
        <w:jc w:val="both"/>
        <w:rPr>
          <w:rFonts w:ascii="Calibri" w:eastAsia="Calibri" w:hAnsi="Calibri" w:cs="Times New Roman"/>
          <w:sz w:val="22"/>
          <w:szCs w:val="24"/>
        </w:rPr>
      </w:pPr>
      <w:r>
        <w:rPr>
          <w:u w:val="single"/>
        </w:rPr>
        <w:t>Point 4</w:t>
      </w:r>
      <w:r>
        <w:t>, la Commission reconnaît qu</w:t>
      </w:r>
      <w:r w:rsidR="00CF12AC">
        <w:t>’</w:t>
      </w:r>
      <w:r>
        <w:t>il faut continuer d’investir dans les compétences et les carrières des chercheurs et dans la circulation des talents. Rendre les carrières dans la recherche plus attrayantes et plus durables pour les jeunes talents, lutter contre la précarité des chercheurs, garantir l’égalité entre les hommes et les femmes et mettre en place des systèmes de remise de prix adéquats est une condition fondamentale de l’excellence et de la compétitivité à long terme de l’espace européen de la recherche (EER). L’importance que revêt la prise de mesures a été reflétée dans une action spécifique dans le programme stratégique de l’EER annexé aux conclusions du Conseil de novembre 2021 sur la nouvelle gouvernance de l’EER. Les mesures sont prises à trois niveaux: i) Élaboration d’un cadre européen global pour les carrières dans la recherche, conformément aux conclusions du Conseil sur «l</w:t>
      </w:r>
      <w:r w:rsidR="00CF12AC">
        <w:t>’</w:t>
      </w:r>
      <w:r>
        <w:t>approfondissement de l’espace européen de la recherche: offrir aux chercheurs des carrières et des conditions de travail attrayantes et durables et faire de la circulation des cerveaux une réalité», du 28 mai 2021. ii) l’échange de bonnes pratiques et l’apprentissage mutuel avec les États membres afin de soutenir la mobilité intersectorielle et la réforme du système en vue d’une circulation plus équilibrée des talents. Ce niveau inclura la promotion de l’utilisation du référentiel européen des compétences pour les chercheurs, élaboré par la Commission sur la base de la nouvelle communication sur l’EER et de la stratégie en matière de compétences, et qui sera mis en œuvre dans le courant de l’année 2022. iii) des mesures de soutien visant à améliorer l’attrait des carrières dans la recherche dans les universités et au-delà (telles que l’observatoire des carrières dans la recherche et la plateforme des talents de l’EER).</w:t>
      </w:r>
    </w:p>
    <w:p w:rsidR="00150EEC" w:rsidRPr="00150EEC" w:rsidRDefault="00150EEC" w:rsidP="00150EEC">
      <w:pPr>
        <w:spacing w:after="120" w:line="240" w:lineRule="auto"/>
        <w:jc w:val="both"/>
        <w:rPr>
          <w:rFonts w:eastAsia="Segoe UI" w:cs="Times New Roman"/>
          <w:szCs w:val="24"/>
        </w:rPr>
      </w:pPr>
      <w:r>
        <w:rPr>
          <w:u w:val="single"/>
        </w:rPr>
        <w:t>Point 5</w:t>
      </w:r>
      <w:r>
        <w:t>, la Commission informe le Parlement que les États membres et la Commission, en tant que coprésidents du forum de l’EER, ont veillé à ce que les catégories suivantes de parties prenantes européennes dans la R&amp;I soient représentées au sein du forum de l’EER avec un rôle d’observateur: i) les universités et autres établissements d’enseignement supérieur, ii) les organismes de recherche et de technologie, iii) les entreprises à forte intensité de R&amp;I, y compris les PME, iv) les chercheurs et innovateurs individuels, y compris au début et au milieu de leur carrière, v) les infrastructures de recherche, vi) les organismes de financement de la R&amp;I et vii) les académies de sciences.</w:t>
      </w:r>
    </w:p>
    <w:p w:rsidR="00150EEC" w:rsidRPr="00150EEC" w:rsidRDefault="00150EEC" w:rsidP="00150EEC">
      <w:pPr>
        <w:spacing w:after="120" w:line="240" w:lineRule="auto"/>
        <w:jc w:val="both"/>
        <w:rPr>
          <w:rFonts w:eastAsia="Calibri" w:cs="Times New Roman"/>
          <w:szCs w:val="24"/>
        </w:rPr>
      </w:pPr>
      <w:r>
        <w:rPr>
          <w:u w:val="single"/>
        </w:rPr>
        <w:t>Point 6</w:t>
      </w:r>
      <w:r>
        <w:t xml:space="preserve">, la Commission convient que les défis économiques, sociétaux et environnementaux mondiaux sont mieux relevés au moyen d’une coopération multilatérale fondée sur des règles, y compris dans le domaine de la R&amp;I, comme indiqué dans la communication sur l’approche mondiale. À cette fin, la Commission s’engage à collaborer avec les principaux pays partenaires dans le cadre d’un dialogue multilatéral sur les principes et les valeurs, qui devrait sous-tendre la coopération internationale en matière de R&amp;I, </w:t>
      </w:r>
      <w:r>
        <w:rPr>
          <w:color w:val="000000"/>
        </w:rPr>
        <w:t>à laquelle appelle la déclaration de Marseille saluée par la conférence de Marseille organisée par la présidence française le 8 mars 2022</w:t>
      </w:r>
      <w:r>
        <w:t>.</w:t>
      </w:r>
    </w:p>
    <w:p w:rsidR="00150EEC" w:rsidRPr="00150EEC" w:rsidRDefault="00150EEC" w:rsidP="00150EEC">
      <w:pPr>
        <w:spacing w:after="120" w:line="240" w:lineRule="auto"/>
        <w:jc w:val="both"/>
        <w:rPr>
          <w:rFonts w:eastAsia="Calibri" w:cs="Times New Roman"/>
          <w:szCs w:val="24"/>
        </w:rPr>
      </w:pPr>
      <w:r>
        <w:rPr>
          <w:u w:val="single"/>
        </w:rPr>
        <w:t>Point 7</w:t>
      </w:r>
      <w:r>
        <w:t>, la Commission reconnaît et confirme que la possibilité d’association à Horizon Europe pour les pays et territoires tiers relevant du champ d’application de l’article 16, paragraphe 1, point d), du règlement Horizon Europe est encadrée par un ensemble de conditions énoncées dans cette disposition. Pour pouvoir bénéficier de l</w:t>
      </w:r>
      <w:r w:rsidR="00CF12AC">
        <w:t>’</w:t>
      </w:r>
      <w:r>
        <w:t>association, ces pays et territoires tiers dotés d’une grande capacité en matière de science, de technologie et d’innovation (STI) doivent respecter des critères précis, notamment s’engager en faveur d’une économie de marché ouverte fondée sur des règles, dont un traitement juste et équitable des droits de propriété intellectuelle et le respect des droits de l’homme, avec le soutien des institutions démocratiques.</w:t>
      </w:r>
    </w:p>
    <w:p w:rsidR="00150EEC" w:rsidRPr="00150EEC" w:rsidRDefault="00150EEC" w:rsidP="00150EEC">
      <w:pPr>
        <w:widowControl w:val="0"/>
        <w:spacing w:after="120" w:line="240" w:lineRule="auto"/>
        <w:jc w:val="both"/>
        <w:rPr>
          <w:rFonts w:eastAsia="Calibri" w:cs="Times New Roman"/>
          <w:szCs w:val="24"/>
        </w:rPr>
      </w:pPr>
      <w:r>
        <w:lastRenderedPageBreak/>
        <w:t>Les services de la Commission évaluent minutieusement si un pays tiers relevant du champ d</w:t>
      </w:r>
      <w:r w:rsidR="00CF12AC">
        <w:t>’</w:t>
      </w:r>
      <w:r>
        <w:t>application de l’article 16, paragraphe 1, point d), du règlement Horizon Europe remplit chaque critère et si leur association potentielle bénéficierait à l’UE, avant de préparer une recommandation au Conseil en vue d’ouvrir des négociations d’association. Cette évaluation est reprise dans l’exposé des motifs figurant dans chaque recommandation de la Commission au Conseil visant à autoriser l’ouverture de négociations avec un pays tiers donné au nom de l’Union européenne.</w:t>
      </w:r>
    </w:p>
    <w:p w:rsidR="00150EEC" w:rsidRPr="00150EEC" w:rsidRDefault="00150EEC" w:rsidP="00150EEC">
      <w:pPr>
        <w:spacing w:after="120" w:line="240" w:lineRule="auto"/>
        <w:jc w:val="both"/>
        <w:rPr>
          <w:rFonts w:eastAsia="Calibri" w:cs="Times New Roman"/>
          <w:szCs w:val="24"/>
        </w:rPr>
      </w:pPr>
      <w:r>
        <w:rPr>
          <w:u w:val="single"/>
        </w:rPr>
        <w:t>Point 8</w:t>
      </w:r>
      <w:r>
        <w:t>, la Commission note que le programme Horizon Europe est ouvert à la participation de chercheurs du monde entier et qu’il constitue donc une occasion majeure de coopérer à l’échelle mondiale. Cela concerne notamment les sciences sociales et humaines, par exemple, par l’intermédiaire du pôle 2 du programme «Culture, créativité et société inclusive», qui met l’accent sur la démocratie, le patrimoine culturel et les transformations sociales et économiques. En outre, le caractère interdisciplinaire des activités de R&amp;I dans le cadre d’Horizon Europe comporte une dimension socio-économique afin d’apporter des solutions efficaces en matière de R&amp;I aux défis qui nécessitent une coopération mondiale.</w:t>
      </w:r>
    </w:p>
    <w:p w:rsidR="00150EEC" w:rsidRPr="00150EEC" w:rsidRDefault="00150EEC" w:rsidP="00150EEC">
      <w:pPr>
        <w:spacing w:after="120" w:line="240" w:lineRule="auto"/>
        <w:jc w:val="both"/>
        <w:rPr>
          <w:rFonts w:eastAsia="Calibri" w:cs="Times New Roman"/>
          <w:szCs w:val="24"/>
        </w:rPr>
      </w:pPr>
      <w:r>
        <w:rPr>
          <w:u w:val="single"/>
        </w:rPr>
        <w:t>Point 10</w:t>
      </w:r>
      <w:r>
        <w:t>, la Commission convient que, compte tenu du caractère mondial de la connaissance et des chaînes de valeur actuelles, la coopération i</w:t>
      </w:r>
      <w:r w:rsidR="00CF12AC">
        <w:t>nternationale en matière de R&amp;I</w:t>
      </w:r>
      <w:r>
        <w:t xml:space="preserve"> est cruciale pour la compétitivité de l’Europe. Elle note également que le principe «aussi ouvert que possible, mais aussi fermé que nécessaire» sera appliqué dans la coopération internationale en matière de R&amp;I de l</w:t>
      </w:r>
      <w:r w:rsidR="00CF12AC">
        <w:t>’</w:t>
      </w:r>
      <w:r>
        <w:t>UE, au moyen d’une approche nuancée et modulée visant à établir des partenariats avec différents pays, sur la base de niveaux de réciprocité, de conditions de concurrence équitables et du respect des droits fondamentaux et des valeurs communes, comme indiqué dans la communication sur l’approche mondiale.</w:t>
      </w:r>
    </w:p>
    <w:p w:rsidR="00150EEC" w:rsidRPr="00150EEC" w:rsidRDefault="00150EEC" w:rsidP="00150EEC">
      <w:pPr>
        <w:spacing w:after="120" w:line="240" w:lineRule="auto"/>
        <w:jc w:val="both"/>
        <w:rPr>
          <w:rFonts w:eastAsia="Calibri" w:cs="Times New Roman"/>
          <w:szCs w:val="24"/>
          <w:u w:val="single"/>
        </w:rPr>
      </w:pPr>
      <w:r>
        <w:rPr>
          <w:u w:val="single"/>
        </w:rPr>
        <w:t>Point 11</w:t>
      </w:r>
      <w:r>
        <w:t>, la Commission convient que la coopération internationale en matière de R&amp;I devrait reposer sur les niveaux de réciprocité et le respect de valeurs et de principes tels que la science ouverte et la protection de la propriété intellectuelle, conformément à l</w:t>
      </w:r>
      <w:r w:rsidR="00CF12AC">
        <w:t>’</w:t>
      </w:r>
      <w:r>
        <w:t>approche mondiale de la R&amp;I. Dans Horizon Europe, les accords d</w:t>
      </w:r>
      <w:r w:rsidR="00CF12AC">
        <w:t>’</w:t>
      </w:r>
      <w:r>
        <w:t>association devraient prévoir, autant que possible la réciprocité dans la participation des entités de l</w:t>
      </w:r>
      <w:r w:rsidR="00CF12AC">
        <w:t>’</w:t>
      </w:r>
      <w:r>
        <w:t>UE dans des programmes équivalents de pays associés, dans la mesure où ces programmes existent et selon leurs règles de participation. En outre, la science ouverte est promue et encouragée dans tous les accords d’association et de coopération avec des pays tiers, tandis que la protection de la propriété intellectuelle est assurée par les dispositions relatives à la mise en œuvre d’Horizon Europe.</w:t>
      </w:r>
    </w:p>
    <w:p w:rsidR="00150EEC" w:rsidRPr="00150EEC" w:rsidRDefault="00150EEC" w:rsidP="00150EEC">
      <w:pPr>
        <w:spacing w:after="120" w:line="240" w:lineRule="auto"/>
        <w:jc w:val="both"/>
        <w:rPr>
          <w:rFonts w:eastAsia="Calibri" w:cs="Times New Roman"/>
          <w:szCs w:val="24"/>
        </w:rPr>
      </w:pPr>
      <w:r>
        <w:rPr>
          <w:u w:val="single"/>
        </w:rPr>
        <w:t>Point 12</w:t>
      </w:r>
      <w:r>
        <w:t>, la Commission se félicite du soutien du Parlement à l’application de l’article 22, paragraphe 5, dans les cas exceptionnels, conformément au principe «aussi ouvert que possible, mais aussi fermé que nécessaire». Son utilisation devrait concilier le caractère ouvert d’Horizon Europe et la protection, de manière limitée, ciblée et justifiée, des atouts stratégiques, des intérêts, de l’autonomie et de la sécurité de l’Union, et doit être conforme aux obligations internationales de l’Union. L’article 22, paragraphe 5, a été utilisé pour moins de 5 % des appels à propositions dans le premier programme de travail «Horizon Europe» pour la période 2021-2022. Dans la ligne également de la communication sur l’approche mondiale de la recherche et de l’innovation, qui invite la Commission à élaborer une approche proactive de la coopération en matière de recherche avec des pays partageant les mêmes valeurs, sur la base de la réciprocité, à suivre la mise en œuvre des actions prévues dans l’approche mondiale et à évaluer leur contribution à la réalisation de ses objectifs, la Commission procédera, d’ici à la fin de 2023, à une analyse de l’incidence de l’application de l’article 22, paragraphe 5, en consultation avec les pays tiers (pays associés, candidats et non associés mais partageant les mêmes valeurs, avec lesquels il existe un intérêt stratégique européen à coopérer et avec lesquels l’UE a conclu des accords scientifiques et technologiques). Elle exposera les résultats de cette analyse dans le premier rapport bisannuel sur la mise en œuvre de l’approche mondiale que la Commission présentera au Parlement européen et au Conseil. Cela servirait de base à la poursuite du développement de la politique d’utilisation future de l’article 22, paragraphe 5, et de la mise en œuvre de l’approche mondiale de la coopération en matière de recherche, conformément aux principes énoncés dans la communication.</w:t>
      </w:r>
    </w:p>
    <w:p w:rsidR="00150EEC" w:rsidRPr="00150EEC" w:rsidRDefault="00150EEC" w:rsidP="00150EEC">
      <w:pPr>
        <w:spacing w:after="120" w:line="240" w:lineRule="auto"/>
        <w:jc w:val="both"/>
        <w:rPr>
          <w:rFonts w:eastAsia="Calibri" w:cs="Times New Roman"/>
          <w:szCs w:val="24"/>
        </w:rPr>
      </w:pPr>
      <w:r>
        <w:rPr>
          <w:u w:val="single"/>
        </w:rPr>
        <w:t>Point 13</w:t>
      </w:r>
      <w:r>
        <w:t xml:space="preserve">, la Commission convient que la R&amp;I et l’approche mondiale sont des moteurs importants de la double transition écologique et numérique dans les systèmes industriels de l’UE et du renforcement de l’autonomie stratégique ouverte. Horizon Europe, notamment grâce à ses cinq missions d’accélération du pacte vert, à ses partenariats avec le secteur privé et d’autres parties prenantes importantes, le Conseil européen de l’innovation (CEI), contribue à jeter les bases d’une transformation industrielle, comportementale et écologique. Dans le même temps, la Commission entend continuer à utiliser pleinement le pouvoir de la diplomatie scientifique pour relever les défis liés au climat, à la biodiversité et à d’autres questions environnementales, et il importe de permettre à l’industrie de tirer parti de la coopération avec les acteurs des pays tiers afin de promouvoir la primauté industrielle de l’UE. La Commission s’engage à développer davantage la solide base factuelle de R&amp;I, qui est nécessaire pour trouver un juste équilibre au cas par cas, notamment au moyen des feuilles de route sur les technologies industrielles de l’EER et du suivi d’Horizon Europe. </w:t>
      </w:r>
    </w:p>
    <w:p w:rsidR="00150EEC" w:rsidRPr="00150EEC" w:rsidRDefault="00150EEC" w:rsidP="00150EEC">
      <w:pPr>
        <w:spacing w:after="120" w:line="240" w:lineRule="auto"/>
        <w:jc w:val="both"/>
        <w:rPr>
          <w:rFonts w:eastAsia="Calibri" w:cs="Times New Roman"/>
          <w:sz w:val="22"/>
          <w:szCs w:val="24"/>
        </w:rPr>
      </w:pPr>
      <w:r>
        <w:rPr>
          <w:u w:val="single"/>
        </w:rPr>
        <w:t>Point 15</w:t>
      </w:r>
      <w:r>
        <w:t xml:space="preserve">, la Commission reconnaît le rôle important des petites et moyennes entreprises (PME) dans la collaboration internationale. Faisant suite aux conclusions du Conseil sur «l’approfondissement de l’espace européen de la recherche: offrir aux chercheurs des carrières et des conditions de travail attrayantes et durables et faire de la circulation des cerveaux une réalité», du 28 mai 2021, la Commission développe l’initiative stratégique ERA4You pour la mobilité intersectorielle et les flux de talents. L’initiative favorisera la circulation intersectorielle et transfrontière des talents, améliorera l’interopérabilité des emplois de recherche et d’innovation entre les secteurs et renforcera la collaboration entre les universités et les entreprises pour le transfert de connaissances et de talents. En outre, le référentiel européen des compétences pour les chercheurs (mentionné en relation avec le point 4) aidera les chercheurs à disposer des compétences requises par le marché du travail, y compris pour répondre aux besoins des PME en matière de talents hautement qualifiés, ainsi que de capacités entrepreneuriales. La Commission est également en train d’élaborer une future communication sur l’innovation concernant le programme européen de l’innovation, dans laquelle sont abordés les talents, l’innovation, la culture et l’esprit d’entreprise, l’entrepreneuriat féminin, le leadership et les compétences nécessaires dans le domaine des technologies profondes [comme l’intelligence artificielle (IA), la robotique ou l’informatique quantique] et les possibilités d’acquérir de l’expérience dans les jeunes entreprises innovantes afin d’accroître le potentiel d’innovation en Europe. </w:t>
      </w:r>
    </w:p>
    <w:p w:rsidR="00150EEC" w:rsidRPr="00150EEC" w:rsidRDefault="00150EEC" w:rsidP="00150EEC">
      <w:pPr>
        <w:spacing w:after="120" w:line="240" w:lineRule="auto"/>
        <w:jc w:val="both"/>
        <w:rPr>
          <w:rFonts w:eastAsia="Calibri" w:cs="Times New Roman"/>
          <w:szCs w:val="24"/>
        </w:rPr>
      </w:pPr>
      <w:r>
        <w:rPr>
          <w:u w:val="single"/>
        </w:rPr>
        <w:t>Point 17</w:t>
      </w:r>
      <w:r>
        <w:t>, la Commission soutient le transfert de technologies et de solutions européennes liées à l’environnement et au climat vers les pays en développement, y compris au moyen de projets de coopération en matière de recherche et d’innovation au titre du programme-cadre de l’UE «Horizon Europe». Ainsi, les efforts de coopération internationale de la Commission avec l’Afrique dans les domaines du changement climatique et de l’environnement sont déjà importants, par exemple dans le cadre du partenariat UE-UA pour la recherche et l’innovation sur le changement climatique et l’énergie durable du dialogue politique de haut niveau UE-UA pour la science, la technologie et l’innovation. Les efforts seront encore renforcés par la participation active des États membres de l’UE à la préparation et à la mise en œuvre des activités recensées dans le programme d’innovation UA-UE.</w:t>
      </w:r>
    </w:p>
    <w:p w:rsidR="00150EEC" w:rsidRPr="00150EEC" w:rsidRDefault="00150EEC" w:rsidP="00150EEC">
      <w:pPr>
        <w:spacing w:after="120" w:line="240" w:lineRule="auto"/>
        <w:jc w:val="both"/>
        <w:rPr>
          <w:rFonts w:eastAsia="Calibri" w:cs="Times New Roman"/>
          <w:szCs w:val="24"/>
        </w:rPr>
      </w:pPr>
      <w:r>
        <w:rPr>
          <w:u w:val="single"/>
        </w:rPr>
        <w:t>Point 18</w:t>
      </w:r>
      <w:r>
        <w:t>, la Commission veillera à ce que les partenariats R&amp;I avec les pays tiers soient cohérents et complémentaires avec les activités internationales d’autres programmes et initiatives de l’UE, tels que ceux menés dans le cadre de l’initiative Global Gateway.</w:t>
      </w:r>
    </w:p>
    <w:p w:rsidR="00150EEC" w:rsidRPr="00150EEC" w:rsidRDefault="00150EEC" w:rsidP="00150EEC">
      <w:pPr>
        <w:spacing w:after="120" w:line="240" w:lineRule="auto"/>
        <w:jc w:val="both"/>
        <w:rPr>
          <w:rFonts w:eastAsia="Calibri" w:cs="Times New Roman"/>
          <w:szCs w:val="24"/>
        </w:rPr>
      </w:pPr>
      <w:r>
        <w:t>Avec ses principaux partenaires et régions stratégiques, la Commission organise des thèmes de recherche spécifiques et/ou établit des feuilles de route pour la R&amp;I dans le but de renforcer la coopération en R&amp;I sur des sujets donnés, également en soutien de Global Gateway. Le renforcement des connaissances scientifiques sur le climat est, par exemple, un thème envisagé avec les pays méditerranéens, ainsi que la restauration de la mer Méditerranée dans le cadre de la mission «Restaurer notre océan et de notre milieu aquatique»; l’accord PRIMA (partenariat en matière de recherche et d’innovation dans la zone méditerranéenne) et la feuille de route commune UE-Chine sur l’avenir de la coopération dans les domaines de la science, de la technologie et de l’innovation, se penchent également sur les sciences du climat et prévoient des réponses pour la transition vers la neutralité climatique et dans le cadre du partenariat UE-Afrique. Le renforcement de la R&amp;I collaborative conduira à son tour au transfert de technologies liées à l’environnement et au climat, dans lesquelles l’UE est forte et apporte des solutions aux pays tiers, comme le demande également la résolution au point 17. Il convient de noter que la coopération avec la Chine ne dépassera pas le niveau de maturité technologique (NMT) 4.</w:t>
      </w:r>
    </w:p>
    <w:p w:rsidR="00150EEC" w:rsidRPr="00150EEC" w:rsidRDefault="00150EEC" w:rsidP="00150EEC">
      <w:pPr>
        <w:spacing w:after="120" w:line="240" w:lineRule="auto"/>
        <w:jc w:val="both"/>
        <w:rPr>
          <w:rFonts w:eastAsia="Calibri" w:cs="Times New Roman"/>
          <w:szCs w:val="24"/>
        </w:rPr>
      </w:pPr>
      <w:r>
        <w:rPr>
          <w:u w:val="single"/>
        </w:rPr>
        <w:t>Point 19</w:t>
      </w:r>
      <w:r>
        <w:t>, l’UE a joué un rôle de premier plan au niveau mondial en matière de libre accès et de partage des données pendant la pandémie de COVID-19, notamment en développant la plateforme européenne de données sur la COVID-19 et en publiant le manifeste pour la recherche de l’UE sur la COVID-19, ainsi qu’en soutenant des initiatives internationales telles que l’accélérateur d’accès aux outils contre la COVID-19 (ACT-A) et le mécanisme COVAX. La Commission entend s’appuyer sur ce succès pour continuer à promouvoir et à soutenir les pratiques en matière de science ouverte dans le domaine de la recherche dans la santé et renforcer l’octroi volontaire de licences ouvertes pour les résultats de R&amp;I afin de soutenir les pays à revenu faible et intermédiaire et d’apporter une réponse rapide et abordable aux urgences sanitaires mondiales. La Commission souligne ses engagements visant à renforcer, à moyen et à long terme, les systèmes de santé, la sécurité sanitaire mondiale, à améliorer l’accès aux médicaments et aux produits de santé, notamment par la recherche, l’innovation, le renforcement des capacités et le soutien à la production locale, les innovations numériques étant au cœur de la stratégie. La Commission concentrera ses efforts sur la recherche et l’innovation sur les maladies à forte charge de morbidité et sur des sujets tels que les maladies transmissibles et non transmissibles ou la santé maternelle et infantile.</w:t>
      </w:r>
    </w:p>
    <w:p w:rsidR="00150EEC" w:rsidRPr="00150EEC" w:rsidRDefault="00150EEC" w:rsidP="00150EEC">
      <w:pPr>
        <w:spacing w:after="120" w:line="240" w:lineRule="auto"/>
        <w:jc w:val="both"/>
        <w:rPr>
          <w:rFonts w:eastAsia="Calibri" w:cs="Times New Roman"/>
          <w:szCs w:val="24"/>
        </w:rPr>
      </w:pPr>
      <w:r>
        <w:rPr>
          <w:u w:val="single"/>
        </w:rPr>
        <w:t>Point 20</w:t>
      </w:r>
      <w:r>
        <w:t>, la Commission note que l’action 9 du plan d’action sur les matières premières critiques [COM(2020) 474] envisage de mettre en place «des partenariats internationaux stratégiques et les fonds qui s</w:t>
      </w:r>
      <w:r w:rsidR="00CF12AC">
        <w:t>’</w:t>
      </w:r>
      <w:r>
        <w:t>y rattachent afin de garantir un approvisionnement diversifié et durable en matières premières critiques, notamment grâce à des conditions d</w:t>
      </w:r>
      <w:r w:rsidR="00CF12AC">
        <w:t>’</w:t>
      </w:r>
      <w:r>
        <w:t>échanges et d’investissement non faussées, en commençant par des partenariats pilotes avec le Canada, les pays intéressés d’Afrique et le voisinage de l’UE en 2021 (Commission, États membres, industrie et homologues de pays tiers)».</w:t>
      </w:r>
    </w:p>
    <w:p w:rsidR="00150EEC" w:rsidRPr="00150EEC" w:rsidRDefault="00150EEC" w:rsidP="00150EEC">
      <w:pPr>
        <w:spacing w:after="120" w:line="240" w:lineRule="auto"/>
        <w:jc w:val="both"/>
        <w:rPr>
          <w:rFonts w:eastAsia="Calibri" w:cs="Times New Roman"/>
          <w:szCs w:val="24"/>
        </w:rPr>
      </w:pPr>
      <w:r>
        <w:t>Afin de mettre en œuvre cette action, l’UE a déjà développé, en 2021, des partenariats stratégiques sur les chaînes de valeur des matières premières avec le Canada et l’Ukraine. Des discussions sont en cours en vue d’éventuels partenariats stratégiques avec plusieurs pays africains (par exemple la Namibie) et latino-américains. Dans le cadre d’Horizon Europe, les appels à propositions pour les matières premières au pôle 4 (Numérique, industrie et espace) sont ouverts aux partenaires internationaux de pays partageant les mêmes valeurs avec lesquels l’UE cherche à collaborer en vue de diversifier les chaînes d’approvisionnement en matières premières.</w:t>
      </w:r>
    </w:p>
    <w:p w:rsidR="00150EEC" w:rsidRPr="00150EEC" w:rsidRDefault="00150EEC" w:rsidP="00150EEC">
      <w:pPr>
        <w:spacing w:after="120" w:line="240" w:lineRule="auto"/>
        <w:jc w:val="both"/>
        <w:rPr>
          <w:rFonts w:eastAsia="Calibri" w:cs="Times New Roman"/>
          <w:szCs w:val="24"/>
        </w:rPr>
      </w:pPr>
      <w:r>
        <w:rPr>
          <w:u w:val="single"/>
        </w:rPr>
        <w:t>Point 21</w:t>
      </w:r>
      <w:r>
        <w:t>, le 28 septembre 2021, le Conseil, dans ses conclusions, a invité la Commission et le Service européen pour l’action extérieure à élaborer un programme européen en matière de diplomatie scientifique et à le présenter au Conseil, ce programme est en cours d’élaboration.</w:t>
      </w:r>
    </w:p>
    <w:p w:rsidR="00150EEC" w:rsidRPr="00150EEC" w:rsidRDefault="00150EEC" w:rsidP="00150EEC">
      <w:pPr>
        <w:spacing w:after="120" w:line="240" w:lineRule="auto"/>
        <w:jc w:val="both"/>
        <w:rPr>
          <w:rFonts w:eastAsia="Calibri" w:cs="Times New Roman"/>
          <w:szCs w:val="24"/>
        </w:rPr>
      </w:pPr>
      <w:r>
        <w:t xml:space="preserve">Pour donner suite à cette demande, le </w:t>
      </w:r>
      <w:r>
        <w:rPr>
          <w:shd w:val="clear" w:color="auto" w:fill="FFFFFF"/>
        </w:rPr>
        <w:t>Forum stratégique pour la coopération internationale</w:t>
      </w:r>
      <w:r>
        <w:t xml:space="preserve"> </w:t>
      </w:r>
      <w:r w:rsidR="00CF12AC">
        <w:t>—</w:t>
      </w:r>
      <w:r>
        <w:t xml:space="preserve"> SFIC- a présenté, lors de sa session finale, une contribution à ce programme, qui a été élaborée conjointement avec les parties prenantes. Cette contribution contient une feuille de route et des chemins d’impact pour une diplomatie scientifique de l’UE. Des représentants de haut niveau se sont réunis lors de la conférence de Marseille organisée en mars sous la présidence de l’UE et ont abordé les principaux piliers d’un tel programme, tels que la manière de promouvoir les valeurs et les principes de l’UE en matière de recherche et d’innovation (liberté scientifique, éthique, intégrité, réciprocité,</w:t>
      </w:r>
      <w:r w:rsidR="00CF12AC">
        <w:t> </w:t>
      </w:r>
      <w:r>
        <w:t>etc.) dans les enceintes internationales et de renforcer les capacités scientifiques et la mise en réseau au sein des délégations et des ambassades de l’UE. La Commission renforcera son engagement en faveur de l’Alliance transatlantique de recherche océanique, un exemple illustratif de diplomatie scientifique, dans une déclaration qui devrait être signée à l’été 2022. La déclaration exposera la vision de l’Alliance et s’appuiera sur la collaboration entre les initiatives existantes dans l’océan Atlantique en matière de recherche et d’innovation océaniques.</w:t>
      </w:r>
    </w:p>
    <w:p w:rsidR="00150EEC" w:rsidRPr="00150EEC" w:rsidRDefault="00150EEC" w:rsidP="00150EEC">
      <w:pPr>
        <w:spacing w:after="120" w:line="240" w:lineRule="auto"/>
        <w:jc w:val="both"/>
        <w:rPr>
          <w:rFonts w:eastAsia="Calibri" w:cs="Times New Roman"/>
          <w:sz w:val="22"/>
          <w:szCs w:val="24"/>
        </w:rPr>
      </w:pPr>
      <w:r>
        <w:rPr>
          <w:u w:val="single"/>
        </w:rPr>
        <w:t>Point 24</w:t>
      </w:r>
      <w:r>
        <w:t>, comme énoncé à l’article 13 de la Charte européenne des droits fondamentaux, la liberté académique est un droit fondamental dans l’Union européenne. Dans son arrêt dans l’affaire C-66/18, la Cour de justice a établi que la liberté académique comporte une dimension institutionnelle</w:t>
      </w:r>
      <w:r w:rsidRPr="00150EEC">
        <w:rPr>
          <w:rFonts w:eastAsia="Times New Roman" w:cs="Times New Roman"/>
          <w:szCs w:val="24"/>
          <w:vertAlign w:val="superscript"/>
        </w:rPr>
        <w:footnoteReference w:id="1"/>
      </w:r>
      <w:r>
        <w:t>. Dans ce contexte, en cas de violation du droit de l’Union, la Commission, en sa qualité de gardienne des traités, peut utiliser différents outils pour garantir l’application du droit de l’Union, y compris engager une procédure formelle d’infraction contre l’État membre en question. Par conséquent, la Commission est déterminée à protéger la liberté académique dans l’espace européen de la recherche. L’action 6 du programme stratégique de l’EER est un exemple de la manière dont l’UE aborde la question de la protection de la liberté académique. L’action fait actuellement l’objet de discussions au sein du forum de l’EER, avec des représentants des États membres et des parties prenantes, et sera mise en œuvre au cours des trois prochaines années. À l’heure actuelle, il n’est pas possible de prévoir si une proposition législative sera examinée par la Commission</w:t>
      </w:r>
      <w:r w:rsidRPr="00150EEC">
        <w:rPr>
          <w:rFonts w:eastAsia="Times New Roman" w:cs="Times New Roman"/>
          <w:szCs w:val="24"/>
          <w:vertAlign w:val="superscript"/>
        </w:rPr>
        <w:footnoteReference w:id="2"/>
      </w:r>
      <w:r>
        <w:t>.</w:t>
      </w:r>
    </w:p>
    <w:p w:rsidR="00150EEC" w:rsidRPr="00150EEC" w:rsidRDefault="00150EEC" w:rsidP="00150EEC">
      <w:pPr>
        <w:spacing w:after="120" w:line="240" w:lineRule="auto"/>
        <w:jc w:val="both"/>
        <w:rPr>
          <w:rFonts w:eastAsia="Calibri" w:cs="Times New Roman"/>
          <w:sz w:val="22"/>
          <w:szCs w:val="24"/>
        </w:rPr>
      </w:pPr>
      <w:r>
        <w:rPr>
          <w:u w:val="single"/>
        </w:rPr>
        <w:t>Point 25</w:t>
      </w:r>
      <w:r>
        <w:t xml:space="preserve">, la Commission convient de la nécessité de faire rapport sur l’état de la liberté académique en Europe. Il s’agit en effet de l’un des principaux objectifs de l’action 6 du programme stratégique de l’EER. Toutefois, pour disposer de données actualisées et claires sur le statut et les menaces pesant sur la liberté académique en Europe, il est nécessaire de développer un système européen de suivi fondé sur une conceptualisation commune des questions en jeu. Il s’agit de l’un des (sous-)objectifs de l’action 6. </w:t>
      </w:r>
    </w:p>
    <w:p w:rsidR="00150EEC" w:rsidRPr="00150EEC" w:rsidRDefault="00150EEC" w:rsidP="00150EEC">
      <w:pPr>
        <w:spacing w:after="120" w:line="240" w:lineRule="auto"/>
        <w:jc w:val="both"/>
        <w:rPr>
          <w:rFonts w:eastAsia="Calibri" w:cs="Times New Roman"/>
          <w:szCs w:val="24"/>
        </w:rPr>
      </w:pPr>
      <w:r>
        <w:rPr>
          <w:u w:val="single"/>
        </w:rPr>
        <w:t>Point 26</w:t>
      </w:r>
      <w:r>
        <w:t xml:space="preserve">, en janvier 2022, la Commission a publié un </w:t>
      </w:r>
      <w:r>
        <w:rPr>
          <w:i/>
        </w:rPr>
        <w:t>document de travail des services de la Commission sur la lutte contre l’ingérence étrangère dans la R&amp;I</w:t>
      </w:r>
      <w:r>
        <w:t>, qui définit les menaces et les approches (boîte à outils) pour traiter les problèmes autour de quatre domaines prioritaires: valeurs, gouvernance, partenariat et cybersécurité. Ce document</w:t>
      </w:r>
      <w:r>
        <w:rPr>
          <w:rFonts w:ascii="Calibri" w:hAnsi="Calibri"/>
          <w:sz w:val="22"/>
        </w:rPr>
        <w:t xml:space="preserve"> </w:t>
      </w:r>
      <w:r>
        <w:t>vise à faciliter les efforts déployés par les établissements d’enseignement supérieur et les organismes de recherche pour protéger leurs valeurs fondamentales en préservant la liberté académique, l’intégrité et l’autonomie institutionnelle et à protéger leur personnel, leurs étudiants, les principales conclusions de la recherche et les atouts intellectuels. La Commission, dans le cadre de l’action 6 de l’EER, a l’intention d’organiser des exercices d’apprentissage mutuel visant à lutter contre l’ingérence étrangère dans la R&amp;I, en mettant l’accent sur les échanges de bonnes pratiques nationales au niveau opérationnel afin de détecter, de prévenir et de surmonter les ingérences étrangères. Ils recenseraient les bonnes pratiques, les enseignements tirés et les facteurs de réussite sur la base des données disponibles et de l’expérience collective.</w:t>
      </w:r>
    </w:p>
    <w:p w:rsidR="00150EEC" w:rsidRPr="00150EEC" w:rsidRDefault="00150EEC" w:rsidP="00150EEC">
      <w:pPr>
        <w:spacing w:after="120" w:line="240" w:lineRule="auto"/>
        <w:jc w:val="both"/>
        <w:rPr>
          <w:rFonts w:eastAsia="Calibri" w:cs="Times New Roman"/>
          <w:szCs w:val="24"/>
        </w:rPr>
      </w:pPr>
      <w:r>
        <w:rPr>
          <w:u w:val="single"/>
        </w:rPr>
        <w:t>Point 27</w:t>
      </w:r>
      <w:r>
        <w:t>, l’Europe doit investir dans des chercheurs d’excellence tout en restant fidèle à ses valeurs communes. Les actions Marie Skłodowska-Curie (AMSC) dans le cadre d’Horizon Europe sont ouvertes aux personnes de toute nationalité, y compris aux chercheurs en danger. Parmi les chercheurs en danger figurent les chercheurs, les universitaires et les scientifiques à tous les stades de leur carrière qui sont confrontés à des menaces pour leur vie, leur liberté ou leur carrière dans la recherche, ainsi que ceux qui sont contraints de fuir ou ont été déplacés en raison de telles menaces. Les AMSC ont récemment publié des lignes directrices et des bonnes pratiques à l’intention des organisations d’accueil en vue de l’inclusion des chercheurs à risque. Afin d’élargir l’accès des chercheurs à risque, la Commission encourage les demandeurs et les bénéficiaires à se pencher sur ces lignes directrices dans les meilleurs délais.</w:t>
      </w:r>
    </w:p>
    <w:p w:rsidR="00150EEC" w:rsidRPr="00150EEC" w:rsidRDefault="00150EEC" w:rsidP="00150EEC">
      <w:pPr>
        <w:spacing w:after="120" w:line="240" w:lineRule="auto"/>
        <w:jc w:val="both"/>
        <w:rPr>
          <w:rFonts w:eastAsia="Calibri" w:cs="Times New Roman"/>
          <w:szCs w:val="24"/>
        </w:rPr>
      </w:pPr>
      <w:r>
        <w:rPr>
          <w:u w:val="single"/>
        </w:rPr>
        <w:t>Point 28</w:t>
      </w:r>
      <w:r>
        <w:t>, la Commission convient de l’importance de promouvoir une culture de la science ouverte à l’échelle mondiale, fondée sur des principes et des valeurs convenus d’un commun accord, tels que les données FAIR, qui sont «aussi ouverts que possible, mais aussi fermés que nécessaire». Étant donné que la science est une activité mondiale et que de nombreuses collaborations en matière de R&amp;I sont de nature internationale, les chercheurs du monde entier doivent partager et réutiliser les connaissances, les données et les infrastructures par-delà les frontières dès que possible et de la manière la plus ouverte possible pour progresser le plus efficacement et rendre possible une science de qualité.</w:t>
      </w:r>
    </w:p>
    <w:p w:rsidR="00150EEC" w:rsidRPr="00150EEC" w:rsidRDefault="00150EEC" w:rsidP="00150EEC">
      <w:pPr>
        <w:spacing w:after="120" w:line="240" w:lineRule="auto"/>
        <w:jc w:val="both"/>
        <w:rPr>
          <w:rFonts w:eastAsia="Calibri" w:cs="Times New Roman"/>
          <w:szCs w:val="24"/>
        </w:rPr>
      </w:pPr>
      <w:r>
        <w:t>La Commission continuera à promouvoir les principes de la science ouverte dans le cadre de ses dialogues bilatéraux dans le domaine de la science et de la technologie (S&amp;T) avec les pays tiers, dans les instances et les forums internationaux tels que le G7, l’Organisation de coopération et de développement économiques (OCDE), les Nations unies et l’Alliance pour les données de recherche, ainsi que par les actions de sensibilisation internationale au nuage européen pour la science ouverte.</w:t>
      </w:r>
    </w:p>
    <w:p w:rsidR="00150EEC" w:rsidRPr="00150EEC" w:rsidRDefault="00150EEC" w:rsidP="00150EEC">
      <w:pPr>
        <w:spacing w:after="120" w:line="240" w:lineRule="auto"/>
        <w:jc w:val="both"/>
        <w:rPr>
          <w:rFonts w:eastAsia="Calibri" w:cs="Times New Roman"/>
          <w:iCs/>
          <w:szCs w:val="24"/>
        </w:rPr>
      </w:pPr>
      <w:r>
        <w:rPr>
          <w:u w:val="single"/>
        </w:rPr>
        <w:t>Point 29</w:t>
      </w:r>
      <w:r>
        <w:t>, la Commission convient qu’une approche stratégique de la normalisation internationale est un élément essentiel d’une approche mondiale réussie de la R&amp;I.</w:t>
      </w:r>
    </w:p>
    <w:p w:rsidR="00150EEC" w:rsidRPr="00150EEC" w:rsidRDefault="00150EEC" w:rsidP="00150EEC">
      <w:pPr>
        <w:spacing w:after="120" w:line="240" w:lineRule="auto"/>
        <w:jc w:val="both"/>
        <w:rPr>
          <w:rFonts w:eastAsia="Calibri" w:cs="Times New Roman"/>
          <w:iCs/>
          <w:szCs w:val="24"/>
        </w:rPr>
      </w:pPr>
      <w:r>
        <w:t>Une affectation adéquate des ressources à la recherche prénormative peut contribuer à faire en sorte que l’Europe endosse un rôle de premier plan dans les processus internationaux de normalisation. Le programme Horizon Europe, y compris par l’intermédiaire de ses actions et partenariats directs, tels que les entreprises communes et le programme pour une Europe numérique, ainsi que les feuilles de route communes sur les technologies industrielles de l’EER, joue un rôle important.</w:t>
      </w:r>
    </w:p>
    <w:p w:rsidR="00150EEC" w:rsidRPr="00150EEC" w:rsidRDefault="00150EEC" w:rsidP="00150EEC">
      <w:pPr>
        <w:spacing w:after="120" w:line="240" w:lineRule="auto"/>
        <w:jc w:val="both"/>
        <w:rPr>
          <w:rFonts w:eastAsia="Calibri" w:cs="Times New Roman"/>
          <w:iCs/>
          <w:szCs w:val="24"/>
        </w:rPr>
      </w:pPr>
      <w:r>
        <w:t>La valorisation des résultats de la R&amp;I par la normalisation contribue à la mise en œuvre de l’approche mondiale de la R&amp;I, qui appelle l’UE à jouer un rôle plus important en tant qu’organisme de normalisation mondial au travers d</w:t>
      </w:r>
      <w:r w:rsidR="00CF12AC">
        <w:t>’</w:t>
      </w:r>
      <w:r>
        <w:t>une coopération internationale accrue en matière de recherche prénormative. Dans ce contexte, les travaux du Conseil du commerce et des technologies UE-États-Unis sont particulièrement pertinents, notamment le groupe de travail sur la coopération en matière de normes technologiques, qui recense les domaines pertinents pour la coopération entre l’UE et les États-Unis en matière de normes, en mettant particulièrement l’accent sur les mécanismes d’alerte rapide pour surveiller les activités internationales de normalisation.</w:t>
      </w:r>
    </w:p>
    <w:p w:rsidR="00150EEC" w:rsidRPr="00150EEC" w:rsidRDefault="00150EEC" w:rsidP="00150EEC">
      <w:pPr>
        <w:spacing w:after="120" w:line="240" w:lineRule="auto"/>
        <w:jc w:val="both"/>
        <w:rPr>
          <w:rFonts w:eastAsia="Calibri" w:cs="Times New Roman"/>
          <w:szCs w:val="24"/>
        </w:rPr>
      </w:pPr>
      <w:r>
        <w:t>En outre, dans le cadre de l’action de l’EER visant à améliorer les orientations de l’UE en vue d’une meilleure valorisation des connaissances, un code de bonnes pratiques sur la normalisation destiné aux chercheurs sera élaboré d’ici à la fin de 2022. Il fournira des orientations pratiques sur la manière dont les bénéficiaires des programmes publics de R&amp;I peuvent identifier au mieux les possibilités et les techniques permettant de valoriser les résultats de leurs projets grâce à la normalisation.</w:t>
      </w:r>
    </w:p>
    <w:p w:rsidR="00150EEC" w:rsidRPr="00150EEC" w:rsidRDefault="00150EEC" w:rsidP="00150EEC">
      <w:pPr>
        <w:spacing w:after="120" w:line="240" w:lineRule="auto"/>
        <w:jc w:val="both"/>
        <w:rPr>
          <w:rFonts w:eastAsia="Calibri" w:cs="Times New Roman"/>
          <w:szCs w:val="24"/>
        </w:rPr>
      </w:pPr>
      <w:r>
        <w:rPr>
          <w:u w:val="single"/>
        </w:rPr>
        <w:t>Point 31</w:t>
      </w:r>
      <w:r>
        <w:t>, la Commission convient de la nécessité de promouvoir l’égalité de genre en mettant l’accent sur le renforcement des compétences et du rôle des chercheuses et souligne son engagement à promouvoir l’égalité de genre et l’inclusion dans la R&amp;I au niveau mondial, y compris l’égalité professionnelle, ainsi que l’intégration d’une dimension de genre dans le contenu de la R&amp;I en tant que question d’excellence et d’importance sociétale. L’engagement de la Commission européenne est conforme aux priorités fixées pour l’espace européen de la recherche et s’appuie sur la déclaration de Ljubljana sur l’égalité de genre dans la R&amp;I, qui a été approuvée par la Commission et la plupart des États membres et des pays associés</w:t>
      </w:r>
      <w:r w:rsidRPr="00150EEC">
        <w:rPr>
          <w:rFonts w:eastAsia="Calibri" w:cs="Times New Roman"/>
          <w:szCs w:val="24"/>
          <w:vertAlign w:val="superscript"/>
        </w:rPr>
        <w:footnoteReference w:id="3"/>
      </w:r>
      <w:r>
        <w:t>, qui souligne la nécessité d’intégrer l’égalité de genre par l’approche mondiale de l’UE. L’égalité de genre et l’inclusion feront partie du dialogue multilatéral avec les principaux pays partenaires sur les principes et les valeurs qui devraient sous-tendre la coopération internationale dans le domaine de la R&amp;I, qui est lancé conformément à la déclaration de Marseille saluée par la conférence de Marseille organisée par la présidence française le 8 mars 2022.</w:t>
      </w:r>
    </w:p>
    <w:p w:rsidR="00150EEC" w:rsidRPr="00150EEC" w:rsidRDefault="00150EEC" w:rsidP="00150EEC">
      <w:pPr>
        <w:spacing w:after="120" w:line="240" w:lineRule="auto"/>
        <w:jc w:val="both"/>
        <w:rPr>
          <w:rFonts w:eastAsia="Calibri" w:cs="Times New Roman"/>
          <w:szCs w:val="24"/>
        </w:rPr>
      </w:pPr>
      <w:r>
        <w:rPr>
          <w:u w:val="single"/>
        </w:rPr>
        <w:t>Point 32</w:t>
      </w:r>
      <w:r>
        <w:t>, la Commission reste fermement déterminée à respecter les prérogatives des institutions de l’UE dans les négociations d’accords d’association et à respecter le devoir de coopération loyale mutuelle prévu par le traité UE (article 13, paragraphe 2, du traité sur l’Union européenne), ainsi que par l’accord-cadre interinstitutionnel de 2010</w:t>
      </w:r>
      <w:r w:rsidRPr="00150EEC">
        <w:rPr>
          <w:rFonts w:eastAsia="Calibri" w:cs="Times New Roman"/>
          <w:szCs w:val="24"/>
          <w:vertAlign w:val="superscript"/>
          <w:lang w:val="en-US"/>
        </w:rPr>
        <w:footnoteReference w:id="4"/>
      </w:r>
      <w:r>
        <w:t xml:space="preserve"> et l’accord interinstitutionnel de 2016 entre le Parlement européen, le Conseil de l’Union européenne et la Commission européenne «Mieux légiférer». La Commission continuera d’assurer le plus haut niveau de transparence vis-à-vis du Parlement européen en ce qui concerne l’association des pays de la catégorie d) dès les premières étapes des négociations d’association et tout au long des négociations.</w:t>
      </w:r>
    </w:p>
    <w:p w:rsidR="00150EEC" w:rsidRPr="00150EEC" w:rsidRDefault="00150EEC" w:rsidP="00150EEC">
      <w:pPr>
        <w:spacing w:after="120" w:line="240" w:lineRule="auto"/>
        <w:jc w:val="both"/>
        <w:rPr>
          <w:rFonts w:eastAsia="Calibri" w:cs="Times New Roman"/>
          <w:szCs w:val="24"/>
        </w:rPr>
      </w:pPr>
      <w:r>
        <w:rPr>
          <w:u w:val="single"/>
        </w:rPr>
        <w:t>Point 33</w:t>
      </w:r>
      <w:r>
        <w:t>, la Commission entretient depuis longtemps des synergies avec les politiques et instruments extérieurs, au profit d’un renforcement accru des capacités de R&amp;I dans les pays partenaires et de la coopération avec ceux-ci. Un protocole d’accord a été signé en juillet 2020 entre la direction générale de la recherche et de l’innovation et la direction générale des partenariats internationaux, afin de renforcer encore ces synergies dans les pays en développement en général et en Afrique en particulier. L’exemple le plus récent de ces synergies renforcées est l’approbation par le sommet conjoint UE-Afrique des 17 et 18 février 2022 du programme d’innovation UA-UE, élaboré par la Commission européenne et ses partenaires de l’Union africaine, en tant que partie intégrante de la stratégie Global Gateway de l’UE, dont elle constitue désormais une composante à part entière.</w:t>
      </w:r>
    </w:p>
    <w:p w:rsidR="00150EEC" w:rsidRPr="00150EEC" w:rsidRDefault="00150EEC" w:rsidP="00150EEC">
      <w:pPr>
        <w:spacing w:after="120" w:line="240" w:lineRule="auto"/>
        <w:jc w:val="both"/>
        <w:rPr>
          <w:rFonts w:eastAsia="Calibri" w:cs="Times New Roman"/>
          <w:szCs w:val="24"/>
        </w:rPr>
      </w:pPr>
      <w:r>
        <w:rPr>
          <w:u w:val="single"/>
        </w:rPr>
        <w:t>Point 34</w:t>
      </w:r>
      <w:r>
        <w:t>, la Commission reconnaît la nécessité de renforcer la recherche et l</w:t>
      </w:r>
      <w:r w:rsidR="00CF12AC">
        <w:t>’</w:t>
      </w:r>
      <w:r>
        <w:t>innovation dans la coopération de l’UE avec les pays à revenu faible et intermédiaire. En particulier, et comme indiqué dans la communication sur l’approche mondiale, la Commission entend mobiliser la coopération en matière de science, de technologie et d’innovation afin de contribuer au développement durable et inclusif et à la transition vers des sociétés et des économies résilientes fondées sur la connaissance dans les pays à revenu faible et intermédiaire. Afin de soutenir le développement des capacités de R&amp;I des pays à revenu faible et intermédiaire, l’UE financera, dans la plupart des cas, la participation d’entités juridiques établies dans ces pays à des actions d’Horizon Europe, en synergie avec l’instrument de voisinage, de coopération au développement et de coopération internationale (IVCDCI). Par exemple, les principaux domaines de coopération recensés dans le projet de programme d’innovation UA-UE correspondent pleinement à la décision prise par les ministres UE-UA chargés de la R&amp;I lors de la réunion ministérielle de juillet 2020.</w:t>
      </w:r>
    </w:p>
    <w:p w:rsidR="00150EEC" w:rsidRPr="00150EEC" w:rsidRDefault="00150EEC" w:rsidP="00150EEC">
      <w:pPr>
        <w:spacing w:after="120" w:line="240" w:lineRule="auto"/>
        <w:jc w:val="both"/>
        <w:rPr>
          <w:rFonts w:eastAsia="Calibri" w:cs="Times New Roman"/>
          <w:b/>
          <w:szCs w:val="24"/>
        </w:rPr>
      </w:pPr>
      <w:r>
        <w:rPr>
          <w:u w:val="single"/>
        </w:rPr>
        <w:t>Point 35</w:t>
      </w:r>
      <w:r>
        <w:t>, la Commission souligne que l’hydrogène propre présente un potentiel considérable en tant qu’infrastructure de source et de stockage de l’énergie durable du futur, en tirant parti de la possibilité d’être produit en toute sécurité à l’aide d’énergies renouvelables telles que les énergies solaire et éolienne. Comme indiqué dans la communication RePowerEU, la Commission lancera des projets pilotes sur la production et le transport d’hydrogène renouvelable dans le voisinage de l’UE, en commençant par un partenariat méditerranéen pour l’hydrogène vert. Ces initiatives sont pleinement alignées sur l’une des priorités convenues par l’Union pour la Méditerranée (UpM) pour la R&amp;I, à savoir pour les énergies renouvelables. En ce qui concerne le partenariat en matière de recherche et d’innovation dans l’espace méditerranéen (PRIMA), la Commission rappelle que PRIMA fait actuellement l’objet d’une évaluation intermédiaire, qui doit être achevée en 2022, et qu’elle approche de la fin de sa période de programmation active en 2024. À cet égard, la Commission étudie toutes les différentes options pour l’avenir de cette initiative conformément aux priorités politiques de l’UE et au règlement Horizon Europe, en tenant compte des résultats de l’évaluation intermédiaire réalisée en 2022.</w:t>
      </w:r>
    </w:p>
    <w:p w:rsidR="00150EEC" w:rsidRPr="00150EEC" w:rsidRDefault="00150EEC" w:rsidP="00150EEC">
      <w:pPr>
        <w:spacing w:after="120" w:line="240" w:lineRule="auto"/>
        <w:jc w:val="both"/>
        <w:rPr>
          <w:rFonts w:eastAsia="Calibri" w:cs="Times New Roman"/>
          <w:szCs w:val="24"/>
        </w:rPr>
      </w:pPr>
      <w:r>
        <w:rPr>
          <w:u w:val="single"/>
        </w:rPr>
        <w:t>Point 36</w:t>
      </w:r>
      <w:r>
        <w:t>, la Commission convient de l’importance d’intensifier la collaboration scientifique entre l’UE et les États-Unis. La première réunion, depuis 2017, du groupe consultatif paritaire institué dans le cadre de l’accord de coopération S&amp;T aura lieu à l’automne 2022. Les travaux menés dans le cadre du Conseil du commerce et des technologies UE-États-Unis ont débouché sur une nouvelle coopération dans le domaine de la recharge des véhicules électriques et les deux parties ont convenu d’explorer la coopération en matière de recherche sur l’IA, au-delà des technologies 5G/6G, de l’informatique quantique et des modèles numériques de la Terre à l’appui de la lutte contre le changement climatique. La coopération dans le domaine de la R&amp;I liée à l’énergie se déroule également dans le cadre du Conseil de l’énergie UE-États-Unis.</w:t>
      </w:r>
    </w:p>
    <w:p w:rsidR="00150EEC" w:rsidRPr="00150EEC" w:rsidRDefault="00150EEC" w:rsidP="00150EEC">
      <w:pPr>
        <w:spacing w:after="120" w:line="240" w:lineRule="auto"/>
        <w:jc w:val="both"/>
        <w:rPr>
          <w:rFonts w:eastAsia="Calibri" w:cs="Times New Roman"/>
          <w:i/>
          <w:szCs w:val="24"/>
        </w:rPr>
      </w:pPr>
      <w:r>
        <w:rPr>
          <w:u w:val="single"/>
        </w:rPr>
        <w:t>Point 37</w:t>
      </w:r>
      <w:r>
        <w:t>, la Commission réaffirme que la coopération dans le domaine de la R&amp;I a a joué un rôle important dans l’instauration d’une confiance mutuelle entre l’UE et la région méditerranéenne fondée sur l’égalité de traitement et la parité entre les pays du Nord et du Sud. Elle réaffirme son engagement en faveur d’un niveau d’ouverture mondiale nécessaire pour stimuler l’excellence, mettre en commun les ressources pour accélérer le progrès scientifique et développer des écosystèmes d’innovation dynamiques, tout en continuant à approfondir encore la coopération en matière de recherche en mettant l’accent sur les priorités mutuelles pour réduire l</w:t>
      </w:r>
      <w:r w:rsidR="00CF12AC">
        <w:t>’</w:t>
      </w:r>
      <w:r>
        <w:t>écart dans la R&amp;I et, partant, la fracture socio-économique dans le voisinage méridional et oriental, renforçant ainsi la paix et la stabilité et le développement des sociétés de la région en contribuant à la réalisation des objectifs inhérents au pacte vert pour l’Europe et à l’adaptation au changement climatique.</w:t>
      </w:r>
    </w:p>
    <w:p w:rsidR="00150EEC" w:rsidRPr="00150EEC" w:rsidRDefault="00150EEC" w:rsidP="00150EEC">
      <w:pPr>
        <w:spacing w:after="120" w:line="240" w:lineRule="auto"/>
        <w:jc w:val="both"/>
        <w:rPr>
          <w:rFonts w:eastAsia="Calibri" w:cs="Times New Roman"/>
          <w:szCs w:val="24"/>
        </w:rPr>
      </w:pPr>
      <w:r>
        <w:rPr>
          <w:u w:val="single"/>
        </w:rPr>
        <w:t>Point 38</w:t>
      </w:r>
      <w:r>
        <w:t>, la Commission se joint au Parlement européen pour condamner avec force l’invasion violente de l’Ukraine par la Fédération de Russie. Elle condamne la guerre d’agression menée par la Russie contre l’Ukraine, qui constitue une violation du droit international et porte atteinte à la sécurité et à la stabilité européennes et mondiales. Dans le cadre des efforts visant à maintenir et à cultiver les talents scientifiques de l’Ukraine, la Commission a rapidement mobilisé ses services et programmes concernés pour élaborer un certain nombre de mesures de soutien spécifiques dans le cadre d’Horizon Europe en faveur des chercheurs ukrainiens et pour assurer la coordination avec les États membres. La Commission a par ailleurs décidé de suspendre la coopération avec la Russie dans le domaine de la R&amp;I. La Commission a mis fin à la participation d’organisations publiques russes et d’entités affiliées au programme-cadre Horizon 2020, conformément aux actes du Conseil relatifs aux sanctions, et, toujours conformément à ces actes, elle exclura les entités juridiques russes de la participation aux actions d’Horizon Europe.</w:t>
      </w:r>
    </w:p>
    <w:p w:rsidR="00150EEC" w:rsidRPr="00150EEC" w:rsidRDefault="00150EEC" w:rsidP="00150EEC">
      <w:pPr>
        <w:spacing w:after="120" w:line="240" w:lineRule="auto"/>
        <w:jc w:val="both"/>
        <w:rPr>
          <w:rFonts w:eastAsia="Calibri" w:cs="Times New Roman"/>
          <w:szCs w:val="24"/>
        </w:rPr>
      </w:pPr>
      <w:r>
        <w:rPr>
          <w:u w:val="single"/>
        </w:rPr>
        <w:t>Point 39</w:t>
      </w:r>
      <w:r>
        <w:t>, la Commission soutient le développement de la politique de R&amp;I avec la Géorgie. L’accord d’association à Horizon Europe est déjà entré en vigueur et permettra aux chercheurs et aux innovateurs géorgiens de développer de nouvelles relations et collaborations de recherche passionnantes et ambitieuses avec des chercheurs et des innovateurs dans l’UE et dans le monde entier. Cela donne à la Géorgie la possibilité de participer en qualité d’observateur aux structures de gouvernance du programme et se traduira par une adhésion et une intégration accrues et plus réussies à l’espace européen de la recherche.</w:t>
      </w:r>
    </w:p>
    <w:p w:rsidR="00150EEC" w:rsidRPr="00150EEC" w:rsidRDefault="00150EEC" w:rsidP="00150EEC">
      <w:pPr>
        <w:spacing w:after="120" w:line="240" w:lineRule="auto"/>
        <w:jc w:val="both"/>
        <w:rPr>
          <w:rFonts w:eastAsia="Calibri" w:cs="Times New Roman"/>
          <w:szCs w:val="24"/>
        </w:rPr>
      </w:pPr>
      <w:r>
        <w:rPr>
          <w:u w:val="single"/>
        </w:rPr>
        <w:t>Point 40,</w:t>
      </w:r>
      <w:r>
        <w:t xml:space="preserve"> la Commission souligne qu</w:t>
      </w:r>
      <w:r w:rsidR="00CF12AC">
        <w:t>’</w:t>
      </w:r>
      <w:r>
        <w:t>il est dans notre intérêt commun d</w:t>
      </w:r>
      <w:r w:rsidR="00CF12AC">
        <w:t>’</w:t>
      </w:r>
      <w:r>
        <w:t>entretenir des relations constructives et mutuellement avantageuses avec la Suisse dans le domaine de la R&amp;I. Toutefois, à la suite de la clôture des négociations sur l</w:t>
      </w:r>
      <w:r w:rsidR="00CF12AC">
        <w:t>’</w:t>
      </w:r>
      <w:r>
        <w:t>accord-cadre institutionnel (ACI) le 26 mai 2021, la Suisse n</w:t>
      </w:r>
      <w:r w:rsidR="00CF12AC">
        <w:t>’</w:t>
      </w:r>
      <w:r>
        <w:t>est plus candidate à l</w:t>
      </w:r>
      <w:r w:rsidR="00CF12AC">
        <w:t>’</w:t>
      </w:r>
      <w:r>
        <w:t>association à Horizon Europe et est actuellement traitée comme les autres pays tiers à revenu élevé. L’UE souhaite que les relations entre l’UE et la Suisse soient marquées par la sécurité juridique, la stabilité et la prévisibilité, et ce de manière systémique et cohérente, notamment dans les domaines d’une reprise dynamique de l’acquis de l’UE, de conditions de concurrence équitables dans le domaine des aides d’État, d’un mécanisme de règlement des différends et d’une contribution financière régulière et équitable à la réduction des disparités économiques et sociales au sein de l’UE. Les questions institutionnelles susmentionnées doivent être abordées avant que la Commission soit en mesure d’œuvrer en faveur de l’association de la Suisse à la génération 2021-2027 des programmes de l’UE.</w:t>
      </w:r>
    </w:p>
    <w:p w:rsidR="00F36993" w:rsidRDefault="00150EEC" w:rsidP="007D2EE8">
      <w:pPr>
        <w:spacing w:after="120" w:line="240" w:lineRule="auto"/>
        <w:jc w:val="both"/>
      </w:pPr>
      <w:r>
        <w:t>La Commission continue de reconnaître l’avantage mutuel de la coopération en matière de R&amp;I avec le Royaume-Uni. Toutefois, l’accord de commerce et de coopération ne prévoit pas de calendrier contraignant ni de délai précis pour associer le Royaume-Uni aux programmes de l’Union. La Commission attend avec intérêt une résolution rapide des graves difficultés rencontrées actuellement dans les domaines de nos relations, qui permettraient de mettre en place l</w:t>
      </w:r>
      <w:r w:rsidR="00CF12AC">
        <w:t>’</w:t>
      </w:r>
      <w:r>
        <w:t>association aux programmes de l’Union et renforceraient les possibilités de coopération dans les domaines de la science, de la recherche et de l’innovation, de la recherche nucléaire et de l’espace. Dans l’intervalle, le Royaume-Uni continue d’être considéré comme un pays associé «candidat», ce qui permet aux entités britanniques de se porter candidates à des projets Horizon Europe comme si elles étaient associées jusqu’à la signature de la subvention. La mise en place de l’association est une condition préalable pour que les entités de tout pays associé candidat deviennent bénéficiaires d’un financement de l’UE dans les conventions de subvention, sauf exceptions spécifiques.</w:t>
      </w:r>
    </w:p>
    <w:sectPr w:rsidR="00F36993">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0EEC" w:rsidRDefault="00150EEC" w:rsidP="00150EEC">
      <w:pPr>
        <w:spacing w:after="0" w:line="240" w:lineRule="auto"/>
      </w:pPr>
      <w:r>
        <w:separator/>
      </w:r>
    </w:p>
  </w:endnote>
  <w:endnote w:type="continuationSeparator" w:id="0">
    <w:p w:rsidR="00150EEC" w:rsidRDefault="00150EEC" w:rsidP="00150E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2717138"/>
      <w:docPartObj>
        <w:docPartGallery w:val="Page Numbers (Bottom of Page)"/>
        <w:docPartUnique/>
      </w:docPartObj>
    </w:sdtPr>
    <w:sdtEndPr>
      <w:rPr>
        <w:noProof/>
      </w:rPr>
    </w:sdtEndPr>
    <w:sdtContent>
      <w:p w:rsidR="00017998" w:rsidRDefault="00017998">
        <w:pPr>
          <w:pStyle w:val="Footer"/>
          <w:jc w:val="center"/>
        </w:pPr>
        <w:r>
          <w:fldChar w:fldCharType="begin"/>
        </w:r>
        <w:r>
          <w:instrText xml:space="preserve"> PAGE   \* MERGEFORMAT </w:instrText>
        </w:r>
        <w:r>
          <w:fldChar w:fldCharType="separate"/>
        </w:r>
        <w:r w:rsidR="009236A9">
          <w:rPr>
            <w:noProof/>
          </w:rPr>
          <w:t>1</w:t>
        </w:r>
        <w:r>
          <w:fldChar w:fldCharType="end"/>
        </w:r>
      </w:p>
    </w:sdtContent>
  </w:sdt>
  <w:p w:rsidR="0085159E" w:rsidRDefault="008515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0EEC" w:rsidRDefault="00150EEC" w:rsidP="00150EEC">
      <w:pPr>
        <w:spacing w:after="0" w:line="240" w:lineRule="auto"/>
      </w:pPr>
      <w:r>
        <w:separator/>
      </w:r>
    </w:p>
  </w:footnote>
  <w:footnote w:type="continuationSeparator" w:id="0">
    <w:p w:rsidR="00150EEC" w:rsidRDefault="00150EEC" w:rsidP="00150EEC">
      <w:pPr>
        <w:spacing w:after="0" w:line="240" w:lineRule="auto"/>
      </w:pPr>
      <w:r>
        <w:continuationSeparator/>
      </w:r>
    </w:p>
  </w:footnote>
  <w:footnote w:id="1">
    <w:p w:rsidR="00150EEC" w:rsidRPr="006379A6" w:rsidRDefault="00150EEC" w:rsidP="007D2EE8">
      <w:pPr>
        <w:pStyle w:val="FootnoteText"/>
        <w:tabs>
          <w:tab w:val="left" w:pos="284"/>
        </w:tabs>
      </w:pPr>
      <w:r>
        <w:rPr>
          <w:rStyle w:val="FootnoteReference"/>
        </w:rPr>
        <w:footnoteRef/>
      </w:r>
      <w:r>
        <w:tab/>
        <w:t xml:space="preserve">Arrêt du 6 octobre 2020, Commission/Hongrie (Enseignement supérieur), C-66/18, EU:C:2020:792, </w:t>
      </w:r>
      <w:r>
        <w:tab/>
        <w:t>point 227</w:t>
      </w:r>
    </w:p>
  </w:footnote>
  <w:footnote w:id="2">
    <w:p w:rsidR="00150EEC" w:rsidRPr="006379A6" w:rsidRDefault="00150EEC" w:rsidP="00AC0917">
      <w:pPr>
        <w:pStyle w:val="FootnoteText"/>
        <w:tabs>
          <w:tab w:val="left" w:pos="284"/>
        </w:tabs>
        <w:ind w:left="284" w:hanging="284"/>
      </w:pPr>
      <w:r>
        <w:rPr>
          <w:rStyle w:val="FootnoteReference"/>
        </w:rPr>
        <w:footnoteRef/>
      </w:r>
      <w:r>
        <w:tab/>
        <w:t>Conformément à l’article 17, paragraphe 2, du TUE, l’initiative législative relève exclusivement des prérogatives de la Commission.</w:t>
      </w:r>
    </w:p>
  </w:footnote>
  <w:footnote w:id="3">
    <w:p w:rsidR="00150EEC" w:rsidRPr="006379A6" w:rsidRDefault="00150EEC" w:rsidP="00AC0917">
      <w:pPr>
        <w:pStyle w:val="FootnoteText"/>
        <w:tabs>
          <w:tab w:val="left" w:pos="284"/>
        </w:tabs>
        <w:ind w:left="284" w:hanging="284"/>
        <w:jc w:val="both"/>
      </w:pPr>
      <w:r>
        <w:rPr>
          <w:rStyle w:val="FootnoteReference"/>
        </w:rPr>
        <w:footnoteRef/>
      </w:r>
      <w:r>
        <w:tab/>
        <w:t>La République d’Albanie (en attente de ratification), la République d’Arménie, la Bosnie-Herzégovine, la Géorgie, l</w:t>
      </w:r>
      <w:r w:rsidR="00CF12AC">
        <w:t>’</w:t>
      </w:r>
      <w:r>
        <w:t>Islande, la République du Kosovo, la République de Macédoine du Nord, le Monténégro, le Royaume de Norvège et la République de Serbie</w:t>
      </w:r>
    </w:p>
  </w:footnote>
  <w:footnote w:id="4">
    <w:p w:rsidR="00CF12AC" w:rsidRDefault="00150EEC" w:rsidP="007D2EE8">
      <w:pPr>
        <w:pStyle w:val="FootnoteText"/>
        <w:tabs>
          <w:tab w:val="left" w:pos="284"/>
        </w:tabs>
        <w:jc w:val="both"/>
      </w:pPr>
      <w:r>
        <w:rPr>
          <w:rStyle w:val="FootnoteReference"/>
        </w:rPr>
        <w:footnoteRef/>
      </w:r>
      <w:r>
        <w:tab/>
        <w:t xml:space="preserve">Accord-cadre sur les relations entre le Parlement européen et la Commission européenne </w:t>
      </w:r>
      <w:r w:rsidR="00CF12AC">
        <w:t>-</w:t>
      </w:r>
      <w:r>
        <w:t xml:space="preserve"> </w:t>
      </w:r>
    </w:p>
    <w:p w:rsidR="00150EEC" w:rsidRPr="006379A6" w:rsidRDefault="00150EEC" w:rsidP="00CF12AC">
      <w:pPr>
        <w:pStyle w:val="FootnoteText"/>
        <w:tabs>
          <w:tab w:val="left" w:pos="284"/>
        </w:tabs>
        <w:ind w:left="284"/>
        <w:jc w:val="both"/>
      </w:pPr>
      <w:r>
        <w:t>Annexe III Négociation et conclusion d’accords internationaux fixant les modalités détaillées de la fourniture d’informations au Parlement sur les négociations et la conclusion d’accords internationaux visés aux points 23, 24 et 25 de l’accord-cadre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1A75DF"/>
    <w:multiLevelType w:val="hybridMultilevel"/>
    <w:tmpl w:val="4D8C7FD2"/>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150EEC"/>
    <w:rsid w:val="00017998"/>
    <w:rsid w:val="000F15F1"/>
    <w:rsid w:val="00150EEC"/>
    <w:rsid w:val="001E37D4"/>
    <w:rsid w:val="00512EE8"/>
    <w:rsid w:val="0065281F"/>
    <w:rsid w:val="006B4BAA"/>
    <w:rsid w:val="0076069D"/>
    <w:rsid w:val="007D2EE8"/>
    <w:rsid w:val="00815B75"/>
    <w:rsid w:val="008342CE"/>
    <w:rsid w:val="0085159E"/>
    <w:rsid w:val="009236A9"/>
    <w:rsid w:val="0095347B"/>
    <w:rsid w:val="00AC0917"/>
    <w:rsid w:val="00AF5B02"/>
    <w:rsid w:val="00CF12AC"/>
    <w:rsid w:val="00EF1DA5"/>
    <w:rsid w:val="00F36993"/>
    <w:rsid w:val="00FF26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738FEF-D42C-479F-8F47-526E18084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150EE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50EEC"/>
    <w:rPr>
      <w:sz w:val="20"/>
      <w:szCs w:val="20"/>
    </w:rPr>
  </w:style>
  <w:style w:type="character" w:styleId="FootnoteReference">
    <w:name w:val="footnote reference"/>
    <w:aliases w:val=" BVI fnr,BVI fnr,SUPERS,Footnote symbol,Footnote,Footnote reference number,Footnote number,Footnote Reference Superscript,note TESI,EN Footnote Reference,-E Fußnotenzeichen,number Char Char,Footnote Reference Superscript Car,number,Re"/>
    <w:link w:val="ftrefCharCharCharCharCharCharCharCharChar"/>
    <w:uiPriority w:val="99"/>
    <w:qFormat/>
    <w:rsid w:val="00150EEC"/>
    <w:rPr>
      <w:vertAlign w:val="superscript"/>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150EEC"/>
    <w:pPr>
      <w:spacing w:line="240" w:lineRule="exact"/>
    </w:pPr>
    <w:rPr>
      <w:vertAlign w:val="superscript"/>
    </w:rPr>
  </w:style>
  <w:style w:type="paragraph" w:styleId="Header">
    <w:name w:val="header"/>
    <w:basedOn w:val="Normal"/>
    <w:link w:val="HeaderChar"/>
    <w:uiPriority w:val="99"/>
    <w:unhideWhenUsed/>
    <w:rsid w:val="008515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159E"/>
  </w:style>
  <w:style w:type="paragraph" w:styleId="Footer">
    <w:name w:val="footer"/>
    <w:basedOn w:val="Normal"/>
    <w:link w:val="FooterChar"/>
    <w:uiPriority w:val="99"/>
    <w:unhideWhenUsed/>
    <w:rsid w:val="008515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15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5906</Words>
  <Characters>33198</Characters>
  <Application>Microsoft Office Word</Application>
  <DocSecurity>4</DocSecurity>
  <Lines>461</Lines>
  <Paragraphs>63</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39041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BIANCHIN Raffaella (SG)</dc:creator>
  <cp:keywords/>
  <dc:description/>
  <cp:lastModifiedBy>BIANCHIN Raffaella (SG)</cp:lastModifiedBy>
  <cp:revision>2</cp:revision>
  <dcterms:created xsi:type="dcterms:W3CDTF">2022-07-11T07:00:00Z</dcterms:created>
  <dcterms:modified xsi:type="dcterms:W3CDTF">2022-07-11T07:00:00Z</dcterms:modified>
</cp:coreProperties>
</file>