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7B18" w:rsidRPr="00887B18" w:rsidRDefault="00887B18" w:rsidP="00887B18">
      <w:pPr>
        <w:spacing w:after="600" w:line="240" w:lineRule="auto"/>
        <w:jc w:val="center"/>
        <w:rPr>
          <w:rFonts w:eastAsia="Times New Roman" w:cs="Times New Roman"/>
          <w:b/>
          <w:bCs/>
          <w:szCs w:val="24"/>
        </w:rPr>
      </w:pPr>
      <w:bookmarkStart w:id="0" w:name="_GoBack"/>
      <w:bookmarkEnd w:id="0"/>
      <w:r>
        <w:rPr>
          <w:b/>
        </w:rPr>
        <w:t>Suite donnée à la résolution non législative du Parlement européen sur la création</w:t>
      </w:r>
      <w:r>
        <w:t xml:space="preserve"> </w:t>
      </w:r>
      <w:r>
        <w:br/>
      </w:r>
      <w:r>
        <w:rPr>
          <w:b/>
        </w:rPr>
        <w:t>d’un espace européen de l’éducation d’ici 2025 – microcertifications, comptes de formation individuels</w:t>
      </w:r>
      <w:r>
        <w:t xml:space="preserve"> </w:t>
      </w:r>
      <w:r>
        <w:rPr>
          <w:b/>
        </w:rPr>
        <w:t>et apprentissage pour un environnement durable</w:t>
      </w:r>
    </w:p>
    <w:p w:rsidR="00887B18" w:rsidRPr="00887B18" w:rsidRDefault="00887B18" w:rsidP="00887B18">
      <w:pPr>
        <w:spacing w:after="240" w:line="240" w:lineRule="auto"/>
        <w:ind w:left="720" w:hanging="720"/>
        <w:jc w:val="both"/>
        <w:rPr>
          <w:rFonts w:eastAsia="Times New Roman" w:cs="Times New Roman"/>
          <w:b/>
          <w:szCs w:val="24"/>
        </w:rPr>
      </w:pPr>
      <w:r>
        <w:rPr>
          <w:b/>
        </w:rPr>
        <w:t>1.</w:t>
      </w:r>
      <w:r>
        <w:tab/>
      </w:r>
      <w:r>
        <w:rPr>
          <w:b/>
        </w:rPr>
        <w:t>Résolution présentée conformément à l’article 116, paragraphe 5, du règlement intérieur du Parlement européen</w:t>
      </w:r>
    </w:p>
    <w:p w:rsidR="00887B18" w:rsidRPr="00887B18" w:rsidRDefault="00887B18" w:rsidP="00887B18">
      <w:pPr>
        <w:spacing w:after="240" w:line="240" w:lineRule="auto"/>
        <w:jc w:val="both"/>
        <w:rPr>
          <w:rFonts w:eastAsia="Times New Roman" w:cs="Times New Roman"/>
          <w:i/>
          <w:szCs w:val="24"/>
        </w:rPr>
      </w:pPr>
      <w:r>
        <w:rPr>
          <w:b/>
        </w:rPr>
        <w:t>2.</w:t>
      </w:r>
      <w:r>
        <w:tab/>
      </w:r>
      <w:r>
        <w:rPr>
          <w:b/>
        </w:rPr>
        <w:t xml:space="preserve">Numéro de référence: </w:t>
      </w:r>
      <w:r>
        <w:t>2022/2568 (RSP) / B9-0266/2022 / T9-0217/2022</w:t>
      </w:r>
    </w:p>
    <w:p w:rsidR="00887B18" w:rsidRPr="00887B18" w:rsidRDefault="00887B18" w:rsidP="00887B18">
      <w:pPr>
        <w:spacing w:after="240" w:line="240" w:lineRule="auto"/>
        <w:jc w:val="both"/>
        <w:rPr>
          <w:rFonts w:eastAsia="Times New Roman" w:cs="Times New Roman"/>
          <w:szCs w:val="24"/>
        </w:rPr>
      </w:pPr>
      <w:r>
        <w:rPr>
          <w:b/>
        </w:rPr>
        <w:t>3.</w:t>
      </w:r>
      <w:r>
        <w:tab/>
      </w:r>
      <w:r>
        <w:rPr>
          <w:b/>
        </w:rPr>
        <w:t>Date d’adoption de la résolution:</w:t>
      </w:r>
      <w:r>
        <w:t xml:space="preserve"> 19 mai 2022</w:t>
      </w:r>
    </w:p>
    <w:p w:rsidR="00887B18" w:rsidRPr="00887B18" w:rsidRDefault="00887B18" w:rsidP="00887B18">
      <w:pPr>
        <w:spacing w:after="240" w:line="240" w:lineRule="auto"/>
        <w:ind w:left="720" w:hanging="720"/>
        <w:jc w:val="both"/>
        <w:rPr>
          <w:rFonts w:eastAsia="Times New Roman" w:cs="Times New Roman"/>
          <w:i/>
          <w:szCs w:val="24"/>
        </w:rPr>
      </w:pPr>
      <w:r>
        <w:rPr>
          <w:b/>
        </w:rPr>
        <w:t>4.</w:t>
      </w:r>
      <w:r>
        <w:tab/>
      </w:r>
      <w:r>
        <w:rPr>
          <w:b/>
        </w:rPr>
        <w:t xml:space="preserve">Commission parlementaire compétente: </w:t>
      </w:r>
      <w:r>
        <w:t>commission de la culture et de l’éducation (CULT)</w:t>
      </w:r>
    </w:p>
    <w:p w:rsidR="00887B18" w:rsidRPr="00887B18" w:rsidRDefault="00887B18" w:rsidP="00887B18">
      <w:pPr>
        <w:widowControl w:val="0"/>
        <w:spacing w:after="240" w:line="240" w:lineRule="auto"/>
        <w:jc w:val="both"/>
        <w:rPr>
          <w:rFonts w:eastAsia="Times New Roman" w:cs="Times New Roman"/>
          <w:b/>
          <w:szCs w:val="24"/>
        </w:rPr>
      </w:pPr>
      <w:r>
        <w:rPr>
          <w:b/>
        </w:rPr>
        <w:t>5.</w:t>
      </w:r>
      <w:r>
        <w:tab/>
      </w:r>
      <w:r>
        <w:rPr>
          <w:b/>
        </w:rPr>
        <w:t xml:space="preserve">Analyse/évaluation succincte de la résolution et des demandes qu’elle contient: </w:t>
      </w:r>
    </w:p>
    <w:p w:rsidR="00887B18" w:rsidRPr="00887B18" w:rsidRDefault="00887B18" w:rsidP="00887B18">
      <w:pPr>
        <w:widowControl w:val="0"/>
        <w:spacing w:after="120" w:line="240" w:lineRule="auto"/>
        <w:jc w:val="both"/>
        <w:rPr>
          <w:rFonts w:eastAsia="Times New Roman" w:cs="Times New Roman"/>
          <w:szCs w:val="24"/>
        </w:rPr>
      </w:pPr>
      <w:r>
        <w:t xml:space="preserve">La résolution présente la position du Parlement européen concernant la création de l’espace européen de l’éducation d’ici 2025, lequel portera, en particulier, sur trois initiatives stratégiques spécifiques: les microcertifications, les comptes de formation individuels et l’apprentissage pour un environnement durable. Le Parlement salue ces trois initiatives, les considérant comme faisant partie de l’espace européen de l’éducation. Dans le même temps, il est important de préciser à cet égard que l’initiative concernant les comptes de formation individuels n’a pas été annoncée dans le contexte de l’espace européen de l’éducation, mais dans celui de la stratégie européenne en matière de compétences, adoptée par la Commission en juillet 2020. Dans sa résolution, le Parlement européen souligne l’importance des microcertifications et des comptes de formation individuels pour se perfectionner, se reconvertir et obtenir des qualifications et, partant, leur importance pour le développement professionnel et personnel. Le Parlement se félicite que les comptes de formation individuels et les microcertifications soient conçus pour rendre l’apprentissage tout au long de la vie plus inclusif, accessible et abordable (indépendamment de l’âge, du sexe, du statut professionnel, des revenus ou du niveau d’éducation), et il met en garde contre la création d’obstacles involontaires pour les apprenants adultes. En ce qui concerne plus particulièrement les microcertifications, il invite le Conseil à adopter une définition et des normes communes, et invite la Commission à élaborer un instrument solide que les États membres seraient invités à utiliser sur la base du volontariat. Le Parlement européen insiste sur la mise à disposition des registres nationaux de microcertifications conviviaux et mis à jour, sous format numérique et accessibles par l’intermédiaire d’un portail de l’UE. Il souligne le rôle de soutien des microcertifications pour relier l’apprentissage informel et non formel à l’éducation formelle. À cet égard, il demande instamment qu’un cadre commun soit élaboré et mis en œuvre pour reconnaître les aptitudes et les compétences acquises dans le cadre de l’apprentissage informel et non formel, par exemple grâce à la mobilité à des fins d’apprentissage et à l’engagement civique en Europe dans le cadre des programmes Erasmus+ et du corps européen de solidarité. Il fait remarquer qu’il importe que les services d’orientation et de conseil puissent aider à identifier et à certifier les aptitudes et les compétences acquises dans le cadre de l’apprentissage informel. Il estime que la reconnaissance automatique des microcertifications pourrait avoir un effet positif sur la reconnaissance automatique des qualifications de manière générale. Il invite les établissements d’enseignement supérieur à développer des microcertifications afin d’offrir aux apprenants, d’ores et déjà au niveau du premier cycle, des expériences socialement engagées, de qualité et inclusives. En ce qui concerne les comptes de formation individuels, le Parlement insiste sur le fait que ceux-ci devraient créer des </w:t>
      </w:r>
      <w:r>
        <w:lastRenderedPageBreak/>
        <w:t>possibilités de travail indépendant et d’entrepreneuriat, et encourage les États membres à accorder la priorité aux adultes peu qualifiés, aux personnes handicapées et aux apprenants défavorisés. Il invite instamment la Commission à proposer une approche commune des compétences psychosociales et non techniques, et rappelle aux pouvoirs publics leur rôle essentiel en vue d’inclure également, dans la formation aux compétences offerte aux adultes, les compétences de base, transversales, psychosociales et non techniques. Enfin, il estime que l’apprentissage de la durabilité environnementale devrait être intégré dans les programmes éducatifs dans l’ensemble de l’Union, et souligne l’importance des secteurs de la culture et de la création pour favoriser l’épanouissement de mentalités axées sur le développement durable.</w:t>
      </w:r>
    </w:p>
    <w:p w:rsidR="00887B18" w:rsidRPr="00887B18" w:rsidRDefault="00887B18" w:rsidP="00887B18">
      <w:pPr>
        <w:widowControl w:val="0"/>
        <w:spacing w:after="240" w:line="240" w:lineRule="auto"/>
        <w:ind w:left="720" w:hanging="720"/>
        <w:jc w:val="both"/>
        <w:rPr>
          <w:rFonts w:eastAsia="Times New Roman" w:cs="Times New Roman"/>
          <w:b/>
          <w:szCs w:val="24"/>
        </w:rPr>
      </w:pPr>
      <w:r>
        <w:rPr>
          <w:b/>
        </w:rPr>
        <w:t>6.</w:t>
      </w:r>
      <w:r>
        <w:tab/>
      </w:r>
      <w:r>
        <w:rPr>
          <w:b/>
        </w:rPr>
        <w:t>Réponse à ces demandes et aperçu des mesures que la Commission a prises ou envisage de prendre:</w:t>
      </w:r>
    </w:p>
    <w:p w:rsidR="00887B18" w:rsidRPr="00887B18" w:rsidRDefault="00887B18" w:rsidP="00887B18">
      <w:pPr>
        <w:widowControl w:val="0"/>
        <w:spacing w:after="120" w:line="240" w:lineRule="auto"/>
        <w:jc w:val="both"/>
        <w:rPr>
          <w:rFonts w:eastAsia="Times New Roman" w:cs="Times New Roman"/>
          <w:szCs w:val="20"/>
        </w:rPr>
      </w:pPr>
      <w:r>
        <w:t>En ce qui concerne l’invitation à élaborer un instrument qui incite les États membres à mettre en œuvre les microcertifications (</w:t>
      </w:r>
      <w:r>
        <w:rPr>
          <w:b/>
        </w:rPr>
        <w:t>paragraphe 4</w:t>
      </w:r>
      <w:r>
        <w:t>), qui devraient rester facultatives, de nombreux instruments existants peuvent être utilisés pour soutenir le développement et l’adoption de microcertifications, y compris Erasmus+, le Fonds social européen plus, le corps européen de solidarité, le Fonds européen de développement régional, InvestEU, Horizon Europe et le programme pour une Europe numérique. Dans le cadre du programme Erasmus +, l’initiative «universités européennes» et des actions telles que les programmes intensifs hybrides offrent aux établissements d’enseignement supérieur la possibilité de développer ensemble des microcertifications par-delà les frontières et offrent de nouvelles possibilités à un large éventail d’étudiants. Plusieurs alliances d’universités européennes jouent déjà un rôle de modèle en matière de développement de microcertifications pour tous les types de possibilités d’apprentissage. La recommandation du Conseil sur une approche européenne des microcertifications pour l’apprentissage tout au long de la vie et l’employabilité, adoptée par le Conseil le 16 juin 2022, établit la manière dont la plateforme Europass peut être utilisée pour 1) fournir des informations sur les microcertifications et les cours menant à des microcertifications, publiées par les États membres, et 2) soutenir la délivrance des microcertifications dans un format sécurisé et numérique grâce aux justificatifs numériques européens (</w:t>
      </w:r>
      <w:r>
        <w:rPr>
          <w:b/>
        </w:rPr>
        <w:t>paragraphe 5</w:t>
      </w:r>
      <w:r>
        <w:t>). La Commission entend continuer à soutenir la collecte de données et la recherche sur l’adoption de l’approche européenne en matière de microcertifications, et sur les résultats et les avantages particuliers des microcertifications pour tous les types d’apprenants (</w:t>
      </w:r>
      <w:r>
        <w:rPr>
          <w:b/>
        </w:rPr>
        <w:t>paragraphe 6</w:t>
      </w:r>
      <w:r>
        <w:t>). La Commission cherche à promouvoir l’utilisation des microcertifications pour reconnaître, s’il y a lieu, les acquis d’apprentissage non formels et informels, en complément des processus existants tels que la reconnaissance de l’apprentissage antérieur et la validation des acquis d’apprentissage non formels et informels. L’approche européenne en matière de microcertifications est une initiative visant à ouvrir la voie à une meilleure reconnaissance des petits acquis d’apprentissage et à une portabilité des possibilités d’apprentissage et d’emploi (</w:t>
      </w:r>
      <w:r>
        <w:rPr>
          <w:b/>
        </w:rPr>
        <w:t>paragraphe 7</w:t>
      </w:r>
      <w:r>
        <w:t xml:space="preserve">). </w:t>
      </w:r>
    </w:p>
    <w:p w:rsidR="00887B18" w:rsidRPr="00887B18" w:rsidRDefault="00887B18" w:rsidP="00887B18">
      <w:pPr>
        <w:widowControl w:val="0"/>
        <w:spacing w:after="120" w:line="240" w:lineRule="auto"/>
        <w:jc w:val="both"/>
        <w:rPr>
          <w:rFonts w:eastAsia="Times New Roman" w:cs="Times New Roman"/>
          <w:szCs w:val="20"/>
        </w:rPr>
      </w:pPr>
      <w:r>
        <w:t>La Commission convient que les informations et les orientations relatives aux microcertifications devraient être claires et disponibles (</w:t>
      </w:r>
      <w:r>
        <w:rPr>
          <w:b/>
        </w:rPr>
        <w:t>paragraphe 12</w:t>
      </w:r>
      <w:r>
        <w:t xml:space="preserve">) pour le plus large éventail d’apprenants potentiels, indépendamment de leur âge et de leurs situations géographique, locale et personnelle. Dans le cadre de cet effort visant à rendre les informations sur les microcertifications facilement accessibles, la Commission, dans la proposition de recommandation du Conseil sur une approche européenne des microcertifications pour l’apprentissage tout au long de la vie et l’employabilité, a suggéré d’étudier de nouvelles évolutions de la plateforme Europass afin de fournir des informations sur les possibilités d’apprentissage conduisant à des microcertifications et de soutenir leur authentification, leur portabilité, leur empilabilité et leur interopérabilité, ainsi que l’échange et le partage d’informations sur les microcertifications. </w:t>
      </w:r>
    </w:p>
    <w:p w:rsidR="00887B18" w:rsidRPr="00887B18" w:rsidRDefault="00887B18" w:rsidP="00887B18">
      <w:pPr>
        <w:widowControl w:val="0"/>
        <w:spacing w:after="120" w:line="240" w:lineRule="auto"/>
        <w:jc w:val="both"/>
        <w:rPr>
          <w:rFonts w:eastAsia="Times New Roman" w:cs="Times New Roman"/>
          <w:szCs w:val="20"/>
        </w:rPr>
      </w:pPr>
      <w:r>
        <w:t>En ce qui concerne l’invitation à proposer une approche commune des compétences psychosociales et non techniques (</w:t>
      </w:r>
      <w:r>
        <w:rPr>
          <w:b/>
        </w:rPr>
        <w:t>paragraphe 8</w:t>
      </w:r>
      <w:r>
        <w:t xml:space="preserve">), la Commission tient à rappeler que le </w:t>
      </w:r>
      <w:hyperlink r:id="rId6" w:history="1">
        <w:r>
          <w:rPr>
            <w:color w:val="0000FF"/>
            <w:u w:val="single"/>
          </w:rPr>
          <w:t>cadre de l’UE sur les compétences clés pour l’éducation et la formation tout au long de la vie</w:t>
        </w:r>
        <w:r>
          <w:rPr>
            <w:rFonts w:eastAsia="Times New Roman" w:cs="Times New Roman"/>
            <w:szCs w:val="20"/>
            <w:vertAlign w:val="superscript"/>
            <w:lang w:eastAsia="en-GB"/>
          </w:rPr>
          <w:footnoteReference w:id="1"/>
        </w:r>
      </w:hyperlink>
      <w:r>
        <w:t xml:space="preserve"> comprend les connaissances, les aptitudes et les attitudes nécessaires à l’épanouissement et au développement personnels, à l’employabilité, à l’inclusion sociale et à la citoyenneté active, ainsi que les compétences personnelles et sociales et la capacité d’apprendre à apprendre. Un nouveau </w:t>
      </w:r>
      <w:hyperlink r:id="rId7" w:history="1">
        <w:r>
          <w:rPr>
            <w:color w:val="0000FF"/>
            <w:u w:val="single"/>
          </w:rPr>
          <w:t>cadre de l’UE, plus détaillé, pour le développement spécifique des compétences personnelles et sociales et la capacité d’apprendre à apprendre</w:t>
        </w:r>
      </w:hyperlink>
      <w:r>
        <w:t xml:space="preserve"> (LifeComp</w:t>
      </w:r>
      <w:r>
        <w:rPr>
          <w:rFonts w:eastAsia="Times New Roman" w:cs="Times New Roman"/>
          <w:szCs w:val="20"/>
          <w:vertAlign w:val="superscript"/>
          <w:lang w:eastAsia="en-GB"/>
        </w:rPr>
        <w:footnoteReference w:id="2"/>
      </w:r>
      <w:r>
        <w:t>) a été publié par la Commission en 2020. L’élaboration de LifeComp a été fondée sur les dernières recherches dans le domaine des compétences non cognitives, en tenant compte des définitions adoptées, par exemple, par l’Organisation de coopération et de développement économiques (OCDE), l’Organisation mondiale de la santé (OMS), l’Organisation des Nations unies pour l’éducation, la science et la culture (UNESCO) et les États membres de l’UE. Le cadre LifeComp sert de document de référence, qui fournit une approche et une compréhension communes des compétences personnelles et sociales des professionnels de l’éducation dans les États membres. En outre, en juin 2022, le Centre commun de recherche de la Commission fournira des lignes directrices spécifiques sur l’enseignement des compétences LifeComp qui aborderont les aspects pratiques de la mise en œuvre.</w:t>
      </w:r>
    </w:p>
    <w:p w:rsidR="00887B18" w:rsidRPr="00887B18" w:rsidRDefault="00887B18" w:rsidP="00887B18">
      <w:pPr>
        <w:widowControl w:val="0"/>
        <w:spacing w:after="120" w:line="240" w:lineRule="auto"/>
        <w:jc w:val="both"/>
        <w:rPr>
          <w:rFonts w:eastAsia="Times New Roman" w:cs="Times New Roman"/>
          <w:szCs w:val="20"/>
        </w:rPr>
      </w:pPr>
      <w:r>
        <w:t>En ce qui concerne les comptes de formation individuels (</w:t>
      </w:r>
      <w:r>
        <w:rPr>
          <w:b/>
        </w:rPr>
        <w:t>paragraphes 14, 15 et 16</w:t>
      </w:r>
      <w:r>
        <w:t>), la Commission tient à souligner que la mise en œuvre desdits comptes doit être adaptée aux besoins nationaux. Les États membres définiront les possibilités de formation éligibles; la recommandation du Conseil relative aux comptes de formation individuels, adoptée par le Conseil le 16 juin 2022, recommande d’associer à ce processus les partenaires sociaux, les parties prenantes concernées ainsi que la veille stratégique sur les besoins en compétences. En outre, la proposition place l’individu au centre, ce qui lui donne les moyens de choisir la formation éligible dans la liste des possibilités de formations de qualité adaptées aux besoins du marché ainsi qu’à ses besoins personnels et à ses aspirations. La recommandation du Conseil relative aux comptes de formation individuels établit les mesures que les États membres peuvent prendre pour donner à tous les adultes en âge de travailler les moyens d’accéder à des possibilités d’apprentissage tout au long de leur carrière. Elle invite à fournir un soutien universel mais modulé à tous les adultes en âge de travailler, mais avec des compléments pour ceux qui ont le plus besoin de reconversion ou de perfectionnement professionnels, en fonction des circonstances au niveau national. Les comptes de formation individuels apportent un soutien à tout type de formation qui a été définie comme éligible par les autorités de mise en œuvre. Il pourrait par exemple s’agir de programmes d’éducation formelle et/ou à plus long terme. La possibilité d’accumuler des droits à la formation sur des comptes personnels sur des périodes plus longues facilite la participation à des formations plus longues/plus coûteuses. Il est recommandé d’intégrer l’aide financière individuelle à la formation à partir de comptes personnels dans un cadre solide qui permette aux adultes de faire de bons choix, en surmontant de manière coordonnée les obstacles financiers et non financiers qui entravent la participation aux formations.</w:t>
      </w:r>
    </w:p>
    <w:p w:rsidR="00887B18" w:rsidRPr="00887B18" w:rsidRDefault="00887B18" w:rsidP="00887B18">
      <w:pPr>
        <w:spacing w:after="120" w:line="240" w:lineRule="auto"/>
        <w:jc w:val="both"/>
        <w:rPr>
          <w:rFonts w:eastAsia="Calibri" w:cs="Times New Roman"/>
          <w:szCs w:val="24"/>
        </w:rPr>
      </w:pPr>
      <w:r>
        <w:t>En ce qui concerne l’intégration de la durabilité environnementale dans les programmes éducatifs des États membres de l’UE (</w:t>
      </w:r>
      <w:r>
        <w:rPr>
          <w:b/>
        </w:rPr>
        <w:t>paragraphe 17</w:t>
      </w:r>
      <w:r>
        <w:t>), en vue de donner aux apprenants les moyens de créer des sociétés plus inclusives et durables, la recommandation du Conseil sur l’apprentissage au service de la transition écologique et du développement durable a été adoptée par le Conseil le 16 juin 2022, sur la base de la proposition de la Commission de janvier 2022. Cette recommandation vise à soutenir les efforts déployés par les États membres pour doter les apprenants de la compréhension et des compétences nécessaires pour créer un avenir socialement juste et durable. Elle couvre tous les secteurs de l’éducation et de la formation et propose des actions à quatre niveaux: l’apprenant, l’éducateur, les institutions et les systèmes. Le groupe de travail sur les écoles «Éducation à la durabilité environnementale» du cadre stratégique de l’espace européen de l’éducation (EEE) constitue un forum d’apprentissage mutuel et d’échange de bonnes pratiques sur les changements nécessaires pour intégrer davantage la durabilité dans l’éducation et la formation. Au sein du groupe, coordonné par la Commission, des représentants des États membres et des pays associés, des organisations internationales et des partenaires sociaux collaborent à la mise en œuvre de la recommandation du Conseil. Le cadre européen des compétences en matière de durabilité (GreenComp), publié par le Centre commun de recherche de la Commission en janvier 2022, recense les connaissances, les compétences et les attitudes dont les apprenants ont besoin pour la transition écologique, y compris l’esprit critique, la pensée systémique, l’empathie et la connexion avec la nature, et ce dans toutes les phases et à tous les stades de l’éducation et de la formation. Ce nouveau cadre peut être utilisé pour élaborer des programmes d’études, des projets et des orientations liés à l’apprentissage pour la durabilité environnementale ainsi que pour le développement professionnel des enseignants.</w:t>
      </w:r>
      <w:r>
        <w:rPr>
          <w:color w:val="E36C0A"/>
        </w:rPr>
        <w:t xml:space="preserve"> </w:t>
      </w:r>
      <w:r>
        <w:t>Le groupe de travail sur l’enseignement et la formation professionnels (EFP) et la transition écologique du cadre stratégique de l’EEE permet des échanges techniques qui aideront les États membres à mettre en œuvre les principes et les objectifs de la recommandation du Conseil en matière d’enseignement et de formation professionnels en faveur de la compétitivité durable, de l’équité sociale et de la résilience, ainsi que ceux de la déclaration d’Osnabrück sur l’enseignement et la formation professionnels en tant que facteur de reprise, de transition juste vers des économies numériques et écologiques, et de transition écologique en particulier. En outre, la coalition «Éducation pour le climat», lancée par la Commission en décembre 2020 sous la forme d’une initiative ascendante et co-créée, associe le monde de l’enseignement aux niveaux européen, national et local. Sur la base de son approche participative, la coalition soutient la coopération entre les étudiants, les enseignants et les établissements d’enseignement au moyen d’activités au niveau local, de projets et d’initiatives concrets, afin de relever les défis liés au climat. Une attention particulière est accordée au développement des compétences écologiques et aux changements de comportements. En 2022, les «projets prospectifs» du programme «partenariats pour l’innovation» d’Erasmus + sont axés sur le renforcement des «compétences vertes dans le secteur de l’EFP». La Commission offre aussi aux éducateurs la possibilité de suivre des formations et d’accéder à des communautés de pratique via les portails School Education Gateway et eTwinning.</w:t>
      </w:r>
    </w:p>
    <w:p w:rsidR="00F36993" w:rsidRDefault="00F36993"/>
    <w:sectPr w:rsidR="00F36993" w:rsidSect="00CF66A7">
      <w:headerReference w:type="even" r:id="rId8"/>
      <w:headerReference w:type="default" r:id="rId9"/>
      <w:footerReference w:type="even" r:id="rId10"/>
      <w:footerReference w:type="default" r:id="rId11"/>
      <w:headerReference w:type="first" r:id="rId12"/>
      <w:footerReference w:type="first" r:id="rId13"/>
      <w:footnotePr>
        <w:numRestart w:val="eachSect"/>
      </w:footnotePr>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7B18" w:rsidRDefault="00887B18" w:rsidP="00887B18">
      <w:pPr>
        <w:spacing w:after="0" w:line="240" w:lineRule="auto"/>
      </w:pPr>
      <w:r>
        <w:separator/>
      </w:r>
    </w:p>
  </w:endnote>
  <w:endnote w:type="continuationSeparator" w:id="0">
    <w:p w:rsidR="00887B18" w:rsidRDefault="00887B18" w:rsidP="00887B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5BAC" w:rsidRDefault="00CA5B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1618338"/>
      <w:docPartObj>
        <w:docPartGallery w:val="Page Numbers (Bottom of Page)"/>
        <w:docPartUnique/>
      </w:docPartObj>
    </w:sdtPr>
    <w:sdtEndPr>
      <w:rPr>
        <w:noProof/>
      </w:rPr>
    </w:sdtEndPr>
    <w:sdtContent>
      <w:p w:rsidR="00CF66A7" w:rsidRDefault="00CA5BAC">
        <w:pPr>
          <w:pStyle w:val="Footer"/>
          <w:jc w:val="center"/>
        </w:pPr>
        <w:r>
          <w:fldChar w:fldCharType="begin"/>
        </w:r>
        <w:r>
          <w:instrText xml:space="preserve"> PAGE   \* MERGEFORMAT </w:instrText>
        </w:r>
        <w:r>
          <w:fldChar w:fldCharType="separate"/>
        </w:r>
        <w:r w:rsidR="00D95035">
          <w:rPr>
            <w:noProof/>
          </w:rPr>
          <w:t>2</w:t>
        </w:r>
        <w:r>
          <w:fldChar w:fldCharType="end"/>
        </w:r>
      </w:p>
    </w:sdtContent>
  </w:sdt>
  <w:p w:rsidR="00CF66A7" w:rsidRDefault="00D950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2925780"/>
      <w:docPartObj>
        <w:docPartGallery w:val="Page Numbers (Bottom of Page)"/>
        <w:docPartUnique/>
      </w:docPartObj>
    </w:sdtPr>
    <w:sdtEndPr>
      <w:rPr>
        <w:noProof/>
      </w:rPr>
    </w:sdtEndPr>
    <w:sdtContent>
      <w:p w:rsidR="00CF66A7" w:rsidRDefault="00CA5BAC" w:rsidP="00CA5BAC">
        <w:pPr>
          <w:pStyle w:val="Footer"/>
          <w:jc w:val="center"/>
        </w:pPr>
        <w:r>
          <w:fldChar w:fldCharType="begin"/>
        </w:r>
        <w:r>
          <w:instrText xml:space="preserve"> PAGE   \* MERGEFORMAT </w:instrText>
        </w:r>
        <w:r>
          <w:fldChar w:fldCharType="separate"/>
        </w:r>
        <w:r w:rsidR="00D95035">
          <w:rPr>
            <w:noProof/>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7B18" w:rsidRDefault="00887B18" w:rsidP="00887B18">
      <w:pPr>
        <w:spacing w:after="0" w:line="240" w:lineRule="auto"/>
      </w:pPr>
      <w:r>
        <w:separator/>
      </w:r>
    </w:p>
  </w:footnote>
  <w:footnote w:type="continuationSeparator" w:id="0">
    <w:p w:rsidR="00887B18" w:rsidRDefault="00887B18" w:rsidP="00887B18">
      <w:pPr>
        <w:spacing w:after="0" w:line="240" w:lineRule="auto"/>
      </w:pPr>
      <w:r>
        <w:continuationSeparator/>
      </w:r>
    </w:p>
  </w:footnote>
  <w:footnote w:id="1">
    <w:p w:rsidR="00887B18" w:rsidRPr="00DA0D13" w:rsidRDefault="00887B18" w:rsidP="00887B18">
      <w:pPr>
        <w:tabs>
          <w:tab w:val="left" w:pos="284"/>
        </w:tabs>
        <w:spacing w:after="0"/>
        <w:rPr>
          <w:color w:val="1F497D"/>
          <w:sz w:val="20"/>
        </w:rPr>
      </w:pPr>
      <w:r>
        <w:rPr>
          <w:rStyle w:val="FootnoteReference"/>
        </w:rPr>
        <w:footnoteRef/>
      </w:r>
      <w:r>
        <w:tab/>
      </w:r>
      <w:hyperlink r:id="rId1" w:history="1">
        <w:r>
          <w:rPr>
            <w:rStyle w:val="Hyperlink"/>
            <w:sz w:val="20"/>
          </w:rPr>
          <w:t>https://education.ec.europa.eu/fr/focus-topics/improving-quality/key-competences</w:t>
        </w:r>
      </w:hyperlink>
    </w:p>
  </w:footnote>
  <w:footnote w:id="2">
    <w:p w:rsidR="00887B18" w:rsidRPr="00090A75" w:rsidRDefault="00887B18" w:rsidP="00887B18">
      <w:pPr>
        <w:tabs>
          <w:tab w:val="left" w:pos="284"/>
        </w:tabs>
        <w:rPr>
          <w:rFonts w:ascii="Calibri" w:hAnsi="Calibri"/>
          <w:color w:val="1F497D"/>
          <w:sz w:val="22"/>
        </w:rPr>
      </w:pPr>
      <w:r>
        <w:rPr>
          <w:rStyle w:val="FootnoteReference"/>
          <w:sz w:val="20"/>
        </w:rPr>
        <w:footnoteRef/>
      </w:r>
      <w:r>
        <w:rPr>
          <w:sz w:val="20"/>
        </w:rPr>
        <w:t xml:space="preserve"> </w:t>
      </w:r>
      <w:r>
        <w:tab/>
      </w:r>
      <w:hyperlink r:id="rId2" w:history="1">
        <w:r>
          <w:rPr>
            <w:rStyle w:val="Hyperlink"/>
            <w:sz w:val="20"/>
          </w:rPr>
          <w:t>https://joint-research-centre.ec.europa.eu/lifecomp_en</w:t>
        </w:r>
      </w:hyperlink>
      <w:r>
        <w:rPr>
          <w:rFonts w:ascii="Calibri" w:hAnsi="Calibri"/>
          <w:color w:val="1F497D"/>
          <w:sz w:val="22"/>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5BAC" w:rsidRDefault="00CA5B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5BAC" w:rsidRDefault="00CA5B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5BAC" w:rsidRDefault="00CA5BA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B18"/>
    <w:rsid w:val="000F15F1"/>
    <w:rsid w:val="001E37D4"/>
    <w:rsid w:val="00512EE8"/>
    <w:rsid w:val="0065281F"/>
    <w:rsid w:val="0076069D"/>
    <w:rsid w:val="00815B75"/>
    <w:rsid w:val="008342CE"/>
    <w:rsid w:val="00887B18"/>
    <w:rsid w:val="0095347B"/>
    <w:rsid w:val="00AF5B02"/>
    <w:rsid w:val="00CA5BAC"/>
    <w:rsid w:val="00D95035"/>
    <w:rsid w:val="00EF1DA5"/>
    <w:rsid w:val="00F36993"/>
    <w:rsid w:val="00FF26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B8AF7BA1-8905-4282-9281-DA02A2123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 BVI fnr,BVI fnr,SUPERS,Footnote symbol,Footnote,Footnote reference number,Footnote number,Footnote Reference Superscript,note TESI,EN Footnote Reference,-E Fußnotenzeichen,number Char Char,Footnote Reference Superscript Car,number,Re"/>
    <w:link w:val="ftrefCharCharCharCharCharCharCharCharChar"/>
    <w:uiPriority w:val="99"/>
    <w:qFormat/>
    <w:rsid w:val="00887B18"/>
    <w:rPr>
      <w:vertAlign w:val="superscript"/>
    </w:rPr>
  </w:style>
  <w:style w:type="character" w:styleId="Hyperlink">
    <w:name w:val="Hyperlink"/>
    <w:aliases w:val="Char1"/>
    <w:rsid w:val="00887B18"/>
    <w:rPr>
      <w:color w:val="0000FF"/>
      <w:u w:val="single"/>
    </w:rPr>
  </w:style>
  <w:style w:type="paragraph" w:customStyle="1" w:styleId="ftrefCharCharCharCharCharCharCharCharChar">
    <w:name w:val="ftref Char Char Char Char Char Char Char Char Char"/>
    <w:aliases w:val="Footnote Char Char Char Char Char Char Char Char Char, BVI fnr Char Char Char Char Char Char Char Char Char,BVI fnr Char Char Char Char Char Char Char Char Char Char"/>
    <w:basedOn w:val="Normal"/>
    <w:next w:val="Normal"/>
    <w:link w:val="FootnoteReference"/>
    <w:uiPriority w:val="99"/>
    <w:rsid w:val="00887B18"/>
    <w:pPr>
      <w:spacing w:line="240" w:lineRule="exact"/>
    </w:pPr>
    <w:rPr>
      <w:vertAlign w:val="superscript"/>
    </w:rPr>
  </w:style>
  <w:style w:type="paragraph" w:styleId="Header">
    <w:name w:val="header"/>
    <w:basedOn w:val="Normal"/>
    <w:link w:val="HeaderChar"/>
    <w:uiPriority w:val="99"/>
    <w:unhideWhenUsed/>
    <w:rsid w:val="00887B18"/>
    <w:pPr>
      <w:tabs>
        <w:tab w:val="center" w:pos="4680"/>
        <w:tab w:val="right" w:pos="9360"/>
      </w:tabs>
      <w:spacing w:after="0" w:line="240" w:lineRule="auto"/>
      <w:jc w:val="both"/>
    </w:pPr>
    <w:rPr>
      <w:rFonts w:ascii="Courier New" w:eastAsia="Times New Roman" w:hAnsi="Courier New" w:cs="Times New Roman"/>
      <w:szCs w:val="20"/>
      <w:lang w:eastAsia="en-GB"/>
    </w:rPr>
  </w:style>
  <w:style w:type="character" w:customStyle="1" w:styleId="HeaderChar">
    <w:name w:val="Header Char"/>
    <w:basedOn w:val="DefaultParagraphFont"/>
    <w:link w:val="Header"/>
    <w:uiPriority w:val="99"/>
    <w:rsid w:val="00887B18"/>
    <w:rPr>
      <w:rFonts w:ascii="Courier New" w:eastAsia="Times New Roman" w:hAnsi="Courier New" w:cs="Times New Roman"/>
      <w:szCs w:val="20"/>
      <w:lang w:eastAsia="en-GB"/>
    </w:rPr>
  </w:style>
  <w:style w:type="paragraph" w:styleId="Footer">
    <w:name w:val="footer"/>
    <w:basedOn w:val="Normal"/>
    <w:link w:val="FooterChar"/>
    <w:uiPriority w:val="99"/>
    <w:unhideWhenUsed/>
    <w:rsid w:val="00887B18"/>
    <w:pPr>
      <w:tabs>
        <w:tab w:val="center" w:pos="4680"/>
        <w:tab w:val="right" w:pos="9360"/>
      </w:tabs>
      <w:spacing w:after="0" w:line="240" w:lineRule="auto"/>
      <w:jc w:val="both"/>
    </w:pPr>
    <w:rPr>
      <w:rFonts w:ascii="Courier New" w:eastAsia="Times New Roman" w:hAnsi="Courier New" w:cs="Times New Roman"/>
      <w:szCs w:val="20"/>
      <w:lang w:eastAsia="en-GB"/>
    </w:rPr>
  </w:style>
  <w:style w:type="character" w:customStyle="1" w:styleId="FooterChar">
    <w:name w:val="Footer Char"/>
    <w:basedOn w:val="DefaultParagraphFont"/>
    <w:link w:val="Footer"/>
    <w:uiPriority w:val="99"/>
    <w:rsid w:val="00887B18"/>
    <w:rPr>
      <w:rFonts w:ascii="Courier New" w:eastAsia="Times New Roman" w:hAnsi="Courier New" w:cs="Times New Roman"/>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joint-research-centre.ec.europa.eu/lifecomp_en"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ducation.ec.europa.eu/fr/focus-topics/improving-quality/key-competences"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joint-research-centre.ec.europa.eu/lifecomp_en" TargetMode="External"/><Relationship Id="rId1" Type="http://schemas.openxmlformats.org/officeDocument/2006/relationships/hyperlink" Target="https://education.ec.europa.eu/fr/focus-topics/improving-quality/key-competen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2250</Words>
  <Characters>13278</Characters>
  <Application>Microsoft Office Word</Application>
  <DocSecurity>4</DocSecurity>
  <Lines>177</Lines>
  <Paragraphs>15</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15513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BIANCHIN Raffaella (SG)</dc:creator>
  <cp:keywords/>
  <dc:description/>
  <cp:lastModifiedBy>BIANCHIN Raffaella (SG)</cp:lastModifiedBy>
  <cp:revision>2</cp:revision>
  <dcterms:created xsi:type="dcterms:W3CDTF">2022-07-29T09:36:00Z</dcterms:created>
  <dcterms:modified xsi:type="dcterms:W3CDTF">2022-07-29T09:36:00Z</dcterms:modified>
</cp:coreProperties>
</file>